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2C3B2D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D7A57">
              <w:rPr>
                <w:rFonts w:ascii="Times New Roman" w:hAnsi="Times New Roman" w:cs="Times New Roman"/>
                <w:b/>
                <w:color w:val="auto"/>
                <w:sz w:val="48"/>
              </w:rPr>
              <w:t>Leanne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C76ACF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D7A57">
              <w:rPr>
                <w:rFonts w:ascii="Times New Roman" w:hAnsi="Times New Roman" w:cs="Times New Roman"/>
                <w:b/>
                <w:color w:val="auto"/>
                <w:sz w:val="48"/>
              </w:rPr>
              <w:t>: Leanne.evans@zoho.com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C61A0F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9374E" w:rsidRPr="003546F3">
              <w:rPr>
                <w:rFonts w:ascii="Times New Roman" w:hAnsi="Times New Roman" w:cs="Times New Roman"/>
                <w:b/>
                <w:sz w:val="48"/>
              </w:rPr>
              <w:t xml:space="preserve"> 2417691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3DAF9F82" w14:textId="427DE368" w:rsidR="000B6AAB" w:rsidRDefault="002A1A44" w:rsidP="003D5497">
      <w:pPr>
        <w:keepNext/>
        <w:spacing w:before="240" w:after="60"/>
        <w:jc w:val="both"/>
        <w:rPr>
          <w:rFonts w:eastAsia="Aptos"/>
          <w:color w:val="auto"/>
          <w:kern w:val="2"/>
          <w:sz w:val="22"/>
          <w:szCs w:val="22"/>
          <w:lang w:eastAsia="en-US"/>
          <w14:ligatures w14:val="standardContextual"/>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14082B0" w14:textId="77777777" w:rsidR="003D5497" w:rsidRDefault="003D5497" w:rsidP="003D5497">
      <w:pPr>
        <w:keepNext/>
        <w:spacing w:before="240" w:after="60"/>
        <w:jc w:val="both"/>
        <w:rPr>
          <w:rFonts w:eastAsia="Aptos"/>
          <w:color w:val="auto"/>
          <w:kern w:val="2"/>
          <w:sz w:val="22"/>
          <w:szCs w:val="22"/>
          <w:lang w:eastAsia="en-US"/>
          <w14:ligatures w14:val="standardContextual"/>
        </w:rPr>
      </w:pPr>
    </w:p>
    <w:p w14:paraId="57552535"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Atkinson, M., Jones, M. and Lamont, E. (2007). </w:t>
      </w:r>
      <w:r w:rsidRPr="003D5497">
        <w:rPr>
          <w:rFonts w:eastAsia="Aptos"/>
          <w:i/>
          <w:iCs/>
          <w:color w:val="auto"/>
          <w:kern w:val="2"/>
          <w:sz w:val="22"/>
          <w:szCs w:val="22"/>
          <w:lang w:eastAsia="en-US"/>
          <w14:ligatures w14:val="standardContextual"/>
        </w:rPr>
        <w:t>Multi</w:t>
      </w:r>
      <w:r w:rsidRPr="003D5497">
        <w:rPr>
          <w:rFonts w:eastAsia="Aptos"/>
          <w:i/>
          <w:iCs/>
          <w:color w:val="auto"/>
          <w:kern w:val="2"/>
          <w:sz w:val="22"/>
          <w:szCs w:val="22"/>
          <w:lang w:eastAsia="en-US"/>
          <w14:ligatures w14:val="standardContextual"/>
        </w:rPr>
        <w:noBreakHyphen/>
        <w:t>agency working and its implications for practice</w:t>
      </w:r>
      <w:r w:rsidRPr="003D5497">
        <w:rPr>
          <w:rFonts w:eastAsia="Aptos"/>
          <w:color w:val="auto"/>
          <w:kern w:val="2"/>
          <w:sz w:val="22"/>
          <w:szCs w:val="22"/>
          <w:lang w:eastAsia="en-US"/>
          <w14:ligatures w14:val="standardContextual"/>
        </w:rPr>
        <w:t>. Bristol: Policy Press.</w:t>
      </w:r>
    </w:p>
    <w:p w14:paraId="78815783"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Bassot, B. (2023). </w:t>
      </w:r>
      <w:r w:rsidRPr="003D5497">
        <w:rPr>
          <w:rFonts w:eastAsia="Aptos"/>
          <w:i/>
          <w:iCs/>
          <w:color w:val="auto"/>
          <w:kern w:val="2"/>
          <w:sz w:val="22"/>
          <w:szCs w:val="22"/>
          <w:lang w:eastAsia="en-US"/>
          <w14:ligatures w14:val="standardContextual"/>
        </w:rPr>
        <w:t>The reflective practice guide: An interdisciplinary approach to critical reflection</w:t>
      </w:r>
      <w:r w:rsidRPr="003D5497">
        <w:rPr>
          <w:rFonts w:eastAsia="Aptos"/>
          <w:color w:val="auto"/>
          <w:kern w:val="2"/>
          <w:sz w:val="22"/>
          <w:szCs w:val="22"/>
          <w:lang w:eastAsia="en-US"/>
          <w14:ligatures w14:val="standardContextual"/>
        </w:rPr>
        <w:t>. London: Routledge.</w:t>
      </w:r>
    </w:p>
    <w:p w14:paraId="1507470F"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Beckett, C. (2006). </w:t>
      </w:r>
      <w:r w:rsidRPr="003D5497">
        <w:rPr>
          <w:rFonts w:eastAsia="Aptos"/>
          <w:i/>
          <w:iCs/>
          <w:color w:val="auto"/>
          <w:kern w:val="2"/>
          <w:sz w:val="22"/>
          <w:szCs w:val="22"/>
          <w:lang w:eastAsia="en-US"/>
          <w14:ligatures w14:val="standardContextual"/>
        </w:rPr>
        <w:t>Essential theory for social work practice</w:t>
      </w:r>
      <w:r w:rsidRPr="003D5497">
        <w:rPr>
          <w:rFonts w:eastAsia="Aptos"/>
          <w:color w:val="auto"/>
          <w:kern w:val="2"/>
          <w:sz w:val="22"/>
          <w:szCs w:val="22"/>
          <w:lang w:eastAsia="en-US"/>
          <w14:ligatures w14:val="standardContextual"/>
        </w:rPr>
        <w:t>. London: Sage.</w:t>
      </w:r>
    </w:p>
    <w:p w14:paraId="533DD7B3"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Borton, T. (1970). </w:t>
      </w:r>
      <w:r w:rsidRPr="003D5497">
        <w:rPr>
          <w:rFonts w:eastAsia="Aptos"/>
          <w:i/>
          <w:iCs/>
          <w:color w:val="auto"/>
          <w:kern w:val="2"/>
          <w:sz w:val="22"/>
          <w:szCs w:val="22"/>
          <w:lang w:eastAsia="en-US"/>
          <w14:ligatures w14:val="standardContextual"/>
        </w:rPr>
        <w:t>Reach, touch and teach</w:t>
      </w:r>
      <w:r w:rsidRPr="003D5497">
        <w:rPr>
          <w:rFonts w:eastAsia="Aptos"/>
          <w:color w:val="auto"/>
          <w:kern w:val="2"/>
          <w:sz w:val="22"/>
          <w:szCs w:val="22"/>
          <w:lang w:eastAsia="en-US"/>
          <w14:ligatures w14:val="standardContextual"/>
        </w:rPr>
        <w:t>. London: Hutchinson.</w:t>
      </w:r>
    </w:p>
    <w:p w14:paraId="0688D249"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Bowlby, J. (1971). </w:t>
      </w:r>
      <w:r w:rsidRPr="003D5497">
        <w:rPr>
          <w:rFonts w:eastAsia="Aptos"/>
          <w:i/>
          <w:iCs/>
          <w:color w:val="auto"/>
          <w:kern w:val="2"/>
          <w:sz w:val="22"/>
          <w:szCs w:val="22"/>
          <w:lang w:eastAsia="en-US"/>
          <w14:ligatures w14:val="standardContextual"/>
        </w:rPr>
        <w:t>Attachment and loss</w:t>
      </w:r>
      <w:r w:rsidRPr="003D5497">
        <w:rPr>
          <w:rFonts w:eastAsia="Aptos"/>
          <w:color w:val="auto"/>
          <w:kern w:val="2"/>
          <w:sz w:val="22"/>
          <w:szCs w:val="22"/>
          <w:lang w:eastAsia="en-US"/>
          <w14:ligatures w14:val="standardContextual"/>
        </w:rPr>
        <w:t>. London: Random House.</w:t>
      </w:r>
    </w:p>
    <w:p w14:paraId="49F7EF5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Brammer, L. (2003). </w:t>
      </w:r>
      <w:r w:rsidRPr="003D5497">
        <w:rPr>
          <w:rFonts w:eastAsia="Aptos"/>
          <w:i/>
          <w:iCs/>
          <w:color w:val="auto"/>
          <w:kern w:val="2"/>
          <w:sz w:val="22"/>
          <w:szCs w:val="22"/>
          <w:lang w:eastAsia="en-US"/>
          <w14:ligatures w14:val="standardContextual"/>
        </w:rPr>
        <w:t>The helping relationship: Process and skills</w:t>
      </w:r>
      <w:r w:rsidRPr="003D5497">
        <w:rPr>
          <w:rFonts w:eastAsia="Aptos"/>
          <w:color w:val="auto"/>
          <w:kern w:val="2"/>
          <w:sz w:val="22"/>
          <w:szCs w:val="22"/>
          <w:lang w:eastAsia="en-US"/>
          <w14:ligatures w14:val="standardContextual"/>
        </w:rPr>
        <w:t>. Boston: Allyn &amp; Bacon.</w:t>
      </w:r>
    </w:p>
    <w:p w14:paraId="47A5DEF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British Association of Social Workers (BASW). (2012). </w:t>
      </w:r>
      <w:r w:rsidRPr="003D5497">
        <w:rPr>
          <w:rFonts w:eastAsia="Aptos"/>
          <w:i/>
          <w:iCs/>
          <w:color w:val="auto"/>
          <w:kern w:val="2"/>
          <w:sz w:val="22"/>
          <w:szCs w:val="22"/>
          <w:lang w:eastAsia="en-US"/>
          <w14:ligatures w14:val="standardContextual"/>
        </w:rPr>
        <w:t>About BASW</w:t>
      </w:r>
      <w:r w:rsidRPr="003D5497">
        <w:rPr>
          <w:rFonts w:eastAsia="Aptos"/>
          <w:color w:val="auto"/>
          <w:kern w:val="2"/>
          <w:sz w:val="22"/>
          <w:szCs w:val="22"/>
          <w:lang w:eastAsia="en-US"/>
          <w14:ligatures w14:val="standardContextual"/>
        </w:rPr>
        <w:t>. Available at: https://basw.co.uk/about-basw (Accessed: 25 April 2025).</w:t>
      </w:r>
    </w:p>
    <w:p w14:paraId="41681F1F"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Children Act 1989 (c.41). (1989).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https://www.legislation.gov.uk/ukpga/1989/41/contents (Accessed: 15 February 2026).</w:t>
      </w:r>
    </w:p>
    <w:p w14:paraId="527EBD3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Clawson, R., </w:t>
      </w:r>
      <w:proofErr w:type="spellStart"/>
      <w:r w:rsidRPr="003D5497">
        <w:rPr>
          <w:rFonts w:eastAsia="Aptos"/>
          <w:color w:val="auto"/>
          <w:kern w:val="2"/>
          <w:sz w:val="22"/>
          <w:szCs w:val="22"/>
          <w:lang w:eastAsia="en-US"/>
          <w14:ligatures w14:val="standardContextual"/>
        </w:rPr>
        <w:t>Fyson</w:t>
      </w:r>
      <w:proofErr w:type="spellEnd"/>
      <w:r w:rsidRPr="003D5497">
        <w:rPr>
          <w:rFonts w:eastAsia="Aptos"/>
          <w:color w:val="auto"/>
          <w:kern w:val="2"/>
          <w:sz w:val="22"/>
          <w:szCs w:val="22"/>
          <w:lang w:eastAsia="en-US"/>
          <w14:ligatures w14:val="standardContextual"/>
        </w:rPr>
        <w:t xml:space="preserve">, R. and Warwick, L. (2024). </w:t>
      </w:r>
      <w:r w:rsidRPr="003D5497">
        <w:rPr>
          <w:rFonts w:eastAsia="Aptos"/>
          <w:i/>
          <w:iCs/>
          <w:color w:val="auto"/>
          <w:kern w:val="2"/>
          <w:sz w:val="22"/>
          <w:szCs w:val="22"/>
          <w:lang w:eastAsia="en-US"/>
          <w14:ligatures w14:val="standardContextual"/>
        </w:rPr>
        <w:t>The child protection handbook</w:t>
      </w:r>
      <w:r w:rsidRPr="003D5497">
        <w:rPr>
          <w:rFonts w:eastAsia="Aptos"/>
          <w:color w:val="auto"/>
          <w:kern w:val="2"/>
          <w:sz w:val="22"/>
          <w:szCs w:val="22"/>
          <w:lang w:eastAsia="en-US"/>
          <w14:ligatures w14:val="standardContextual"/>
        </w:rPr>
        <w:t xml:space="preserve"> (4th </w:t>
      </w:r>
      <w:proofErr w:type="spellStart"/>
      <w:r w:rsidRPr="003D5497">
        <w:rPr>
          <w:rFonts w:eastAsia="Aptos"/>
          <w:color w:val="auto"/>
          <w:kern w:val="2"/>
          <w:sz w:val="22"/>
          <w:szCs w:val="22"/>
          <w:lang w:eastAsia="en-US"/>
          <w14:ligatures w14:val="standardContextual"/>
        </w:rPr>
        <w:t>edn</w:t>
      </w:r>
      <w:proofErr w:type="spellEnd"/>
      <w:r w:rsidRPr="003D5497">
        <w:rPr>
          <w:rFonts w:eastAsia="Aptos"/>
          <w:color w:val="auto"/>
          <w:kern w:val="2"/>
          <w:sz w:val="22"/>
          <w:szCs w:val="22"/>
          <w:lang w:eastAsia="en-US"/>
          <w14:ligatures w14:val="standardContextual"/>
        </w:rPr>
        <w:t>). London: Elsevier.</w:t>
      </w:r>
    </w:p>
    <w:p w14:paraId="632E5986"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DiClemente, C. C. and Prochaska, J. O. (1983). </w:t>
      </w:r>
      <w:r w:rsidRPr="003D5497">
        <w:rPr>
          <w:rFonts w:eastAsia="Aptos"/>
          <w:i/>
          <w:iCs/>
          <w:color w:val="auto"/>
          <w:kern w:val="2"/>
          <w:sz w:val="22"/>
          <w:szCs w:val="22"/>
          <w:lang w:eastAsia="en-US"/>
          <w14:ligatures w14:val="standardContextual"/>
        </w:rPr>
        <w:t>Stages of change</w:t>
      </w:r>
      <w:r w:rsidRPr="003D5497">
        <w:rPr>
          <w:rFonts w:eastAsia="Aptos"/>
          <w:color w:val="auto"/>
          <w:kern w:val="2"/>
          <w:sz w:val="22"/>
          <w:szCs w:val="22"/>
          <w:lang w:eastAsia="en-US"/>
          <w14:ligatures w14:val="standardContextual"/>
        </w:rPr>
        <w:t>. New York: Springer.</w:t>
      </w:r>
    </w:p>
    <w:p w14:paraId="042D4266"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Driscoll, J. (2007). </w:t>
      </w:r>
      <w:r w:rsidRPr="003D5497">
        <w:rPr>
          <w:rFonts w:eastAsia="Aptos"/>
          <w:i/>
          <w:iCs/>
          <w:color w:val="auto"/>
          <w:kern w:val="2"/>
          <w:sz w:val="22"/>
          <w:szCs w:val="22"/>
          <w:lang w:eastAsia="en-US"/>
          <w14:ligatures w14:val="standardContextual"/>
        </w:rPr>
        <w:t>Practising clinical supervision: A reflective approach for healthcare professionals</w:t>
      </w:r>
      <w:r w:rsidRPr="003D5497">
        <w:rPr>
          <w:rFonts w:eastAsia="Aptos"/>
          <w:color w:val="auto"/>
          <w:kern w:val="2"/>
          <w:sz w:val="22"/>
          <w:szCs w:val="22"/>
          <w:lang w:eastAsia="en-US"/>
          <w14:ligatures w14:val="standardContextual"/>
        </w:rPr>
        <w:t>. Edinburgh: Elsevier.</w:t>
      </w:r>
    </w:p>
    <w:p w14:paraId="5758F8ED" w14:textId="77777777" w:rsid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Equality Act 2010 (c.15). (2010).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https://www.legislation.gov.uk/ukpga/2010/15/contents (Accessed: 20 August 2025).</w:t>
      </w:r>
    </w:p>
    <w:p w14:paraId="00060598" w14:textId="3A778FEB" w:rsidR="000B2992" w:rsidRPr="003D5497" w:rsidRDefault="000B2992" w:rsidP="003D5497">
      <w:pPr>
        <w:keepNext/>
        <w:spacing w:before="240" w:after="60"/>
        <w:jc w:val="both"/>
        <w:rPr>
          <w:rFonts w:eastAsia="Aptos"/>
          <w:color w:val="auto"/>
          <w:kern w:val="2"/>
          <w:sz w:val="22"/>
          <w:szCs w:val="22"/>
          <w:lang w:eastAsia="en-US"/>
          <w14:ligatures w14:val="standardContextual"/>
        </w:rPr>
      </w:pPr>
      <w:r w:rsidRPr="000B2992">
        <w:rPr>
          <w:rFonts w:eastAsia="Aptos"/>
          <w:color w:val="auto"/>
          <w:kern w:val="2"/>
          <w:sz w:val="22"/>
          <w:szCs w:val="22"/>
          <w:lang w:eastAsia="en-US"/>
          <w14:ligatures w14:val="standardContextual"/>
        </w:rPr>
        <w:t>Gibbs, G. (1988) Learning by Doing: A Guide to Teaching and Learning Methods. Oxford: Oxford Polytechnic.</w:t>
      </w:r>
    </w:p>
    <w:p w14:paraId="0B528CF1"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Harrison, S. M. (2015). </w:t>
      </w:r>
      <w:r w:rsidRPr="003D5497">
        <w:rPr>
          <w:rFonts w:eastAsia="Aptos"/>
          <w:i/>
          <w:iCs/>
          <w:color w:val="auto"/>
          <w:kern w:val="2"/>
          <w:sz w:val="22"/>
          <w:szCs w:val="22"/>
          <w:lang w:eastAsia="en-US"/>
          <w14:ligatures w14:val="standardContextual"/>
        </w:rPr>
        <w:t>Theory and practice: A straightforward guide for social work students</w:t>
      </w:r>
      <w:r w:rsidRPr="003D5497">
        <w:rPr>
          <w:rFonts w:eastAsia="Aptos"/>
          <w:color w:val="auto"/>
          <w:kern w:val="2"/>
          <w:sz w:val="22"/>
          <w:szCs w:val="22"/>
          <w:lang w:eastAsia="en-US"/>
          <w14:ligatures w14:val="standardContextual"/>
        </w:rPr>
        <w:t xml:space="preserve"> (3rd </w:t>
      </w:r>
      <w:proofErr w:type="spellStart"/>
      <w:r w:rsidRPr="003D5497">
        <w:rPr>
          <w:rFonts w:eastAsia="Aptos"/>
          <w:color w:val="auto"/>
          <w:kern w:val="2"/>
          <w:sz w:val="22"/>
          <w:szCs w:val="22"/>
          <w:lang w:eastAsia="en-US"/>
          <w14:ligatures w14:val="standardContextual"/>
        </w:rPr>
        <w:t>edn</w:t>
      </w:r>
      <w:proofErr w:type="spellEnd"/>
      <w:r w:rsidRPr="003D5497">
        <w:rPr>
          <w:rFonts w:eastAsia="Aptos"/>
          <w:color w:val="auto"/>
          <w:kern w:val="2"/>
          <w:sz w:val="22"/>
          <w:szCs w:val="22"/>
          <w:lang w:eastAsia="en-US"/>
          <w14:ligatures w14:val="standardContextual"/>
        </w:rPr>
        <w:t>). Lichfield: Kirwin Maclean Associates.</w:t>
      </w:r>
    </w:p>
    <w:p w14:paraId="78F5C227"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Harvey, D. (2025). </w:t>
      </w:r>
      <w:r w:rsidRPr="003D5497">
        <w:rPr>
          <w:rFonts w:eastAsia="Aptos"/>
          <w:i/>
          <w:iCs/>
          <w:color w:val="auto"/>
          <w:kern w:val="2"/>
          <w:sz w:val="22"/>
          <w:szCs w:val="22"/>
          <w:lang w:eastAsia="en-US"/>
          <w14:ligatures w14:val="standardContextual"/>
        </w:rPr>
        <w:t>Effective personal and professional judgement in social work</w:t>
      </w:r>
      <w:r w:rsidRPr="003D5497">
        <w:rPr>
          <w:rFonts w:eastAsia="Aptos"/>
          <w:color w:val="auto"/>
          <w:kern w:val="2"/>
          <w:sz w:val="22"/>
          <w:szCs w:val="22"/>
          <w:lang w:eastAsia="en-US"/>
          <w14:ligatures w14:val="standardContextual"/>
        </w:rPr>
        <w:t>. London: Routledge.</w:t>
      </w:r>
    </w:p>
    <w:p w14:paraId="072652C0" w14:textId="77777777" w:rsid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lastRenderedPageBreak/>
        <w:t xml:space="preserve">Healy, K. (2018). </w:t>
      </w:r>
      <w:r w:rsidRPr="003D5497">
        <w:rPr>
          <w:rFonts w:eastAsia="Aptos"/>
          <w:i/>
          <w:iCs/>
          <w:color w:val="auto"/>
          <w:kern w:val="2"/>
          <w:sz w:val="22"/>
          <w:szCs w:val="22"/>
          <w:lang w:eastAsia="en-US"/>
          <w14:ligatures w14:val="standardContextual"/>
        </w:rPr>
        <w:t>The skilled communicator in social work</w:t>
      </w:r>
      <w:r w:rsidRPr="003D5497">
        <w:rPr>
          <w:rFonts w:eastAsia="Aptos"/>
          <w:color w:val="auto"/>
          <w:kern w:val="2"/>
          <w:sz w:val="22"/>
          <w:szCs w:val="22"/>
          <w:lang w:eastAsia="en-US"/>
          <w14:ligatures w14:val="standardContextual"/>
        </w:rPr>
        <w:t>. London: Palgrave Macmillan.</w:t>
      </w:r>
    </w:p>
    <w:p w14:paraId="5CBF6A62" w14:textId="35A1020E" w:rsidR="00721193" w:rsidRPr="003D5497" w:rsidRDefault="00721193" w:rsidP="003D5497">
      <w:pPr>
        <w:keepNext/>
        <w:spacing w:before="240" w:after="60"/>
        <w:jc w:val="both"/>
        <w:rPr>
          <w:rFonts w:eastAsia="Aptos"/>
          <w:color w:val="auto"/>
          <w:kern w:val="2"/>
          <w:sz w:val="22"/>
          <w:szCs w:val="22"/>
          <w:lang w:eastAsia="en-US"/>
          <w14:ligatures w14:val="standardContextual"/>
        </w:rPr>
      </w:pPr>
      <w:r w:rsidRPr="00721193">
        <w:rPr>
          <w:rFonts w:eastAsia="Aptos"/>
          <w:color w:val="auto"/>
          <w:kern w:val="2"/>
          <w:sz w:val="22"/>
          <w:szCs w:val="22"/>
          <w:lang w:eastAsia="en-US"/>
          <w14:ligatures w14:val="standardContextual"/>
        </w:rPr>
        <w:t>Horwath, J. (2010) The Child’s World: The Comprehensive Guide to Assessing Children in Need. London: Jessica Kingsley</w:t>
      </w:r>
    </w:p>
    <w:p w14:paraId="64413789" w14:textId="4A89A96C" w:rsid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Human Rights Act 1998 (c.42). (1998).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https://www.legislation.gov.uk/ukpga/1998/42/contents (Accessed: 20 August 2025).</w:t>
      </w:r>
    </w:p>
    <w:p w14:paraId="046A8DF5" w14:textId="2568CC02" w:rsidR="00A64073" w:rsidRPr="00A64073" w:rsidRDefault="00A64073" w:rsidP="003D5497">
      <w:pPr>
        <w:keepNext/>
        <w:spacing w:before="240" w:after="60"/>
        <w:jc w:val="both"/>
        <w:rPr>
          <w:rFonts w:eastAsia="Aptos"/>
          <w:color w:val="auto"/>
          <w:kern w:val="2"/>
          <w:sz w:val="22"/>
          <w:szCs w:val="22"/>
          <w:lang w:eastAsia="en-US"/>
          <w14:ligatures w14:val="standardContextual"/>
        </w:rPr>
      </w:pPr>
      <w:r w:rsidRPr="00A64073">
        <w:rPr>
          <w:rFonts w:eastAsia="Aptos"/>
          <w:color w:val="auto"/>
          <w:kern w:val="2"/>
          <w:sz w:val="22"/>
          <w:szCs w:val="22"/>
          <w:lang w:eastAsia="en-US"/>
          <w14:ligatures w14:val="standardContextual"/>
        </w:rPr>
        <w:t>HM Government (2018) Working Together to Safeguard Children. London: HMSO.</w:t>
      </w:r>
    </w:p>
    <w:p w14:paraId="34FC6DE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Mental Capacity Act 2005 (c.9). (2005).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https://www.legislation.gov.uk/ukpga/2005/9/contents (Accessed: 1 September 2025).</w:t>
      </w:r>
    </w:p>
    <w:p w14:paraId="5311A078" w14:textId="77777777" w:rsid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Morris, K. (2009). Social work and multi</w:t>
      </w:r>
      <w:r w:rsidRPr="003D5497">
        <w:rPr>
          <w:rFonts w:eastAsia="Aptos"/>
          <w:color w:val="auto"/>
          <w:kern w:val="2"/>
          <w:sz w:val="22"/>
          <w:szCs w:val="22"/>
          <w:lang w:eastAsia="en-US"/>
          <w14:ligatures w14:val="standardContextual"/>
        </w:rPr>
        <w:noBreakHyphen/>
        <w:t xml:space="preserve">agency working: Making a difference. </w:t>
      </w:r>
      <w:r w:rsidRPr="003D5497">
        <w:rPr>
          <w:rFonts w:eastAsia="Aptos"/>
          <w:i/>
          <w:iCs/>
          <w:color w:val="auto"/>
          <w:kern w:val="2"/>
          <w:sz w:val="22"/>
          <w:szCs w:val="22"/>
          <w:lang w:eastAsia="en-US"/>
          <w14:ligatures w14:val="standardContextual"/>
        </w:rPr>
        <w:t>The British Journal of Social Work</w:t>
      </w:r>
      <w:r w:rsidRPr="003D5497">
        <w:rPr>
          <w:rFonts w:eastAsia="Aptos"/>
          <w:color w:val="auto"/>
          <w:kern w:val="2"/>
          <w:sz w:val="22"/>
          <w:szCs w:val="22"/>
          <w:lang w:eastAsia="en-US"/>
          <w14:ligatures w14:val="standardContextual"/>
        </w:rPr>
        <w:t>, 39(1), pp. 162–179.</w:t>
      </w:r>
    </w:p>
    <w:p w14:paraId="6146E46C" w14:textId="77777777" w:rsidR="00721193" w:rsidRPr="00721193" w:rsidRDefault="00721193" w:rsidP="00721193">
      <w:pPr>
        <w:keepNext/>
        <w:spacing w:before="240" w:after="60"/>
        <w:jc w:val="both"/>
        <w:rPr>
          <w:rFonts w:eastAsia="Aptos"/>
          <w:color w:val="auto"/>
          <w:kern w:val="2"/>
          <w:sz w:val="22"/>
          <w:szCs w:val="22"/>
          <w:lang w:eastAsia="en-US"/>
          <w14:ligatures w14:val="standardContextual"/>
        </w:rPr>
      </w:pPr>
      <w:r w:rsidRPr="00721193">
        <w:rPr>
          <w:rFonts w:eastAsia="Aptos"/>
          <w:color w:val="auto"/>
          <w:kern w:val="2"/>
          <w:sz w:val="22"/>
          <w:szCs w:val="22"/>
          <w:lang w:eastAsia="en-US"/>
          <w14:ligatures w14:val="standardContextual"/>
        </w:rPr>
        <w:t>Morrison, T. (2005) Staff Supervision in Social Care. Brighton: Pavilion</w:t>
      </w:r>
    </w:p>
    <w:p w14:paraId="6645FC19" w14:textId="77777777" w:rsid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Moss, B. (2017). </w:t>
      </w:r>
      <w:r w:rsidRPr="003D5497">
        <w:rPr>
          <w:rFonts w:eastAsia="Aptos"/>
          <w:i/>
          <w:iCs/>
          <w:color w:val="auto"/>
          <w:kern w:val="2"/>
          <w:sz w:val="22"/>
          <w:szCs w:val="22"/>
          <w:lang w:eastAsia="en-US"/>
          <w14:ligatures w14:val="standardContextual"/>
        </w:rPr>
        <w:t>Communication skills in health and social care</w:t>
      </w:r>
      <w:r w:rsidRPr="003D5497">
        <w:rPr>
          <w:rFonts w:eastAsia="Aptos"/>
          <w:color w:val="auto"/>
          <w:kern w:val="2"/>
          <w:sz w:val="22"/>
          <w:szCs w:val="22"/>
          <w:lang w:eastAsia="en-US"/>
          <w14:ligatures w14:val="standardContextual"/>
        </w:rPr>
        <w:t xml:space="preserve"> (4th </w:t>
      </w:r>
      <w:proofErr w:type="spellStart"/>
      <w:r w:rsidRPr="003D5497">
        <w:rPr>
          <w:rFonts w:eastAsia="Aptos"/>
          <w:color w:val="auto"/>
          <w:kern w:val="2"/>
          <w:sz w:val="22"/>
          <w:szCs w:val="22"/>
          <w:lang w:eastAsia="en-US"/>
          <w14:ligatures w14:val="standardContextual"/>
        </w:rPr>
        <w:t>edn</w:t>
      </w:r>
      <w:proofErr w:type="spellEnd"/>
      <w:r w:rsidRPr="003D5497">
        <w:rPr>
          <w:rFonts w:eastAsia="Aptos"/>
          <w:color w:val="auto"/>
          <w:kern w:val="2"/>
          <w:sz w:val="22"/>
          <w:szCs w:val="22"/>
          <w:lang w:eastAsia="en-US"/>
          <w14:ligatures w14:val="standardContextual"/>
        </w:rPr>
        <w:t>). London: Sage.</w:t>
      </w:r>
    </w:p>
    <w:p w14:paraId="638BD861" w14:textId="1C8B6A81" w:rsidR="004615B9" w:rsidRPr="003D5497" w:rsidRDefault="004615B9" w:rsidP="003D5497">
      <w:pPr>
        <w:keepNext/>
        <w:spacing w:before="240" w:after="60"/>
        <w:jc w:val="both"/>
        <w:rPr>
          <w:rFonts w:eastAsia="Aptos"/>
          <w:color w:val="auto"/>
          <w:kern w:val="2"/>
          <w:sz w:val="22"/>
          <w:szCs w:val="22"/>
          <w:lang w:eastAsia="en-US"/>
          <w14:ligatures w14:val="standardContextual"/>
        </w:rPr>
      </w:pPr>
      <w:r w:rsidRPr="004615B9">
        <w:rPr>
          <w:rFonts w:eastAsia="Aptos"/>
          <w:color w:val="auto"/>
          <w:kern w:val="2"/>
          <w:sz w:val="22"/>
          <w:szCs w:val="22"/>
          <w:lang w:eastAsia="en-US"/>
          <w14:ligatures w14:val="standardContextual"/>
        </w:rPr>
        <w:t>Munro, E. (2011) The Munro Review of Child Protection: Final Report. London: Department for Education.</w:t>
      </w:r>
    </w:p>
    <w:p w14:paraId="25E5497D"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NSPCC. (2024). </w:t>
      </w:r>
      <w:r w:rsidRPr="003D5497">
        <w:rPr>
          <w:rFonts w:eastAsia="Aptos"/>
          <w:i/>
          <w:iCs/>
          <w:color w:val="auto"/>
          <w:kern w:val="2"/>
          <w:sz w:val="22"/>
          <w:szCs w:val="22"/>
          <w:lang w:eastAsia="en-US"/>
          <w14:ligatures w14:val="standardContextual"/>
        </w:rPr>
        <w:t>NSPCC</w:t>
      </w:r>
      <w:r w:rsidRPr="003D5497">
        <w:rPr>
          <w:rFonts w:eastAsia="Aptos"/>
          <w:color w:val="auto"/>
          <w:kern w:val="2"/>
          <w:sz w:val="22"/>
          <w:szCs w:val="22"/>
          <w:lang w:eastAsia="en-US"/>
          <w14:ligatures w14:val="standardContextual"/>
        </w:rPr>
        <w:t>. Available at: https://www.nspcc.org.uk (Accessed: 3 September 2025).</w:t>
      </w:r>
    </w:p>
    <w:p w14:paraId="6841044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Payne, M. (2020). </w:t>
      </w:r>
      <w:r w:rsidRPr="003D5497">
        <w:rPr>
          <w:rFonts w:eastAsia="Aptos"/>
          <w:i/>
          <w:iCs/>
          <w:color w:val="auto"/>
          <w:kern w:val="2"/>
          <w:sz w:val="22"/>
          <w:szCs w:val="22"/>
          <w:lang w:eastAsia="en-US"/>
          <w14:ligatures w14:val="standardContextual"/>
        </w:rPr>
        <w:t>How to use social work theory in practice</w:t>
      </w:r>
      <w:r w:rsidRPr="003D5497">
        <w:rPr>
          <w:rFonts w:eastAsia="Aptos"/>
          <w:color w:val="auto"/>
          <w:kern w:val="2"/>
          <w:sz w:val="22"/>
          <w:szCs w:val="22"/>
          <w:lang w:eastAsia="en-US"/>
          <w14:ligatures w14:val="standardContextual"/>
        </w:rPr>
        <w:t xml:space="preserve"> (2nd </w:t>
      </w:r>
      <w:proofErr w:type="spellStart"/>
      <w:r w:rsidRPr="003D5497">
        <w:rPr>
          <w:rFonts w:eastAsia="Aptos"/>
          <w:color w:val="auto"/>
          <w:kern w:val="2"/>
          <w:sz w:val="22"/>
          <w:szCs w:val="22"/>
          <w:lang w:eastAsia="en-US"/>
          <w14:ligatures w14:val="standardContextual"/>
        </w:rPr>
        <w:t>edn</w:t>
      </w:r>
      <w:proofErr w:type="spellEnd"/>
      <w:r w:rsidRPr="003D5497">
        <w:rPr>
          <w:rFonts w:eastAsia="Aptos"/>
          <w:color w:val="auto"/>
          <w:kern w:val="2"/>
          <w:sz w:val="22"/>
          <w:szCs w:val="22"/>
          <w:lang w:eastAsia="en-US"/>
          <w14:ligatures w14:val="standardContextual"/>
        </w:rPr>
        <w:t>). London: Sage.</w:t>
      </w:r>
    </w:p>
    <w:p w14:paraId="214EA0D1"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Public Health Wales. (2025). </w:t>
      </w:r>
      <w:r w:rsidRPr="003D5497">
        <w:rPr>
          <w:rFonts w:eastAsia="Aptos"/>
          <w:i/>
          <w:iCs/>
          <w:color w:val="auto"/>
          <w:kern w:val="2"/>
          <w:sz w:val="22"/>
          <w:szCs w:val="22"/>
          <w:lang w:eastAsia="en-US"/>
          <w14:ligatures w14:val="standardContextual"/>
        </w:rPr>
        <w:t>Public Health Wales</w:t>
      </w:r>
      <w:r w:rsidRPr="003D5497">
        <w:rPr>
          <w:rFonts w:eastAsia="Aptos"/>
          <w:color w:val="auto"/>
          <w:kern w:val="2"/>
          <w:sz w:val="22"/>
          <w:szCs w:val="22"/>
          <w:lang w:eastAsia="en-US"/>
          <w14:ligatures w14:val="standardContextual"/>
        </w:rPr>
        <w:t>. Available at: https://phw.nhs.wales/ (Accessed: 30 August 2025).</w:t>
      </w:r>
    </w:p>
    <w:p w14:paraId="607C372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Richardson, B. (2017). </w:t>
      </w:r>
      <w:r w:rsidRPr="003D5497">
        <w:rPr>
          <w:rFonts w:eastAsia="Aptos"/>
          <w:i/>
          <w:iCs/>
          <w:color w:val="auto"/>
          <w:kern w:val="2"/>
          <w:sz w:val="22"/>
          <w:szCs w:val="22"/>
          <w:lang w:eastAsia="en-US"/>
          <w14:ligatures w14:val="standardContextual"/>
        </w:rPr>
        <w:t>Communication skills</w:t>
      </w:r>
      <w:r w:rsidRPr="003D5497">
        <w:rPr>
          <w:rFonts w:eastAsia="Aptos"/>
          <w:color w:val="auto"/>
          <w:kern w:val="2"/>
          <w:sz w:val="22"/>
          <w:szCs w:val="22"/>
          <w:lang w:eastAsia="en-US"/>
          <w14:ligatures w14:val="standardContextual"/>
        </w:rPr>
        <w:t>. CreateSpace Independent Publishing Platform.</w:t>
      </w:r>
    </w:p>
    <w:p w14:paraId="185CF371" w14:textId="77777777" w:rsid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Rogers, C. R. (1951). </w:t>
      </w:r>
      <w:r w:rsidRPr="003D5497">
        <w:rPr>
          <w:rFonts w:eastAsia="Aptos"/>
          <w:i/>
          <w:iCs/>
          <w:color w:val="auto"/>
          <w:kern w:val="2"/>
          <w:sz w:val="22"/>
          <w:szCs w:val="22"/>
          <w:lang w:eastAsia="en-US"/>
          <w14:ligatures w14:val="standardContextual"/>
        </w:rPr>
        <w:t>Client</w:t>
      </w:r>
      <w:r w:rsidRPr="003D5497">
        <w:rPr>
          <w:rFonts w:eastAsia="Aptos"/>
          <w:i/>
          <w:iCs/>
          <w:color w:val="auto"/>
          <w:kern w:val="2"/>
          <w:sz w:val="22"/>
          <w:szCs w:val="22"/>
          <w:lang w:eastAsia="en-US"/>
          <w14:ligatures w14:val="standardContextual"/>
        </w:rPr>
        <w:noBreakHyphen/>
        <w:t>centred therapy: Its current practice, implications and theory</w:t>
      </w:r>
      <w:r w:rsidRPr="003D5497">
        <w:rPr>
          <w:rFonts w:eastAsia="Aptos"/>
          <w:color w:val="auto"/>
          <w:kern w:val="2"/>
          <w:sz w:val="22"/>
          <w:szCs w:val="22"/>
          <w:lang w:eastAsia="en-US"/>
          <w14:ligatures w14:val="standardContextual"/>
        </w:rPr>
        <w:t>. Boston: Houghton Mifflin.</w:t>
      </w:r>
    </w:p>
    <w:p w14:paraId="26B899D8" w14:textId="545EA397" w:rsidR="004615B9" w:rsidRPr="003D5497" w:rsidRDefault="004615B9" w:rsidP="003D5497">
      <w:pPr>
        <w:keepNext/>
        <w:spacing w:before="240" w:after="60"/>
        <w:jc w:val="both"/>
        <w:rPr>
          <w:rFonts w:eastAsia="Aptos"/>
          <w:color w:val="auto"/>
          <w:kern w:val="2"/>
          <w:sz w:val="22"/>
          <w:szCs w:val="22"/>
          <w:lang w:eastAsia="en-US"/>
          <w14:ligatures w14:val="standardContextual"/>
        </w:rPr>
      </w:pPr>
      <w:r w:rsidRPr="004615B9">
        <w:rPr>
          <w:rFonts w:eastAsia="Aptos"/>
          <w:color w:val="auto"/>
          <w:kern w:val="2"/>
          <w:sz w:val="22"/>
          <w:szCs w:val="22"/>
          <w:lang w:eastAsia="en-US"/>
          <w14:ligatures w14:val="standardContextual"/>
        </w:rPr>
        <w:t>Ruch, G., Turney, D. and Ward, A. (2018) Relationship-Based Social Work. 2nd ed. London: Jessica Kingsley.</w:t>
      </w:r>
    </w:p>
    <w:p w14:paraId="40F3FDD5"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Signs of Safety. (2024). </w:t>
      </w:r>
      <w:r w:rsidRPr="003D5497">
        <w:rPr>
          <w:rFonts w:eastAsia="Aptos"/>
          <w:i/>
          <w:iCs/>
          <w:color w:val="auto"/>
          <w:kern w:val="2"/>
          <w:sz w:val="22"/>
          <w:szCs w:val="22"/>
          <w:lang w:eastAsia="en-US"/>
          <w14:ligatures w14:val="standardContextual"/>
        </w:rPr>
        <w:t xml:space="preserve">What </w:t>
      </w:r>
      <w:proofErr w:type="gramStart"/>
      <w:r w:rsidRPr="003D5497">
        <w:rPr>
          <w:rFonts w:eastAsia="Aptos"/>
          <w:i/>
          <w:iCs/>
          <w:color w:val="auto"/>
          <w:kern w:val="2"/>
          <w:sz w:val="22"/>
          <w:szCs w:val="22"/>
          <w:lang w:eastAsia="en-US"/>
          <w14:ligatures w14:val="standardContextual"/>
        </w:rPr>
        <w:t>is</w:t>
      </w:r>
      <w:proofErr w:type="gramEnd"/>
      <w:r w:rsidRPr="003D5497">
        <w:rPr>
          <w:rFonts w:eastAsia="Aptos"/>
          <w:i/>
          <w:iCs/>
          <w:color w:val="auto"/>
          <w:kern w:val="2"/>
          <w:sz w:val="22"/>
          <w:szCs w:val="22"/>
          <w:lang w:eastAsia="en-US"/>
          <w14:ligatures w14:val="standardContextual"/>
        </w:rPr>
        <w:t xml:space="preserve"> Signs of Safety?</w:t>
      </w:r>
      <w:r w:rsidRPr="003D5497">
        <w:rPr>
          <w:rFonts w:eastAsia="Aptos"/>
          <w:color w:val="auto"/>
          <w:kern w:val="2"/>
          <w:sz w:val="22"/>
          <w:szCs w:val="22"/>
          <w:lang w:eastAsia="en-US"/>
          <w14:ligatures w14:val="standardContextual"/>
        </w:rPr>
        <w:t xml:space="preserve"> Available at: https://www.signsofsafety.net/what-is-sofs/ (Accessed: 25 April 2025).</w:t>
      </w:r>
    </w:p>
    <w:p w14:paraId="6B5DAEAA"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Social Care Wales. (2017). </w:t>
      </w:r>
      <w:r w:rsidRPr="003D5497">
        <w:rPr>
          <w:rFonts w:eastAsia="Aptos"/>
          <w:i/>
          <w:iCs/>
          <w:color w:val="auto"/>
          <w:kern w:val="2"/>
          <w:sz w:val="22"/>
          <w:szCs w:val="22"/>
          <w:lang w:eastAsia="en-US"/>
          <w14:ligatures w14:val="standardContextual"/>
        </w:rPr>
        <w:t>Code of professional practice for social care</w:t>
      </w:r>
      <w:r w:rsidRPr="003D5497">
        <w:rPr>
          <w:rFonts w:eastAsia="Aptos"/>
          <w:color w:val="auto"/>
          <w:kern w:val="2"/>
          <w:sz w:val="22"/>
          <w:szCs w:val="22"/>
          <w:lang w:eastAsia="en-US"/>
          <w14:ligatures w14:val="standardContextual"/>
        </w:rPr>
        <w:t>. Available at: https://socialcare.wales/cms-assets/documents/Code-of-Professional-Practice-for-Social-Care-web-version.pdf (Accessed: 25 April 2025).</w:t>
      </w:r>
    </w:p>
    <w:p w14:paraId="0402AB3E"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Social Care Wales. (2024). </w:t>
      </w:r>
      <w:r w:rsidRPr="003D5497">
        <w:rPr>
          <w:rFonts w:eastAsia="Aptos"/>
          <w:i/>
          <w:iCs/>
          <w:color w:val="auto"/>
          <w:kern w:val="2"/>
          <w:sz w:val="22"/>
          <w:szCs w:val="22"/>
          <w:lang w:eastAsia="en-US"/>
          <w14:ligatures w14:val="standardContextual"/>
        </w:rPr>
        <w:t>Overview of the Social Services and Well</w:t>
      </w:r>
      <w:r w:rsidRPr="003D5497">
        <w:rPr>
          <w:rFonts w:eastAsia="Aptos"/>
          <w:i/>
          <w:iCs/>
          <w:color w:val="auto"/>
          <w:kern w:val="2"/>
          <w:sz w:val="22"/>
          <w:szCs w:val="22"/>
          <w:lang w:eastAsia="en-US"/>
          <w14:ligatures w14:val="standardContextual"/>
        </w:rPr>
        <w:noBreakHyphen/>
        <w:t>being (Wales) Act 2014</w:t>
      </w:r>
      <w:r w:rsidRPr="003D5497">
        <w:rPr>
          <w:rFonts w:eastAsia="Aptos"/>
          <w:color w:val="auto"/>
          <w:kern w:val="2"/>
          <w:sz w:val="22"/>
          <w:szCs w:val="22"/>
          <w:lang w:eastAsia="en-US"/>
          <w14:ligatures w14:val="standardContextual"/>
        </w:rPr>
        <w:t>. Available at: https://socialcare.wales/resources-guidance/information-and-learning-hub/sswbact/overview (Accessed: 25 April 2025).</w:t>
      </w:r>
    </w:p>
    <w:p w14:paraId="75702A2F"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lastRenderedPageBreak/>
        <w:t xml:space="preserve">Thompson, N. (2014). </w:t>
      </w:r>
      <w:r w:rsidRPr="003D5497">
        <w:rPr>
          <w:rFonts w:eastAsia="Aptos"/>
          <w:i/>
          <w:iCs/>
          <w:color w:val="auto"/>
          <w:kern w:val="2"/>
          <w:sz w:val="22"/>
          <w:szCs w:val="22"/>
          <w:lang w:eastAsia="en-US"/>
          <w14:ligatures w14:val="standardContextual"/>
        </w:rPr>
        <w:t>Understanding social work: Preparing for practice</w:t>
      </w:r>
      <w:r w:rsidRPr="003D5497">
        <w:rPr>
          <w:rFonts w:eastAsia="Aptos"/>
          <w:color w:val="auto"/>
          <w:kern w:val="2"/>
          <w:sz w:val="22"/>
          <w:szCs w:val="22"/>
          <w:lang w:eastAsia="en-US"/>
          <w14:ligatures w14:val="standardContextual"/>
        </w:rPr>
        <w:t xml:space="preserve"> (4th </w:t>
      </w:r>
      <w:proofErr w:type="spellStart"/>
      <w:r w:rsidRPr="003D5497">
        <w:rPr>
          <w:rFonts w:eastAsia="Aptos"/>
          <w:color w:val="auto"/>
          <w:kern w:val="2"/>
          <w:sz w:val="22"/>
          <w:szCs w:val="22"/>
          <w:lang w:eastAsia="en-US"/>
          <w14:ligatures w14:val="standardContextual"/>
        </w:rPr>
        <w:t>edn</w:t>
      </w:r>
      <w:proofErr w:type="spellEnd"/>
      <w:r w:rsidRPr="003D5497">
        <w:rPr>
          <w:rFonts w:eastAsia="Aptos"/>
          <w:color w:val="auto"/>
          <w:kern w:val="2"/>
          <w:sz w:val="22"/>
          <w:szCs w:val="22"/>
          <w:lang w:eastAsia="en-US"/>
          <w14:ligatures w14:val="standardContextual"/>
        </w:rPr>
        <w:t>). London: Palgrave Macmillan.</w:t>
      </w:r>
    </w:p>
    <w:p w14:paraId="6B0F43E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Topping, K. J. (2017). Peer assessment: Learning by judging and discussing the work of other learners. </w:t>
      </w:r>
      <w:r w:rsidRPr="003D5497">
        <w:rPr>
          <w:rFonts w:eastAsia="Aptos"/>
          <w:i/>
          <w:iCs/>
          <w:color w:val="auto"/>
          <w:kern w:val="2"/>
          <w:sz w:val="22"/>
          <w:szCs w:val="22"/>
          <w:lang w:eastAsia="en-US"/>
          <w14:ligatures w14:val="standardContextual"/>
        </w:rPr>
        <w:t>Interdisciplinary Education and Psychology</w:t>
      </w:r>
      <w:r w:rsidRPr="003D5497">
        <w:rPr>
          <w:rFonts w:eastAsia="Aptos"/>
          <w:color w:val="auto"/>
          <w:kern w:val="2"/>
          <w:sz w:val="22"/>
          <w:szCs w:val="22"/>
          <w:lang w:eastAsia="en-US"/>
          <w14:ligatures w14:val="standardContextual"/>
        </w:rPr>
        <w:t>, 1(1), Article 7. Available at: https://discovery.dundee.ac.uk/ws/portalfiles/portal/19454487/peer_assessment_learning_by_judging_and_discussing_the_work_of_other_learners.pdf (Accessed: 25 April 2025).</w:t>
      </w:r>
    </w:p>
    <w:p w14:paraId="43AD1EC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Turnell, A. and Edwards, S. (1999). </w:t>
      </w:r>
      <w:r w:rsidRPr="003D5497">
        <w:rPr>
          <w:rFonts w:eastAsia="Aptos"/>
          <w:i/>
          <w:iCs/>
          <w:color w:val="auto"/>
          <w:kern w:val="2"/>
          <w:sz w:val="22"/>
          <w:szCs w:val="22"/>
          <w:lang w:eastAsia="en-US"/>
          <w14:ligatures w14:val="standardContextual"/>
        </w:rPr>
        <w:t>Signs of safety: A solution and safety</w:t>
      </w:r>
      <w:r w:rsidRPr="003D5497">
        <w:rPr>
          <w:rFonts w:eastAsia="Aptos"/>
          <w:i/>
          <w:iCs/>
          <w:color w:val="auto"/>
          <w:kern w:val="2"/>
          <w:sz w:val="22"/>
          <w:szCs w:val="22"/>
          <w:lang w:eastAsia="en-US"/>
          <w14:ligatures w14:val="standardContextual"/>
        </w:rPr>
        <w:noBreakHyphen/>
        <w:t>oriented approach to child protection</w:t>
      </w:r>
      <w:r w:rsidRPr="003D5497">
        <w:rPr>
          <w:rFonts w:eastAsia="Aptos"/>
          <w:color w:val="auto"/>
          <w:kern w:val="2"/>
          <w:sz w:val="22"/>
          <w:szCs w:val="22"/>
          <w:lang w:eastAsia="en-US"/>
          <w14:ligatures w14:val="standardContextual"/>
        </w:rPr>
        <w:t>. New York: W. W. Norton &amp; Company.</w:t>
      </w:r>
    </w:p>
    <w:p w14:paraId="6382B01A"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United Nations. (1989). </w:t>
      </w:r>
      <w:r w:rsidRPr="003D5497">
        <w:rPr>
          <w:rFonts w:eastAsia="Aptos"/>
          <w:i/>
          <w:iCs/>
          <w:color w:val="auto"/>
          <w:kern w:val="2"/>
          <w:sz w:val="22"/>
          <w:szCs w:val="22"/>
          <w:lang w:eastAsia="en-US"/>
          <w14:ligatures w14:val="standardContextual"/>
        </w:rPr>
        <w:t>Convention on the Rights of the Child</w:t>
      </w:r>
      <w:r w:rsidRPr="003D5497">
        <w:rPr>
          <w:rFonts w:eastAsia="Aptos"/>
          <w:color w:val="auto"/>
          <w:kern w:val="2"/>
          <w:sz w:val="22"/>
          <w:szCs w:val="22"/>
          <w:lang w:eastAsia="en-US"/>
          <w14:ligatures w14:val="standardContextual"/>
        </w:rPr>
        <w:t>. Available at: http://www2.ohchr.org/english/law/crc.htm (Accessed: 1 April 2025).</w:t>
      </w:r>
    </w:p>
    <w:p w14:paraId="27AAC04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Wales Safeguarding Procedures. (2008). </w:t>
      </w:r>
      <w:r w:rsidRPr="003D5497">
        <w:rPr>
          <w:rFonts w:eastAsia="Aptos"/>
          <w:i/>
          <w:iCs/>
          <w:color w:val="auto"/>
          <w:kern w:val="2"/>
          <w:sz w:val="22"/>
          <w:szCs w:val="22"/>
          <w:lang w:eastAsia="en-US"/>
          <w14:ligatures w14:val="standardContextual"/>
        </w:rPr>
        <w:t>All Wales Child Protection Procedures</w:t>
      </w:r>
      <w:r w:rsidRPr="003D5497">
        <w:rPr>
          <w:rFonts w:eastAsia="Aptos"/>
          <w:color w:val="auto"/>
          <w:kern w:val="2"/>
          <w:sz w:val="22"/>
          <w:szCs w:val="22"/>
          <w:lang w:eastAsia="en-US"/>
          <w14:ligatures w14:val="standardContextual"/>
        </w:rPr>
        <w:t>. Available at: https://www.safeguarding.wales/ (Accessed: 25 April 2025).</w:t>
      </w:r>
    </w:p>
    <w:p w14:paraId="5C9FD7D5"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Wales Safeguarding Procedures. (2019). </w:t>
      </w:r>
      <w:r w:rsidRPr="003D5497">
        <w:rPr>
          <w:rFonts w:eastAsia="Aptos"/>
          <w:i/>
          <w:iCs/>
          <w:color w:val="auto"/>
          <w:kern w:val="2"/>
          <w:sz w:val="22"/>
          <w:szCs w:val="22"/>
          <w:lang w:eastAsia="en-US"/>
          <w14:ligatures w14:val="standardContextual"/>
        </w:rPr>
        <w:t>Section 47 enquiries: Key considerations</w:t>
      </w:r>
      <w:r w:rsidRPr="003D5497">
        <w:rPr>
          <w:rFonts w:eastAsia="Aptos"/>
          <w:color w:val="auto"/>
          <w:kern w:val="2"/>
          <w:sz w:val="22"/>
          <w:szCs w:val="22"/>
          <w:lang w:eastAsia="en-US"/>
          <w14:ligatures w14:val="standardContextual"/>
        </w:rPr>
        <w:t>. Available at: https://www.safeguarding.wales/chi/c3pt1/c3pt1.p10.html (Accessed: 17 May 2025).</w:t>
      </w:r>
    </w:p>
    <w:p w14:paraId="7B27F75E" w14:textId="77777777" w:rsid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Welsh Government. (2012). </w:t>
      </w:r>
      <w:r w:rsidRPr="003D5497">
        <w:rPr>
          <w:rFonts w:eastAsia="Aptos"/>
          <w:i/>
          <w:iCs/>
          <w:color w:val="auto"/>
          <w:kern w:val="2"/>
          <w:sz w:val="22"/>
          <w:szCs w:val="22"/>
          <w:lang w:eastAsia="en-US"/>
          <w14:ligatures w14:val="standardContextual"/>
        </w:rPr>
        <w:t>More than just words: Strategic framework for Welsh language services in health, social services and social care</w:t>
      </w:r>
      <w:r w:rsidRPr="003D5497">
        <w:rPr>
          <w:rFonts w:eastAsia="Aptos"/>
          <w:color w:val="auto"/>
          <w:kern w:val="2"/>
          <w:sz w:val="22"/>
          <w:szCs w:val="22"/>
          <w:lang w:eastAsia="en-US"/>
          <w14:ligatures w14:val="standardContextual"/>
        </w:rPr>
        <w:t>. Cardiff: Welsh Government. Available at: https://www.gov.wales/written-statement-more-just-words-strategic-framework-welsh-language-services-health-social (Accessed: 15 December 2026).</w:t>
      </w:r>
    </w:p>
    <w:p w14:paraId="73F15529" w14:textId="0E254630" w:rsidR="00384C98" w:rsidRPr="003D5497" w:rsidRDefault="00384C98" w:rsidP="003D5497">
      <w:pPr>
        <w:keepNext/>
        <w:spacing w:before="240" w:after="60"/>
        <w:jc w:val="both"/>
        <w:rPr>
          <w:rFonts w:eastAsia="Aptos"/>
          <w:color w:val="auto"/>
          <w:kern w:val="2"/>
          <w:sz w:val="22"/>
          <w:szCs w:val="22"/>
          <w:lang w:eastAsia="en-US"/>
          <w14:ligatures w14:val="standardContextual"/>
        </w:rPr>
      </w:pPr>
      <w:r w:rsidRPr="00384C98">
        <w:rPr>
          <w:rFonts w:eastAsia="Aptos"/>
          <w:color w:val="auto"/>
          <w:kern w:val="2"/>
          <w:sz w:val="22"/>
          <w:szCs w:val="22"/>
          <w:lang w:eastAsia="en-US"/>
          <w14:ligatures w14:val="standardContextual"/>
        </w:rPr>
        <w:t>Welsh Government (2014) Social Services and Well-being (Wales) Act 2014. Cardiff: Welsh Government.</w:t>
      </w:r>
    </w:p>
    <w:p w14:paraId="4749CE0E"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Welsh Government. (2015). </w:t>
      </w:r>
      <w:proofErr w:type="gramStart"/>
      <w:r w:rsidRPr="003D5497">
        <w:rPr>
          <w:rFonts w:eastAsia="Aptos"/>
          <w:i/>
          <w:iCs/>
          <w:color w:val="auto"/>
          <w:kern w:val="2"/>
          <w:sz w:val="22"/>
          <w:szCs w:val="22"/>
          <w:lang w:eastAsia="en-US"/>
          <w14:ligatures w14:val="standardContextual"/>
        </w:rPr>
        <w:t>Well</w:t>
      </w:r>
      <w:proofErr w:type="gramEnd"/>
      <w:r w:rsidRPr="003D5497">
        <w:rPr>
          <w:rFonts w:eastAsia="Aptos"/>
          <w:i/>
          <w:iCs/>
          <w:color w:val="auto"/>
          <w:kern w:val="2"/>
          <w:sz w:val="22"/>
          <w:szCs w:val="22"/>
          <w:lang w:eastAsia="en-US"/>
          <w14:ligatures w14:val="standardContextual"/>
        </w:rPr>
        <w:noBreakHyphen/>
        <w:t>being of Future Generations (Wales) Act 2015</w:t>
      </w:r>
      <w:r w:rsidRPr="003D5497">
        <w:rPr>
          <w:rFonts w:eastAsia="Aptos"/>
          <w:color w:val="auto"/>
          <w:kern w:val="2"/>
          <w:sz w:val="22"/>
          <w:szCs w:val="22"/>
          <w:lang w:eastAsia="en-US"/>
          <w14:ligatures w14:val="standardContextual"/>
        </w:rPr>
        <w:t>. Available at: https://www.gov.wales/well-being-of-future-generations-wales (Accessed: 20 August 2025).</w:t>
      </w:r>
    </w:p>
    <w:p w14:paraId="7572C121"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Welsh Government. (2017). </w:t>
      </w:r>
      <w:r w:rsidRPr="003D5497">
        <w:rPr>
          <w:rFonts w:eastAsia="Aptos"/>
          <w:i/>
          <w:iCs/>
          <w:color w:val="auto"/>
          <w:kern w:val="2"/>
          <w:sz w:val="22"/>
          <w:szCs w:val="22"/>
          <w:lang w:eastAsia="en-US"/>
          <w14:ligatures w14:val="standardContextual"/>
        </w:rPr>
        <w:t>Flying Start: Guidance</w:t>
      </w:r>
      <w:r w:rsidRPr="003D5497">
        <w:rPr>
          <w:rFonts w:eastAsia="Aptos"/>
          <w:color w:val="auto"/>
          <w:kern w:val="2"/>
          <w:sz w:val="22"/>
          <w:szCs w:val="22"/>
          <w:lang w:eastAsia="en-US"/>
          <w14:ligatures w14:val="standardContextual"/>
        </w:rPr>
        <w:t>. Available at: https://www.gov.wales/flying-start-guidance (Accessed: 17 May 2025).</w:t>
      </w:r>
    </w:p>
    <w:p w14:paraId="4E680B3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Welsh Language (Wales) Measure 2011 (</w:t>
      </w:r>
      <w:proofErr w:type="spellStart"/>
      <w:r w:rsidRPr="003D5497">
        <w:rPr>
          <w:rFonts w:eastAsia="Aptos"/>
          <w:color w:val="auto"/>
          <w:kern w:val="2"/>
          <w:sz w:val="22"/>
          <w:szCs w:val="22"/>
          <w:lang w:eastAsia="en-US"/>
          <w14:ligatures w14:val="standardContextual"/>
        </w:rPr>
        <w:t>nawm</w:t>
      </w:r>
      <w:proofErr w:type="spellEnd"/>
      <w:r w:rsidRPr="003D5497">
        <w:rPr>
          <w:rFonts w:eastAsia="Aptos"/>
          <w:color w:val="auto"/>
          <w:kern w:val="2"/>
          <w:sz w:val="22"/>
          <w:szCs w:val="22"/>
          <w:lang w:eastAsia="en-US"/>
          <w14:ligatures w14:val="standardContextual"/>
        </w:rPr>
        <w:t xml:space="preserve"> 1). (2011). </w:t>
      </w:r>
      <w:r w:rsidRPr="003D5497">
        <w:rPr>
          <w:rFonts w:eastAsia="Aptos"/>
          <w:i/>
          <w:iCs/>
          <w:color w:val="auto"/>
          <w:kern w:val="2"/>
          <w:sz w:val="22"/>
          <w:szCs w:val="22"/>
          <w:lang w:eastAsia="en-US"/>
          <w14:ligatures w14:val="standardContextual"/>
        </w:rPr>
        <w:t>Cardiff: National Assembly for Wales</w:t>
      </w:r>
      <w:r w:rsidRPr="003D5497">
        <w:rPr>
          <w:rFonts w:eastAsia="Aptos"/>
          <w:color w:val="auto"/>
          <w:kern w:val="2"/>
          <w:sz w:val="22"/>
          <w:szCs w:val="22"/>
          <w:lang w:eastAsia="en-US"/>
          <w14:ligatures w14:val="standardContextual"/>
        </w:rPr>
        <w:t>. Available at: https://www.legislation.gov.uk/mwa/2011/1/contents (Accessed: 25 April 2025).</w:t>
      </w:r>
    </w:p>
    <w:p w14:paraId="03301A1A" w14:textId="77777777" w:rsidR="003D5497" w:rsidRPr="000B6AAB" w:rsidRDefault="003D5497" w:rsidP="003D5497">
      <w:pPr>
        <w:keepNext/>
        <w:spacing w:before="240" w:after="60"/>
        <w:jc w:val="both"/>
        <w:rPr>
          <w:rFonts w:eastAsia="Aptos"/>
          <w:color w:val="auto"/>
          <w:kern w:val="2"/>
          <w:sz w:val="22"/>
          <w:szCs w:val="22"/>
          <w:lang w:eastAsia="en-US"/>
          <w14:ligatures w14:val="standardContextual"/>
        </w:rPr>
      </w:pPr>
    </w:p>
    <w:p w14:paraId="7999CF58" w14:textId="77777777" w:rsidR="00377028" w:rsidRDefault="00377028" w:rsidP="00377028">
      <w:pPr>
        <w:overflowPunct/>
        <w:autoSpaceDE/>
        <w:autoSpaceDN/>
        <w:adjustRightInd/>
        <w:spacing w:after="160" w:line="276" w:lineRule="auto"/>
        <w:textAlignment w:val="auto"/>
        <w:rPr>
          <w:rFonts w:eastAsia="Aptos"/>
          <w:color w:val="auto"/>
          <w:kern w:val="2"/>
          <w:sz w:val="22"/>
          <w:szCs w:val="22"/>
          <w:lang w:eastAsia="en-US"/>
          <w14:ligatures w14:val="standardContextual"/>
        </w:rPr>
      </w:pPr>
    </w:p>
    <w:p w14:paraId="5C198EFD" w14:textId="77777777" w:rsidR="000B6AAB" w:rsidRDefault="000B6AAB" w:rsidP="00377028">
      <w:pPr>
        <w:overflowPunct/>
        <w:autoSpaceDE/>
        <w:autoSpaceDN/>
        <w:adjustRightInd/>
        <w:spacing w:after="160" w:line="276" w:lineRule="auto"/>
        <w:textAlignment w:val="auto"/>
        <w:rPr>
          <w:rFonts w:eastAsia="Aptos"/>
          <w:color w:val="auto"/>
          <w:kern w:val="2"/>
          <w:sz w:val="22"/>
          <w:szCs w:val="22"/>
          <w:lang w:eastAsia="en-US"/>
          <w14:ligatures w14:val="standardContextual"/>
        </w:rPr>
      </w:pPr>
    </w:p>
    <w:p w14:paraId="2664618F" w14:textId="77777777" w:rsidR="000B6AAB" w:rsidRDefault="000B6AAB" w:rsidP="00377028">
      <w:pPr>
        <w:overflowPunct/>
        <w:autoSpaceDE/>
        <w:autoSpaceDN/>
        <w:adjustRightInd/>
        <w:spacing w:after="160" w:line="276" w:lineRule="auto"/>
        <w:textAlignment w:val="auto"/>
        <w:rPr>
          <w:rFonts w:eastAsia="Aptos"/>
          <w:color w:val="auto"/>
          <w:kern w:val="2"/>
          <w:sz w:val="22"/>
          <w:szCs w:val="22"/>
          <w:lang w:eastAsia="en-US"/>
          <w14:ligatures w14:val="standardContextual"/>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8176491" w:rsidR="00E559CE" w:rsidRPr="00B17FA0" w:rsidRDefault="00EB13A4" w:rsidP="00B94443">
            <w:pPr>
              <w:jc w:val="both"/>
              <w:rPr>
                <w:sz w:val="24"/>
                <w:szCs w:val="24"/>
              </w:rPr>
            </w:pPr>
            <w:r>
              <w:rPr>
                <w:sz w:val="24"/>
                <w:szCs w:val="24"/>
              </w:rPr>
              <w:t>20</w:t>
            </w:r>
            <w:r w:rsidRPr="00EB13A4">
              <w:rPr>
                <w:sz w:val="24"/>
                <w:szCs w:val="24"/>
                <w:vertAlign w:val="superscript"/>
              </w:rPr>
              <w:t>th</w:t>
            </w:r>
            <w:r>
              <w:rPr>
                <w:sz w:val="24"/>
                <w:szCs w:val="24"/>
              </w:rPr>
              <w:t xml:space="preserve"> November 202</w:t>
            </w:r>
            <w:r w:rsidR="00AE3336">
              <w:rPr>
                <w:sz w:val="24"/>
                <w:szCs w:val="24"/>
              </w:rPr>
              <w:t>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A64EC1E" w:rsidR="00E559CE" w:rsidRPr="00B17FA0" w:rsidRDefault="00AE3336" w:rsidP="00B94443">
            <w:pPr>
              <w:jc w:val="both"/>
              <w:rPr>
                <w:sz w:val="24"/>
                <w:szCs w:val="24"/>
              </w:rPr>
            </w:pPr>
            <w:r>
              <w:rPr>
                <w:sz w:val="24"/>
                <w:szCs w:val="24"/>
              </w:rPr>
              <w:t>11</w:t>
            </w:r>
            <w:r w:rsidRPr="00AE3336">
              <w:rPr>
                <w:sz w:val="24"/>
                <w:szCs w:val="24"/>
                <w:vertAlign w:val="superscript"/>
              </w:rPr>
              <w:t>th</w:t>
            </w:r>
            <w:r>
              <w:rPr>
                <w:sz w:val="24"/>
                <w:szCs w:val="24"/>
              </w:rPr>
              <w:t xml:space="preserve"> February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CDA61CD" w:rsidR="00E559CE" w:rsidRPr="00B17FA0" w:rsidRDefault="00AE3336" w:rsidP="00B94443">
            <w:pPr>
              <w:jc w:val="both"/>
              <w:rPr>
                <w:sz w:val="24"/>
                <w:szCs w:val="24"/>
              </w:rPr>
            </w:pPr>
            <w:r>
              <w:rPr>
                <w:sz w:val="24"/>
                <w:szCs w:val="24"/>
              </w:rPr>
              <w:t>8</w:t>
            </w:r>
            <w:r w:rsidRPr="00AE3336">
              <w:rPr>
                <w:sz w:val="24"/>
                <w:szCs w:val="24"/>
                <w:vertAlign w:val="superscript"/>
              </w:rPr>
              <w:t>th</w:t>
            </w:r>
            <w:r>
              <w:rPr>
                <w:sz w:val="24"/>
                <w:szCs w:val="24"/>
              </w:rPr>
              <w:t xml:space="preserve"> April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14E43E9" w:rsidR="00E559CE" w:rsidRPr="00B17FA0" w:rsidRDefault="00AE3336" w:rsidP="00B94443">
            <w:pPr>
              <w:jc w:val="both"/>
              <w:rPr>
                <w:sz w:val="24"/>
                <w:szCs w:val="24"/>
              </w:rPr>
            </w:pPr>
            <w:r>
              <w:rPr>
                <w:sz w:val="24"/>
                <w:szCs w:val="24"/>
              </w:rPr>
              <w:t>8</w:t>
            </w:r>
            <w:r w:rsidRPr="00AE3336">
              <w:rPr>
                <w:sz w:val="24"/>
                <w:szCs w:val="24"/>
                <w:vertAlign w:val="superscript"/>
              </w:rPr>
              <w:t>th</w:t>
            </w:r>
            <w:r>
              <w:rPr>
                <w:sz w:val="24"/>
                <w:szCs w:val="24"/>
              </w:rPr>
              <w:t xml:space="preserve"> July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2EA53BEE" w14:textId="73BD6C5A" w:rsidR="00061B6F" w:rsidRPr="00061B6F" w:rsidRDefault="00061B6F" w:rsidP="00061B6F">
            <w:pPr>
              <w:jc w:val="both"/>
              <w:rPr>
                <w:color w:val="auto"/>
                <w:sz w:val="24"/>
                <w:szCs w:val="24"/>
              </w:rPr>
            </w:pPr>
            <w:r w:rsidRPr="00061B6F">
              <w:rPr>
                <w:color w:val="auto"/>
                <w:sz w:val="24"/>
                <w:szCs w:val="24"/>
              </w:rPr>
              <w:t xml:space="preserve">Over the course of the programme, </w:t>
            </w:r>
            <w:r>
              <w:rPr>
                <w:color w:val="auto"/>
                <w:sz w:val="24"/>
                <w:szCs w:val="24"/>
              </w:rPr>
              <w:t>Leanne</w:t>
            </w:r>
            <w:r w:rsidRPr="00061B6F">
              <w:rPr>
                <w:color w:val="auto"/>
                <w:sz w:val="24"/>
                <w:szCs w:val="24"/>
              </w:rPr>
              <w:t xml:space="preserve"> has demonstrated significant growth across all three learning outcomes, particularly in the context of child and family social work. </w:t>
            </w:r>
            <w:r w:rsidR="009F3F54">
              <w:rPr>
                <w:color w:val="auto"/>
                <w:sz w:val="24"/>
                <w:szCs w:val="24"/>
              </w:rPr>
              <w:t>Her</w:t>
            </w:r>
            <w:r w:rsidRPr="00061B6F">
              <w:rPr>
                <w:color w:val="auto"/>
                <w:sz w:val="24"/>
                <w:szCs w:val="24"/>
              </w:rPr>
              <w:t xml:space="preserve"> development is evident not only in </w:t>
            </w:r>
            <w:r w:rsidR="00B74EDA">
              <w:rPr>
                <w:color w:val="auto"/>
                <w:sz w:val="24"/>
                <w:szCs w:val="24"/>
              </w:rPr>
              <w:t>her</w:t>
            </w:r>
            <w:r w:rsidRPr="00061B6F">
              <w:rPr>
                <w:color w:val="auto"/>
                <w:sz w:val="24"/>
                <w:szCs w:val="24"/>
              </w:rPr>
              <w:t xml:space="preserve"> evolving professional confidence but also in </w:t>
            </w:r>
            <w:r w:rsidR="00B74EDA">
              <w:rPr>
                <w:color w:val="auto"/>
                <w:sz w:val="24"/>
                <w:szCs w:val="24"/>
              </w:rPr>
              <w:t>her</w:t>
            </w:r>
            <w:r w:rsidRPr="00061B6F">
              <w:rPr>
                <w:color w:val="auto"/>
                <w:sz w:val="24"/>
                <w:szCs w:val="24"/>
              </w:rPr>
              <w:t xml:space="preserve"> ability to apply legislation, adapt communication styles, and engage families in a person-centred and strengths-based way.</w:t>
            </w:r>
          </w:p>
          <w:p w14:paraId="13F8E31E" w14:textId="77777777" w:rsidR="00061B6F" w:rsidRPr="00061B6F" w:rsidRDefault="00061B6F" w:rsidP="00061B6F">
            <w:pPr>
              <w:jc w:val="both"/>
              <w:rPr>
                <w:color w:val="auto"/>
                <w:sz w:val="24"/>
                <w:szCs w:val="24"/>
              </w:rPr>
            </w:pPr>
          </w:p>
          <w:p w14:paraId="4BF514F2" w14:textId="4FB4313F" w:rsidR="00061B6F" w:rsidRPr="00061B6F" w:rsidRDefault="00061B6F" w:rsidP="00061B6F">
            <w:pPr>
              <w:jc w:val="both"/>
              <w:rPr>
                <w:color w:val="auto"/>
                <w:sz w:val="24"/>
                <w:szCs w:val="24"/>
              </w:rPr>
            </w:pPr>
            <w:r w:rsidRPr="00061B6F">
              <w:rPr>
                <w:color w:val="auto"/>
                <w:sz w:val="24"/>
                <w:szCs w:val="24"/>
              </w:rPr>
              <w:t xml:space="preserve">At the outset, </w:t>
            </w:r>
            <w:r>
              <w:rPr>
                <w:color w:val="auto"/>
                <w:sz w:val="24"/>
                <w:szCs w:val="24"/>
              </w:rPr>
              <w:t xml:space="preserve">Leanne </w:t>
            </w:r>
            <w:r w:rsidRPr="00061B6F">
              <w:rPr>
                <w:color w:val="auto"/>
                <w:sz w:val="24"/>
                <w:szCs w:val="24"/>
              </w:rPr>
              <w:t xml:space="preserve">identified a need to build confidence in direct work with families, especially in emotionally charged situations. </w:t>
            </w:r>
            <w:r w:rsidR="002B1C56">
              <w:rPr>
                <w:color w:val="auto"/>
                <w:sz w:val="24"/>
                <w:szCs w:val="24"/>
              </w:rPr>
              <w:t>Leanne was</w:t>
            </w:r>
            <w:r w:rsidRPr="00061B6F">
              <w:rPr>
                <w:color w:val="auto"/>
                <w:sz w:val="24"/>
                <w:szCs w:val="24"/>
              </w:rPr>
              <w:t xml:space="preserve"> aware of the importance of clear communication, cultural sensitivity, and understanding the impact of trauma and mental health on family dynamics. </w:t>
            </w:r>
            <w:r w:rsidR="002B1C56">
              <w:rPr>
                <w:color w:val="auto"/>
                <w:sz w:val="24"/>
                <w:szCs w:val="24"/>
              </w:rPr>
              <w:t>Her</w:t>
            </w:r>
            <w:r w:rsidRPr="00061B6F">
              <w:rPr>
                <w:color w:val="auto"/>
                <w:sz w:val="24"/>
                <w:szCs w:val="24"/>
              </w:rPr>
              <w:t xml:space="preserve"> early reflections showed a strong ethical foundation and a desire to uphold the values of respect, dignity, and empowerment.</w:t>
            </w:r>
          </w:p>
          <w:p w14:paraId="1431784F" w14:textId="77777777" w:rsidR="00061B6F" w:rsidRPr="00061B6F" w:rsidRDefault="00061B6F" w:rsidP="00061B6F">
            <w:pPr>
              <w:jc w:val="both"/>
              <w:rPr>
                <w:color w:val="auto"/>
                <w:sz w:val="24"/>
                <w:szCs w:val="24"/>
              </w:rPr>
            </w:pPr>
          </w:p>
          <w:p w14:paraId="028F4B81" w14:textId="388F75FC" w:rsidR="00061B6F" w:rsidRPr="00061B6F" w:rsidRDefault="00061B6F" w:rsidP="00061B6F">
            <w:pPr>
              <w:jc w:val="both"/>
              <w:rPr>
                <w:color w:val="auto"/>
                <w:sz w:val="24"/>
                <w:szCs w:val="24"/>
              </w:rPr>
            </w:pPr>
            <w:r w:rsidRPr="00061B6F">
              <w:rPr>
                <w:color w:val="auto"/>
                <w:sz w:val="24"/>
                <w:szCs w:val="24"/>
              </w:rPr>
              <w:t xml:space="preserve">As the programme progressed, </w:t>
            </w:r>
            <w:r>
              <w:rPr>
                <w:color w:val="auto"/>
                <w:sz w:val="24"/>
                <w:szCs w:val="24"/>
              </w:rPr>
              <w:t xml:space="preserve">Leanne’s </w:t>
            </w:r>
            <w:r w:rsidRPr="00061B6F">
              <w:rPr>
                <w:color w:val="auto"/>
                <w:sz w:val="24"/>
                <w:szCs w:val="24"/>
              </w:rPr>
              <w:t xml:space="preserve">practice became more nuanced and responsive. In direct observations, </w:t>
            </w:r>
            <w:r w:rsidR="00F7262E">
              <w:rPr>
                <w:color w:val="auto"/>
                <w:sz w:val="24"/>
                <w:szCs w:val="24"/>
              </w:rPr>
              <w:t>she</w:t>
            </w:r>
            <w:r w:rsidRPr="00061B6F">
              <w:rPr>
                <w:color w:val="auto"/>
                <w:sz w:val="24"/>
                <w:szCs w:val="24"/>
              </w:rPr>
              <w:t xml:space="preserve"> demonstrated a clear understanding of the Social Care Wales (2017) Code of Professional Practice, particularly in relation to communication, honesty, and respect. When working with a family facing multiple </w:t>
            </w:r>
            <w:r w:rsidR="0020490F" w:rsidRPr="00061B6F">
              <w:rPr>
                <w:color w:val="auto"/>
                <w:sz w:val="24"/>
                <w:szCs w:val="24"/>
              </w:rPr>
              <w:t>challenges including</w:t>
            </w:r>
            <w:r w:rsidRPr="00061B6F">
              <w:rPr>
                <w:color w:val="auto"/>
                <w:sz w:val="24"/>
                <w:szCs w:val="24"/>
              </w:rPr>
              <w:t xml:space="preserve"> autism, mental health, and learning difficulties</w:t>
            </w:r>
            <w:r w:rsidR="00F7262E">
              <w:rPr>
                <w:color w:val="auto"/>
                <w:sz w:val="24"/>
                <w:szCs w:val="24"/>
              </w:rPr>
              <w:t xml:space="preserve">, </w:t>
            </w:r>
            <w:r>
              <w:rPr>
                <w:color w:val="auto"/>
                <w:sz w:val="24"/>
                <w:szCs w:val="24"/>
              </w:rPr>
              <w:t xml:space="preserve">Leanne </w:t>
            </w:r>
            <w:r w:rsidRPr="00061B6F">
              <w:rPr>
                <w:color w:val="auto"/>
                <w:sz w:val="24"/>
                <w:szCs w:val="24"/>
              </w:rPr>
              <w:t xml:space="preserve">adapted </w:t>
            </w:r>
            <w:r w:rsidR="00F7262E">
              <w:rPr>
                <w:color w:val="auto"/>
                <w:sz w:val="24"/>
                <w:szCs w:val="24"/>
              </w:rPr>
              <w:t xml:space="preserve">her </w:t>
            </w:r>
            <w:r w:rsidRPr="00061B6F">
              <w:rPr>
                <w:color w:val="auto"/>
                <w:sz w:val="24"/>
                <w:szCs w:val="24"/>
              </w:rPr>
              <w:t xml:space="preserve">approach to ensure accessibility and understanding. </w:t>
            </w:r>
            <w:r w:rsidR="00F7262E">
              <w:rPr>
                <w:color w:val="auto"/>
                <w:sz w:val="24"/>
                <w:szCs w:val="24"/>
              </w:rPr>
              <w:t>she</w:t>
            </w:r>
            <w:r w:rsidRPr="00061B6F">
              <w:rPr>
                <w:color w:val="auto"/>
                <w:sz w:val="24"/>
                <w:szCs w:val="24"/>
              </w:rPr>
              <w:t xml:space="preserve"> noted:</w:t>
            </w:r>
          </w:p>
          <w:p w14:paraId="4E503967" w14:textId="77777777" w:rsidR="00061B6F" w:rsidRPr="00061B6F" w:rsidRDefault="00061B6F" w:rsidP="00061B6F">
            <w:pPr>
              <w:jc w:val="both"/>
              <w:rPr>
                <w:color w:val="auto"/>
                <w:sz w:val="24"/>
                <w:szCs w:val="24"/>
              </w:rPr>
            </w:pPr>
          </w:p>
          <w:p w14:paraId="76B6FE55" w14:textId="77777777" w:rsidR="00061B6F" w:rsidRPr="00061B6F" w:rsidRDefault="00061B6F" w:rsidP="00061B6F">
            <w:pPr>
              <w:jc w:val="both"/>
              <w:rPr>
                <w:color w:val="auto"/>
                <w:sz w:val="24"/>
                <w:szCs w:val="24"/>
              </w:rPr>
            </w:pPr>
            <w:r w:rsidRPr="00061B6F">
              <w:rPr>
                <w:color w:val="auto"/>
                <w:sz w:val="24"/>
                <w:szCs w:val="24"/>
              </w:rPr>
              <w:lastRenderedPageBreak/>
              <w:t>“I understood that I needed to be slow and clear with my communication… I also needed to ask both 1 and 2 what language they wanted to be spoken to in.”</w:t>
            </w:r>
          </w:p>
          <w:p w14:paraId="6547F285" w14:textId="77777777" w:rsidR="00061B6F" w:rsidRPr="00061B6F" w:rsidRDefault="00061B6F" w:rsidP="00061B6F">
            <w:pPr>
              <w:jc w:val="both"/>
              <w:rPr>
                <w:color w:val="auto"/>
                <w:sz w:val="24"/>
                <w:szCs w:val="24"/>
              </w:rPr>
            </w:pPr>
          </w:p>
          <w:p w14:paraId="142FCB09" w14:textId="716BFDDF" w:rsidR="00061B6F" w:rsidRPr="00061B6F" w:rsidRDefault="00061B6F" w:rsidP="00061B6F">
            <w:pPr>
              <w:jc w:val="both"/>
              <w:rPr>
                <w:color w:val="auto"/>
                <w:sz w:val="24"/>
                <w:szCs w:val="24"/>
              </w:rPr>
            </w:pPr>
            <w:r w:rsidRPr="00061B6F">
              <w:rPr>
                <w:color w:val="auto"/>
                <w:sz w:val="24"/>
                <w:szCs w:val="24"/>
              </w:rPr>
              <w:t xml:space="preserve">This reflects </w:t>
            </w:r>
            <w:r w:rsidR="0020490F">
              <w:rPr>
                <w:color w:val="auto"/>
                <w:sz w:val="24"/>
                <w:szCs w:val="24"/>
              </w:rPr>
              <w:t xml:space="preserve">her </w:t>
            </w:r>
            <w:r w:rsidRPr="00061B6F">
              <w:rPr>
                <w:color w:val="auto"/>
                <w:sz w:val="24"/>
                <w:szCs w:val="24"/>
              </w:rPr>
              <w:t>application of the Welsh Language Measure (2011) and the “More Than Just Words” framework (2012), showing a commitment to inclusive practice.</w:t>
            </w:r>
          </w:p>
          <w:p w14:paraId="088CCF45" w14:textId="77777777" w:rsidR="00061B6F" w:rsidRPr="00061B6F" w:rsidRDefault="00061B6F" w:rsidP="00061B6F">
            <w:pPr>
              <w:jc w:val="both"/>
              <w:rPr>
                <w:color w:val="auto"/>
                <w:sz w:val="24"/>
                <w:szCs w:val="24"/>
              </w:rPr>
            </w:pPr>
          </w:p>
          <w:p w14:paraId="7C3AF9B2" w14:textId="37695680" w:rsidR="00061B6F" w:rsidRPr="00061B6F" w:rsidRDefault="00061B6F" w:rsidP="00061B6F">
            <w:pPr>
              <w:jc w:val="both"/>
              <w:rPr>
                <w:color w:val="auto"/>
                <w:sz w:val="24"/>
                <w:szCs w:val="24"/>
              </w:rPr>
            </w:pPr>
            <w:r>
              <w:rPr>
                <w:color w:val="auto"/>
                <w:sz w:val="24"/>
                <w:szCs w:val="24"/>
              </w:rPr>
              <w:t>Leanne</w:t>
            </w:r>
            <w:r w:rsidRPr="00061B6F">
              <w:rPr>
                <w:color w:val="auto"/>
                <w:sz w:val="24"/>
                <w:szCs w:val="24"/>
              </w:rPr>
              <w:t xml:space="preserve"> consistently demonstrated anti-discriminatory and person-centred practice. </w:t>
            </w:r>
            <w:r w:rsidR="0020490F">
              <w:rPr>
                <w:color w:val="auto"/>
                <w:sz w:val="24"/>
                <w:szCs w:val="24"/>
              </w:rPr>
              <w:t>She</w:t>
            </w:r>
            <w:r w:rsidRPr="00061B6F">
              <w:rPr>
                <w:color w:val="auto"/>
                <w:sz w:val="24"/>
                <w:szCs w:val="24"/>
              </w:rPr>
              <w:t xml:space="preserve"> recognised the need to treat all families with equal respect while tailoring </w:t>
            </w:r>
            <w:r w:rsidR="0020490F">
              <w:rPr>
                <w:color w:val="auto"/>
                <w:sz w:val="24"/>
                <w:szCs w:val="24"/>
              </w:rPr>
              <w:t>her</w:t>
            </w:r>
            <w:r w:rsidRPr="00061B6F">
              <w:rPr>
                <w:color w:val="auto"/>
                <w:sz w:val="24"/>
                <w:szCs w:val="24"/>
              </w:rPr>
              <w:t xml:space="preserve"> approach to individual needs. </w:t>
            </w:r>
            <w:r w:rsidR="0020490F">
              <w:rPr>
                <w:color w:val="auto"/>
                <w:sz w:val="24"/>
                <w:szCs w:val="24"/>
              </w:rPr>
              <w:t>Her r</w:t>
            </w:r>
            <w:r w:rsidRPr="00061B6F">
              <w:rPr>
                <w:color w:val="auto"/>
                <w:sz w:val="24"/>
                <w:szCs w:val="24"/>
              </w:rPr>
              <w:t>eflections show a strong ethical stance:</w:t>
            </w:r>
          </w:p>
          <w:p w14:paraId="7D8A27DB" w14:textId="77777777" w:rsidR="00061B6F" w:rsidRPr="00061B6F" w:rsidRDefault="00061B6F" w:rsidP="00061B6F">
            <w:pPr>
              <w:jc w:val="both"/>
              <w:rPr>
                <w:color w:val="auto"/>
                <w:sz w:val="24"/>
                <w:szCs w:val="24"/>
              </w:rPr>
            </w:pPr>
          </w:p>
          <w:p w14:paraId="3828090D" w14:textId="77777777" w:rsidR="00061B6F" w:rsidRPr="00061B6F" w:rsidRDefault="00061B6F" w:rsidP="00061B6F">
            <w:pPr>
              <w:jc w:val="both"/>
              <w:rPr>
                <w:color w:val="auto"/>
                <w:sz w:val="24"/>
                <w:szCs w:val="24"/>
              </w:rPr>
            </w:pPr>
            <w:r w:rsidRPr="00061B6F">
              <w:rPr>
                <w:color w:val="auto"/>
                <w:sz w:val="24"/>
                <w:szCs w:val="24"/>
              </w:rPr>
              <w:t>“Discrimination is prohibited in social work practice… I made sure to modify my approach to fit their needs.”</w:t>
            </w:r>
          </w:p>
          <w:p w14:paraId="72F00160" w14:textId="77777777" w:rsidR="00061B6F" w:rsidRPr="00061B6F" w:rsidRDefault="00061B6F" w:rsidP="00061B6F">
            <w:pPr>
              <w:jc w:val="both"/>
              <w:rPr>
                <w:color w:val="auto"/>
                <w:sz w:val="24"/>
                <w:szCs w:val="24"/>
              </w:rPr>
            </w:pPr>
          </w:p>
          <w:p w14:paraId="7C71AEEA" w14:textId="10D5EC74" w:rsidR="00061B6F" w:rsidRPr="00061B6F" w:rsidRDefault="007160EC" w:rsidP="00061B6F">
            <w:pPr>
              <w:jc w:val="both"/>
              <w:rPr>
                <w:color w:val="auto"/>
                <w:sz w:val="24"/>
                <w:szCs w:val="24"/>
              </w:rPr>
            </w:pPr>
            <w:r>
              <w:rPr>
                <w:color w:val="auto"/>
                <w:sz w:val="24"/>
                <w:szCs w:val="24"/>
              </w:rPr>
              <w:t>Leanne</w:t>
            </w:r>
            <w:r w:rsidR="00061B6F" w:rsidRPr="00061B6F">
              <w:rPr>
                <w:color w:val="auto"/>
                <w:sz w:val="24"/>
                <w:szCs w:val="24"/>
              </w:rPr>
              <w:t xml:space="preserve"> also used the Signs of Safety framework to co-develop a safety plan with the family, balancing the rights of the parents with the risks to the unborn child. This showed maturity in navigating complex ethical decisions while remaining </w:t>
            </w:r>
            <w:r w:rsidRPr="00061B6F">
              <w:rPr>
                <w:color w:val="auto"/>
                <w:sz w:val="24"/>
                <w:szCs w:val="24"/>
              </w:rPr>
              <w:t>child focused</w:t>
            </w:r>
            <w:r w:rsidR="00061B6F" w:rsidRPr="00061B6F">
              <w:rPr>
                <w:color w:val="auto"/>
                <w:sz w:val="24"/>
                <w:szCs w:val="24"/>
              </w:rPr>
              <w:t>.</w:t>
            </w:r>
          </w:p>
          <w:p w14:paraId="592D9AC6" w14:textId="77777777" w:rsidR="00061B6F" w:rsidRDefault="00061B6F" w:rsidP="00061B6F">
            <w:pPr>
              <w:jc w:val="both"/>
              <w:rPr>
                <w:color w:val="auto"/>
                <w:sz w:val="24"/>
                <w:szCs w:val="24"/>
              </w:rPr>
            </w:pPr>
          </w:p>
          <w:p w14:paraId="4C3D9135" w14:textId="017D4277" w:rsidR="00061B6F" w:rsidRPr="00061B6F" w:rsidRDefault="00061B6F" w:rsidP="00061B6F">
            <w:pPr>
              <w:jc w:val="both"/>
              <w:rPr>
                <w:color w:val="auto"/>
                <w:sz w:val="24"/>
                <w:szCs w:val="24"/>
              </w:rPr>
            </w:pPr>
            <w:r>
              <w:rPr>
                <w:color w:val="auto"/>
                <w:sz w:val="24"/>
                <w:szCs w:val="24"/>
              </w:rPr>
              <w:t>Leanne’s</w:t>
            </w:r>
            <w:r w:rsidRPr="00061B6F">
              <w:rPr>
                <w:color w:val="auto"/>
                <w:sz w:val="24"/>
                <w:szCs w:val="24"/>
              </w:rPr>
              <w:t xml:space="preserve"> communication skills have developed significantly</w:t>
            </w:r>
            <w:r w:rsidR="007160EC">
              <w:rPr>
                <w:color w:val="auto"/>
                <w:sz w:val="24"/>
                <w:szCs w:val="24"/>
              </w:rPr>
              <w:t>, she</w:t>
            </w:r>
            <w:r w:rsidRPr="00061B6F">
              <w:rPr>
                <w:color w:val="auto"/>
                <w:sz w:val="24"/>
                <w:szCs w:val="24"/>
              </w:rPr>
              <w:t xml:space="preserve"> demonstrated active listening, empathy, and clarity, even in difficult conversations. When discussing a sensitive conference report, </w:t>
            </w:r>
            <w:r w:rsidR="00D64B30">
              <w:rPr>
                <w:color w:val="auto"/>
                <w:sz w:val="24"/>
                <w:szCs w:val="24"/>
              </w:rPr>
              <w:t>she</w:t>
            </w:r>
            <w:r w:rsidRPr="00061B6F">
              <w:rPr>
                <w:color w:val="auto"/>
                <w:sz w:val="24"/>
                <w:szCs w:val="24"/>
              </w:rPr>
              <w:t xml:space="preserve"> offered to read it aloud due to the family’s learning needs and encouraged open dialogue:</w:t>
            </w:r>
          </w:p>
          <w:p w14:paraId="70F88DD2" w14:textId="77777777" w:rsidR="00061B6F" w:rsidRPr="00061B6F" w:rsidRDefault="00061B6F" w:rsidP="00061B6F">
            <w:pPr>
              <w:jc w:val="both"/>
              <w:rPr>
                <w:color w:val="auto"/>
                <w:sz w:val="24"/>
                <w:szCs w:val="24"/>
              </w:rPr>
            </w:pPr>
          </w:p>
          <w:p w14:paraId="0A659CE4" w14:textId="77777777" w:rsidR="00061B6F" w:rsidRPr="00061B6F" w:rsidRDefault="00061B6F" w:rsidP="00061B6F">
            <w:pPr>
              <w:jc w:val="both"/>
              <w:rPr>
                <w:color w:val="auto"/>
                <w:sz w:val="24"/>
                <w:szCs w:val="24"/>
              </w:rPr>
            </w:pPr>
            <w:r w:rsidRPr="00061B6F">
              <w:rPr>
                <w:color w:val="auto"/>
                <w:sz w:val="24"/>
                <w:szCs w:val="24"/>
              </w:rPr>
              <w:t>“I asked 1 and 2 for their opinions… I also asked them to be truthful, even if they didn’t agree with something I had written.”</w:t>
            </w:r>
          </w:p>
          <w:p w14:paraId="77408402" w14:textId="77777777" w:rsidR="00061B6F" w:rsidRPr="00061B6F" w:rsidRDefault="00061B6F" w:rsidP="00061B6F">
            <w:pPr>
              <w:jc w:val="both"/>
              <w:rPr>
                <w:color w:val="auto"/>
                <w:sz w:val="24"/>
                <w:szCs w:val="24"/>
              </w:rPr>
            </w:pPr>
          </w:p>
          <w:p w14:paraId="01152EE0" w14:textId="6344E945" w:rsidR="00061B6F" w:rsidRPr="00061B6F" w:rsidRDefault="00D64B30" w:rsidP="00061B6F">
            <w:pPr>
              <w:jc w:val="both"/>
              <w:rPr>
                <w:color w:val="auto"/>
                <w:sz w:val="24"/>
                <w:szCs w:val="24"/>
              </w:rPr>
            </w:pPr>
            <w:r>
              <w:rPr>
                <w:color w:val="auto"/>
                <w:sz w:val="24"/>
                <w:szCs w:val="24"/>
              </w:rPr>
              <w:t>Leanne</w:t>
            </w:r>
            <w:r w:rsidR="00061B6F" w:rsidRPr="00061B6F">
              <w:rPr>
                <w:color w:val="auto"/>
                <w:sz w:val="24"/>
                <w:szCs w:val="24"/>
              </w:rPr>
              <w:t xml:space="preserve"> monitored non-verbal cues and used paraphrasing to ensure understanding, reflecting Moss (2017) and Harvey (2025)’s guidance on effective communication. Feedback from the family indicated that the learner’s approach helped reduce anxiety and foster trust.</w:t>
            </w:r>
          </w:p>
          <w:p w14:paraId="24B3FB74" w14:textId="77777777" w:rsidR="00061B6F" w:rsidRPr="00061B6F" w:rsidRDefault="00061B6F" w:rsidP="00061B6F">
            <w:pPr>
              <w:jc w:val="both"/>
              <w:rPr>
                <w:color w:val="auto"/>
                <w:sz w:val="24"/>
                <w:szCs w:val="24"/>
              </w:rPr>
            </w:pPr>
          </w:p>
          <w:p w14:paraId="6430CEAA" w14:textId="5B9DB21D" w:rsidR="00061B6F" w:rsidRPr="00061B6F" w:rsidRDefault="00061B6F" w:rsidP="00061B6F">
            <w:pPr>
              <w:jc w:val="both"/>
              <w:rPr>
                <w:color w:val="auto"/>
                <w:sz w:val="24"/>
                <w:szCs w:val="24"/>
              </w:rPr>
            </w:pPr>
            <w:r>
              <w:rPr>
                <w:color w:val="auto"/>
                <w:sz w:val="24"/>
                <w:szCs w:val="24"/>
              </w:rPr>
              <w:t>Leanne</w:t>
            </w:r>
            <w:r w:rsidRPr="00061B6F">
              <w:rPr>
                <w:color w:val="auto"/>
                <w:sz w:val="24"/>
                <w:szCs w:val="24"/>
              </w:rPr>
              <w:t xml:space="preserve"> has shown a clear understanding of </w:t>
            </w:r>
            <w:r w:rsidR="00D64B30">
              <w:rPr>
                <w:color w:val="auto"/>
                <w:sz w:val="24"/>
                <w:szCs w:val="24"/>
              </w:rPr>
              <w:t>her</w:t>
            </w:r>
            <w:r w:rsidRPr="00061B6F">
              <w:rPr>
                <w:color w:val="auto"/>
                <w:sz w:val="24"/>
                <w:szCs w:val="24"/>
              </w:rPr>
              <w:t xml:space="preserve"> role within the safeguarding framework</w:t>
            </w:r>
            <w:r w:rsidR="00D64B30">
              <w:rPr>
                <w:color w:val="auto"/>
                <w:sz w:val="24"/>
                <w:szCs w:val="24"/>
              </w:rPr>
              <w:t>, she</w:t>
            </w:r>
            <w:r w:rsidRPr="00061B6F">
              <w:rPr>
                <w:color w:val="auto"/>
                <w:sz w:val="24"/>
                <w:szCs w:val="24"/>
              </w:rPr>
              <w:t xml:space="preserve"> w</w:t>
            </w:r>
            <w:r w:rsidR="00D64B30">
              <w:rPr>
                <w:color w:val="auto"/>
                <w:sz w:val="24"/>
                <w:szCs w:val="24"/>
              </w:rPr>
              <w:t>as</w:t>
            </w:r>
            <w:r w:rsidRPr="00061B6F">
              <w:rPr>
                <w:color w:val="auto"/>
                <w:sz w:val="24"/>
                <w:szCs w:val="24"/>
              </w:rPr>
              <w:t xml:space="preserve"> able to sensitively explain procedures and legal responsibilities, referencing Article 3 of the UNCRC (1989) and the importance of the child’s best interests. </w:t>
            </w:r>
            <w:r w:rsidR="005508BE">
              <w:rPr>
                <w:color w:val="auto"/>
                <w:sz w:val="24"/>
                <w:szCs w:val="24"/>
              </w:rPr>
              <w:t>Her</w:t>
            </w:r>
            <w:r w:rsidRPr="00061B6F">
              <w:rPr>
                <w:color w:val="auto"/>
                <w:sz w:val="24"/>
                <w:szCs w:val="24"/>
              </w:rPr>
              <w:t xml:space="preserve"> ability to facilitate advocacy and support networks including identifying a family advocate and offering an external advocate to the father reflects </w:t>
            </w:r>
            <w:r w:rsidR="005508BE">
              <w:rPr>
                <w:color w:val="auto"/>
                <w:sz w:val="24"/>
                <w:szCs w:val="24"/>
              </w:rPr>
              <w:t>her gro</w:t>
            </w:r>
            <w:r w:rsidRPr="00061B6F">
              <w:rPr>
                <w:color w:val="auto"/>
                <w:sz w:val="24"/>
                <w:szCs w:val="24"/>
              </w:rPr>
              <w:t>wing confidence in multi-agency working and empowerment strategies.</w:t>
            </w:r>
          </w:p>
          <w:p w14:paraId="3F752FA1" w14:textId="77777777" w:rsidR="00061B6F" w:rsidRPr="00061B6F" w:rsidRDefault="00061B6F" w:rsidP="00061B6F">
            <w:pPr>
              <w:jc w:val="both"/>
              <w:rPr>
                <w:color w:val="auto"/>
                <w:sz w:val="24"/>
                <w:szCs w:val="24"/>
              </w:rPr>
            </w:pPr>
          </w:p>
          <w:p w14:paraId="0DB109CF" w14:textId="45FBACDF" w:rsidR="00061B6F" w:rsidRPr="00061B6F" w:rsidRDefault="00061B6F" w:rsidP="00061B6F">
            <w:pPr>
              <w:jc w:val="both"/>
              <w:rPr>
                <w:color w:val="auto"/>
                <w:sz w:val="24"/>
                <w:szCs w:val="24"/>
              </w:rPr>
            </w:pPr>
            <w:r w:rsidRPr="00061B6F">
              <w:rPr>
                <w:color w:val="auto"/>
                <w:sz w:val="24"/>
                <w:szCs w:val="24"/>
              </w:rPr>
              <w:t xml:space="preserve">“I recognised that they were telling me what they wanted to happen rather than me telling them what to </w:t>
            </w:r>
            <w:r w:rsidR="009C4E32" w:rsidRPr="00061B6F">
              <w:rPr>
                <w:color w:val="auto"/>
                <w:sz w:val="24"/>
                <w:szCs w:val="24"/>
              </w:rPr>
              <w:t>do which</w:t>
            </w:r>
            <w:r w:rsidRPr="00061B6F">
              <w:rPr>
                <w:color w:val="auto"/>
                <w:sz w:val="24"/>
                <w:szCs w:val="24"/>
              </w:rPr>
              <w:t xml:space="preserve"> is important in social work practice.”</w:t>
            </w:r>
          </w:p>
          <w:p w14:paraId="5BD20744" w14:textId="77777777" w:rsidR="00061B6F" w:rsidRPr="00061B6F" w:rsidRDefault="00061B6F" w:rsidP="00061B6F">
            <w:pPr>
              <w:jc w:val="both"/>
              <w:rPr>
                <w:color w:val="auto"/>
                <w:sz w:val="24"/>
                <w:szCs w:val="24"/>
              </w:rPr>
            </w:pPr>
          </w:p>
          <w:p w14:paraId="236D96F8" w14:textId="77777777" w:rsidR="00061B6F" w:rsidRPr="00061B6F" w:rsidRDefault="00061B6F" w:rsidP="00061B6F">
            <w:pPr>
              <w:jc w:val="both"/>
              <w:rPr>
                <w:color w:val="auto"/>
                <w:sz w:val="24"/>
                <w:szCs w:val="24"/>
              </w:rPr>
            </w:pPr>
            <w:r w:rsidRPr="00061B6F">
              <w:rPr>
                <w:color w:val="auto"/>
                <w:sz w:val="24"/>
                <w:szCs w:val="24"/>
              </w:rPr>
              <w:t>This shift from directive to collaborative practice is a key marker of professional development.</w:t>
            </w:r>
          </w:p>
          <w:p w14:paraId="0526CF0E" w14:textId="77777777" w:rsidR="00061B6F" w:rsidRDefault="00061B6F" w:rsidP="00061B6F">
            <w:pPr>
              <w:jc w:val="both"/>
              <w:rPr>
                <w:color w:val="auto"/>
                <w:sz w:val="24"/>
                <w:szCs w:val="24"/>
              </w:rPr>
            </w:pPr>
          </w:p>
          <w:p w14:paraId="2860B32B" w14:textId="7E48574F" w:rsidR="00061B6F" w:rsidRPr="00061B6F" w:rsidRDefault="00061B6F" w:rsidP="00061B6F">
            <w:pPr>
              <w:jc w:val="both"/>
              <w:rPr>
                <w:color w:val="auto"/>
                <w:sz w:val="24"/>
                <w:szCs w:val="24"/>
              </w:rPr>
            </w:pPr>
            <w:r>
              <w:rPr>
                <w:color w:val="auto"/>
                <w:sz w:val="24"/>
                <w:szCs w:val="24"/>
              </w:rPr>
              <w:t>Leanne</w:t>
            </w:r>
            <w:r w:rsidRPr="00061B6F">
              <w:rPr>
                <w:color w:val="auto"/>
                <w:sz w:val="24"/>
                <w:szCs w:val="24"/>
              </w:rPr>
              <w:t xml:space="preserve"> has shown a strong commitment to ongoing learning and reflective practice. They acknowledge areas for improvement, particularly in communication, and plan to use supervision and training to continue developing:</w:t>
            </w:r>
          </w:p>
          <w:p w14:paraId="20C64E31" w14:textId="77777777" w:rsidR="00061B6F" w:rsidRPr="00061B6F" w:rsidRDefault="00061B6F" w:rsidP="00061B6F">
            <w:pPr>
              <w:jc w:val="both"/>
              <w:rPr>
                <w:color w:val="auto"/>
                <w:sz w:val="24"/>
                <w:szCs w:val="24"/>
              </w:rPr>
            </w:pPr>
          </w:p>
          <w:p w14:paraId="72B271E8" w14:textId="2CD9E936" w:rsidR="00061B6F" w:rsidRPr="00061B6F" w:rsidRDefault="00061B6F" w:rsidP="00061B6F">
            <w:pPr>
              <w:jc w:val="both"/>
              <w:rPr>
                <w:color w:val="auto"/>
                <w:sz w:val="24"/>
                <w:szCs w:val="24"/>
              </w:rPr>
            </w:pPr>
            <w:r w:rsidRPr="00061B6F">
              <w:rPr>
                <w:color w:val="auto"/>
                <w:sz w:val="24"/>
                <w:szCs w:val="24"/>
              </w:rPr>
              <w:lastRenderedPageBreak/>
              <w:t>“Though I am aware that ongoing professional development is essential</w:t>
            </w:r>
            <w:r w:rsidR="009C4E32">
              <w:rPr>
                <w:color w:val="auto"/>
                <w:sz w:val="24"/>
                <w:szCs w:val="24"/>
              </w:rPr>
              <w:t>.</w:t>
            </w:r>
            <w:r w:rsidRPr="00061B6F">
              <w:rPr>
                <w:color w:val="auto"/>
                <w:sz w:val="24"/>
                <w:szCs w:val="24"/>
              </w:rPr>
              <w:t xml:space="preserve"> I will keep reflecting on my work because I know that it helps us become more effective and self-assured social workers.”</w:t>
            </w:r>
          </w:p>
          <w:p w14:paraId="42C8D5C1" w14:textId="77777777" w:rsidR="00061B6F" w:rsidRPr="00061B6F" w:rsidRDefault="00061B6F" w:rsidP="00061B6F">
            <w:pPr>
              <w:jc w:val="both"/>
              <w:rPr>
                <w:color w:val="auto"/>
                <w:sz w:val="24"/>
                <w:szCs w:val="24"/>
              </w:rPr>
            </w:pPr>
          </w:p>
          <w:p w14:paraId="66E49A62" w14:textId="6F51CA6E" w:rsidR="00FC0334" w:rsidRDefault="009C4E32" w:rsidP="00061B6F">
            <w:pPr>
              <w:jc w:val="both"/>
              <w:rPr>
                <w:color w:val="auto"/>
                <w:sz w:val="24"/>
                <w:szCs w:val="24"/>
              </w:rPr>
            </w:pPr>
            <w:r>
              <w:rPr>
                <w:color w:val="auto"/>
                <w:sz w:val="24"/>
                <w:szCs w:val="24"/>
              </w:rPr>
              <w:t>Leanne’s</w:t>
            </w:r>
            <w:r w:rsidR="00061B6F" w:rsidRPr="00061B6F">
              <w:rPr>
                <w:color w:val="auto"/>
                <w:sz w:val="24"/>
                <w:szCs w:val="24"/>
              </w:rPr>
              <w:t xml:space="preserve"> ability to critically evaluate </w:t>
            </w:r>
            <w:r>
              <w:rPr>
                <w:color w:val="auto"/>
                <w:sz w:val="24"/>
                <w:szCs w:val="24"/>
              </w:rPr>
              <w:t>her</w:t>
            </w:r>
            <w:r w:rsidR="00061B6F" w:rsidRPr="00061B6F">
              <w:rPr>
                <w:color w:val="auto"/>
                <w:sz w:val="24"/>
                <w:szCs w:val="24"/>
              </w:rPr>
              <w:t xml:space="preserve"> own practice, respond to feedback, and apply legislation and frameworks in real-world settings suggests </w:t>
            </w:r>
            <w:r>
              <w:rPr>
                <w:color w:val="auto"/>
                <w:sz w:val="24"/>
                <w:szCs w:val="24"/>
              </w:rPr>
              <w:t>she is</w:t>
            </w:r>
            <w:r w:rsidR="00061B6F" w:rsidRPr="00061B6F">
              <w:rPr>
                <w:color w:val="auto"/>
                <w:sz w:val="24"/>
                <w:szCs w:val="24"/>
              </w:rPr>
              <w:t xml:space="preserve"> well-prepared for the demands of frontline child and family social work.</w:t>
            </w:r>
          </w:p>
          <w:p w14:paraId="1B36F8A3" w14:textId="77777777" w:rsidR="00061B6F" w:rsidRDefault="00061B6F" w:rsidP="00061B6F">
            <w:pPr>
              <w:jc w:val="both"/>
              <w:rPr>
                <w:color w:val="auto"/>
                <w:sz w:val="24"/>
                <w:szCs w:val="24"/>
              </w:rPr>
            </w:pPr>
          </w:p>
          <w:p w14:paraId="7872E880" w14:textId="77777777" w:rsidR="00061B6F" w:rsidRDefault="00061B6F" w:rsidP="00061B6F">
            <w:pPr>
              <w:jc w:val="both"/>
              <w:rPr>
                <w:color w:val="auto"/>
                <w:sz w:val="24"/>
                <w:szCs w:val="24"/>
              </w:rPr>
            </w:pPr>
            <w:r w:rsidRPr="00061B6F">
              <w:rPr>
                <w:color w:val="auto"/>
                <w:sz w:val="24"/>
                <w:szCs w:val="24"/>
              </w:rPr>
              <w:t>Leanne has demonstrated a commendable commitment to her professional development throughout her initial two years of practice. This dedication is clearly reflected in the quality and depth of her work. She has significantly enhanced her confidence, knowledge, and understanding of the complex role of a child protection social worker. Leanne is regarded as a valued and integral member of the team, frequently sought out by colleagues for her insight, reflective capacity, and professional guidance.</w:t>
            </w:r>
          </w:p>
          <w:p w14:paraId="4429E2FB" w14:textId="77777777" w:rsidR="00061B6F" w:rsidRPr="00061B6F" w:rsidRDefault="00061B6F" w:rsidP="00061B6F">
            <w:pPr>
              <w:jc w:val="both"/>
              <w:rPr>
                <w:color w:val="auto"/>
                <w:sz w:val="24"/>
                <w:szCs w:val="24"/>
              </w:rPr>
            </w:pPr>
          </w:p>
          <w:p w14:paraId="6B4E6CF6" w14:textId="77777777" w:rsidR="00061B6F" w:rsidRDefault="00061B6F" w:rsidP="00061B6F">
            <w:pPr>
              <w:jc w:val="both"/>
              <w:rPr>
                <w:color w:val="auto"/>
                <w:sz w:val="24"/>
                <w:szCs w:val="24"/>
              </w:rPr>
            </w:pPr>
            <w:r w:rsidRPr="00061B6F">
              <w:rPr>
                <w:color w:val="auto"/>
                <w:sz w:val="24"/>
                <w:szCs w:val="24"/>
              </w:rPr>
              <w:t>During this formative period, Leanne has established a robust foundation of experience that positions her strongly for future career progression. She has actively engaged in interdisciplinary collaboration, cultivating respectful and effective working relationships with professionals across a range of services. In her first year, Leanne proactively pursued shadowing opportunities, attending multi-agency meetings alongside more experienced practitioners. This exposure has enabled her to develop a nuanced understanding of the roles and responsibilities of partner agencies and their contributions to safeguarding.</w:t>
            </w:r>
          </w:p>
          <w:p w14:paraId="060084EE" w14:textId="77777777" w:rsidR="00061B6F" w:rsidRPr="00061B6F" w:rsidRDefault="00061B6F" w:rsidP="00061B6F">
            <w:pPr>
              <w:jc w:val="both"/>
              <w:rPr>
                <w:color w:val="auto"/>
                <w:sz w:val="24"/>
                <w:szCs w:val="24"/>
              </w:rPr>
            </w:pPr>
          </w:p>
          <w:p w14:paraId="3AB6F9F3" w14:textId="77777777" w:rsidR="00061B6F" w:rsidRDefault="00061B6F" w:rsidP="00061B6F">
            <w:pPr>
              <w:jc w:val="both"/>
              <w:rPr>
                <w:color w:val="auto"/>
                <w:sz w:val="24"/>
                <w:szCs w:val="24"/>
              </w:rPr>
            </w:pPr>
            <w:r w:rsidRPr="00061B6F">
              <w:rPr>
                <w:color w:val="auto"/>
                <w:sz w:val="24"/>
                <w:szCs w:val="24"/>
              </w:rPr>
              <w:t>Leanne has consistently demonstrated her ability to work collaboratively to achieve positive outcomes for children and families. She has shown proficiency in identifying areas of need and making appropriate referrals to relevant services. Her experience spans a wide array of agencies, including health, education, police, probation, prison services, domestic abuse and substance misuse services, parenting support, pre-birth interventions, and other statutory teams. This breadth of engagement has enriched her understanding of multi-agency safeguarding frameworks.</w:t>
            </w:r>
          </w:p>
          <w:p w14:paraId="3B4A0E6F" w14:textId="77777777" w:rsidR="00061B6F" w:rsidRPr="00061B6F" w:rsidRDefault="00061B6F" w:rsidP="00061B6F">
            <w:pPr>
              <w:jc w:val="both"/>
              <w:rPr>
                <w:color w:val="auto"/>
                <w:sz w:val="24"/>
                <w:szCs w:val="24"/>
              </w:rPr>
            </w:pPr>
          </w:p>
          <w:p w14:paraId="189FBE5D" w14:textId="3AA6EB87" w:rsidR="00061B6F" w:rsidRDefault="00061B6F" w:rsidP="00061B6F">
            <w:pPr>
              <w:jc w:val="both"/>
              <w:rPr>
                <w:color w:val="auto"/>
                <w:sz w:val="24"/>
                <w:szCs w:val="24"/>
              </w:rPr>
            </w:pPr>
            <w:r w:rsidRPr="00061B6F">
              <w:rPr>
                <w:color w:val="auto"/>
                <w:sz w:val="24"/>
                <w:szCs w:val="24"/>
              </w:rPr>
              <w:t xml:space="preserve">Over the course of her practice, Leanne has been supported in managing child protection caseloads, progressing to Public Law Outline (PLO) and court proceedings. She has developed competence in undertaking Section 47 enquiries, transitioning from initial shadowing to joint working, and now confidently leading these assessments independently. </w:t>
            </w:r>
          </w:p>
          <w:p w14:paraId="718AFFC6" w14:textId="21177439" w:rsidR="00061B6F" w:rsidRPr="00061B6F" w:rsidRDefault="00061B6F" w:rsidP="00061B6F">
            <w:pPr>
              <w:jc w:val="both"/>
              <w:rPr>
                <w:color w:val="auto"/>
                <w:sz w:val="24"/>
                <w:szCs w:val="24"/>
              </w:rPr>
            </w:pPr>
            <w:r w:rsidRPr="00061B6F">
              <w:rPr>
                <w:color w:val="auto"/>
                <w:sz w:val="24"/>
                <w:szCs w:val="24"/>
              </w:rPr>
              <w:t>.</w:t>
            </w:r>
          </w:p>
          <w:p w14:paraId="7C833760" w14:textId="77777777" w:rsidR="00061B6F" w:rsidRDefault="00061B6F" w:rsidP="00061B6F">
            <w:pPr>
              <w:jc w:val="both"/>
              <w:rPr>
                <w:color w:val="auto"/>
                <w:sz w:val="24"/>
                <w:szCs w:val="24"/>
              </w:rPr>
            </w:pPr>
            <w:r w:rsidRPr="00061B6F">
              <w:rPr>
                <w:color w:val="auto"/>
                <w:sz w:val="24"/>
                <w:szCs w:val="24"/>
              </w:rPr>
              <w:t>I have been consistently impressed by Leanne’s ability to manage challenging situations, which are inherent in child protection work. Whether navigating crisis scenarios or engaging with parents who may present as aggressive or distressed, Leanne maintains a calm, honest, and assertive approach. She demonstrates empathy and emotional intelligence, recognising the underlying factors contributing to parental behaviour, and conducts difficult conversations with respect, transparency, and compassion.</w:t>
            </w:r>
          </w:p>
          <w:p w14:paraId="74E76A62" w14:textId="77777777" w:rsidR="005227B9" w:rsidRPr="00061B6F" w:rsidRDefault="005227B9" w:rsidP="00061B6F">
            <w:pPr>
              <w:jc w:val="both"/>
              <w:rPr>
                <w:color w:val="auto"/>
                <w:sz w:val="24"/>
                <w:szCs w:val="24"/>
              </w:rPr>
            </w:pPr>
          </w:p>
          <w:p w14:paraId="0124B566" w14:textId="49FA5411" w:rsidR="00FC0334" w:rsidRDefault="00061B6F" w:rsidP="005D4F72">
            <w:pPr>
              <w:jc w:val="both"/>
              <w:rPr>
                <w:color w:val="auto"/>
                <w:sz w:val="24"/>
                <w:szCs w:val="24"/>
              </w:rPr>
            </w:pPr>
            <w:r w:rsidRPr="00061B6F">
              <w:rPr>
                <w:color w:val="auto"/>
                <w:sz w:val="24"/>
                <w:szCs w:val="24"/>
              </w:rPr>
              <w:t xml:space="preserve">It has been a privilege to support Leanne’s development from student to practitioner. Her growth in confidence, expansion of knowledge, and refinement of skills </w:t>
            </w:r>
            <w:proofErr w:type="gramStart"/>
            <w:r w:rsidRPr="00061B6F">
              <w:rPr>
                <w:color w:val="auto"/>
                <w:sz w:val="24"/>
                <w:szCs w:val="24"/>
              </w:rPr>
              <w:t>have</w:t>
            </w:r>
            <w:proofErr w:type="gramEnd"/>
            <w:r w:rsidRPr="00061B6F">
              <w:rPr>
                <w:color w:val="auto"/>
                <w:sz w:val="24"/>
                <w:szCs w:val="24"/>
              </w:rPr>
              <w:t xml:space="preserve"> been remarkable. </w:t>
            </w:r>
            <w:r w:rsidRPr="00061B6F">
              <w:rPr>
                <w:color w:val="auto"/>
                <w:sz w:val="24"/>
                <w:szCs w:val="24"/>
              </w:rPr>
              <w:lastRenderedPageBreak/>
              <w:t>Leanne has emerged as an outstanding social worker, and I am confident that she will continue to thrive and make significant contributions to the profession throughout her career.</w:t>
            </w: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DC2092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9293F">
        <w:rPr>
          <w:b/>
          <w:sz w:val="24"/>
          <w:szCs w:val="24"/>
        </w:rPr>
        <w:t>Leanne Evans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D42465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9293F" w:rsidRPr="00FF3BDF">
        <w:rPr>
          <w:b/>
          <w:sz w:val="24"/>
          <w:szCs w:val="24"/>
        </w:rPr>
        <w:t xml:space="preserve"> </w:t>
      </w:r>
      <w:r w:rsidR="00A9293F" w:rsidRPr="00FF3BDF">
        <w:rPr>
          <w:b/>
          <w:sz w:val="24"/>
          <w:szCs w:val="8"/>
        </w:rPr>
        <w:t>2417691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9C189F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9293F">
        <w:rPr>
          <w:b/>
          <w:sz w:val="24"/>
          <w:szCs w:val="24"/>
        </w:rPr>
        <w:t xml:space="preserve"> 9 Hazle Tree Court, Neath SA10 7SZ</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27A365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9293F">
        <w:rPr>
          <w:b/>
          <w:sz w:val="24"/>
          <w:szCs w:val="24"/>
        </w:rPr>
        <w:t xml:space="preserve"> 07861741263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249E9C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9293F">
        <w:rPr>
          <w:b/>
          <w:sz w:val="24"/>
          <w:szCs w:val="24"/>
        </w:rPr>
        <w:t xml:space="preserve"> Leanne.evans@zoho.com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34B1E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52AF3">
        <w:rPr>
          <w:b/>
          <w:sz w:val="24"/>
          <w:szCs w:val="24"/>
        </w:rPr>
        <w:t>August</w:t>
      </w:r>
      <w:r w:rsidR="00A9293F">
        <w:rPr>
          <w:b/>
          <w:sz w:val="24"/>
          <w:szCs w:val="24"/>
        </w:rPr>
        <w:t xml:space="preserve"> </w:t>
      </w:r>
      <w:r w:rsidR="0072142D">
        <w:rPr>
          <w:b/>
          <w:sz w:val="24"/>
          <w:szCs w:val="24"/>
        </w:rPr>
        <w:t>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FD84E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2142D">
        <w:rPr>
          <w:b/>
          <w:sz w:val="24"/>
          <w:szCs w:val="24"/>
        </w:rPr>
        <w:t xml:space="preserve"> </w:t>
      </w:r>
      <w:r w:rsidR="00752AF3">
        <w:rPr>
          <w:b/>
          <w:sz w:val="24"/>
          <w:szCs w:val="24"/>
        </w:rPr>
        <w:t>August</w:t>
      </w:r>
      <w:r w:rsidR="0072142D">
        <w:rPr>
          <w:b/>
          <w:sz w:val="24"/>
          <w:szCs w:val="24"/>
        </w:rPr>
        <w:t xml:space="preserve">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5723F7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72142D">
        <w:rPr>
          <w:b/>
          <w:sz w:val="24"/>
          <w:szCs w:val="24"/>
        </w:rPr>
        <w:t xml:space="preserve"> Swansea </w:t>
      </w:r>
      <w:r w:rsidR="00EA3018">
        <w:rPr>
          <w:b/>
          <w:sz w:val="24"/>
          <w:szCs w:val="24"/>
        </w:rPr>
        <w:t>Social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85B7E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A3018">
        <w:rPr>
          <w:b/>
          <w:sz w:val="24"/>
          <w:szCs w:val="24"/>
        </w:rPr>
        <w:t xml:space="preserve"> </w:t>
      </w:r>
      <w:r w:rsidR="00127094">
        <w:rPr>
          <w:b/>
          <w:sz w:val="24"/>
          <w:szCs w:val="24"/>
        </w:rPr>
        <w:t>Swansea Guild Hall 12 Guild Hall Road,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255E62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72142D">
        <w:rPr>
          <w:b/>
          <w:sz w:val="24"/>
          <w:szCs w:val="24"/>
        </w:rPr>
        <w:t xml:space="preserve"> 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566488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27094">
        <w:rPr>
          <w:b/>
          <w:sz w:val="24"/>
          <w:szCs w:val="24"/>
        </w:rPr>
        <w:t xml:space="preserve"> Rebecca Howells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0A318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65DDE">
        <w:rPr>
          <w:b/>
          <w:sz w:val="24"/>
          <w:szCs w:val="24"/>
        </w:rPr>
        <w:t xml:space="preserve"> Child and Family</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652709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F352D">
        <w:rPr>
          <w:b/>
          <w:sz w:val="24"/>
          <w:szCs w:val="24"/>
        </w:rPr>
        <w:t xml:space="preserve"> </w:t>
      </w:r>
      <w:r w:rsidR="003B47C5">
        <w:rPr>
          <w:b/>
          <w:sz w:val="24"/>
          <w:szCs w:val="24"/>
        </w:rPr>
        <w:t>07</w:t>
      </w:r>
      <w:r w:rsidR="00F65DDE">
        <w:rPr>
          <w:b/>
          <w:sz w:val="24"/>
          <w:szCs w:val="24"/>
        </w:rPr>
        <w:t>8</w:t>
      </w:r>
      <w:r w:rsidR="003B47C5">
        <w:rPr>
          <w:b/>
          <w:sz w:val="24"/>
          <w:szCs w:val="24"/>
        </w:rPr>
        <w:t>17352487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C8971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27094">
        <w:rPr>
          <w:b/>
          <w:sz w:val="24"/>
          <w:szCs w:val="24"/>
        </w:rPr>
        <w:t xml:space="preserve"> Rebecca.howells@swansea.gov.uk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529086F" w:rsidR="004923DA" w:rsidRDefault="004923DA" w:rsidP="00FF7EBB">
            <w:pPr>
              <w:jc w:val="both"/>
              <w:rPr>
                <w:b/>
                <w:sz w:val="24"/>
                <w:szCs w:val="24"/>
              </w:rPr>
            </w:pPr>
            <w:r w:rsidRPr="008B28E7">
              <w:rPr>
                <w:b/>
                <w:sz w:val="24"/>
                <w:szCs w:val="24"/>
              </w:rPr>
              <w:t>Name:</w:t>
            </w:r>
            <w:r w:rsidR="00127094">
              <w:rPr>
                <w:b/>
                <w:sz w:val="24"/>
                <w:szCs w:val="24"/>
              </w:rPr>
              <w:t xml:space="preserve"> Rebecca Howells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81E9985" w:rsidR="004923DA" w:rsidRPr="008B28E7" w:rsidRDefault="004923DA" w:rsidP="00FF7EBB">
            <w:pPr>
              <w:jc w:val="both"/>
              <w:rPr>
                <w:b/>
                <w:sz w:val="24"/>
                <w:szCs w:val="24"/>
              </w:rPr>
            </w:pPr>
            <w:r w:rsidRPr="008B28E7">
              <w:rPr>
                <w:b/>
                <w:sz w:val="24"/>
                <w:szCs w:val="24"/>
              </w:rPr>
              <w:lastRenderedPageBreak/>
              <w:t>Professional Qualification and date of qualification:</w:t>
            </w:r>
            <w:r w:rsidR="003B47C5">
              <w:rPr>
                <w:b/>
                <w:sz w:val="24"/>
                <w:szCs w:val="24"/>
              </w:rPr>
              <w:t xml:space="preserve"> Team Manager</w:t>
            </w:r>
            <w:r w:rsidR="005F6BD1">
              <w:rPr>
                <w:b/>
                <w:sz w:val="24"/>
                <w:szCs w:val="24"/>
              </w:rPr>
              <w:t xml:space="preserve"> </w:t>
            </w:r>
            <w:r w:rsidR="00F65DDE">
              <w:rPr>
                <w:b/>
                <w:sz w:val="24"/>
                <w:szCs w:val="24"/>
              </w:rPr>
              <w:t>B</w:t>
            </w:r>
            <w:r w:rsidR="00A15A7F">
              <w:rPr>
                <w:b/>
                <w:sz w:val="24"/>
                <w:szCs w:val="24"/>
              </w:rPr>
              <w:t xml:space="preserve">Sc Social work degree </w:t>
            </w:r>
            <w:r w:rsidR="005F6BD1">
              <w:rPr>
                <w:b/>
                <w:sz w:val="24"/>
                <w:szCs w:val="24"/>
              </w:rPr>
              <w:t>Qualified in 2010</w:t>
            </w:r>
            <w:r w:rsidR="00F65DDE">
              <w:rPr>
                <w:b/>
                <w:sz w:val="24"/>
                <w:szCs w:val="24"/>
              </w:rPr>
              <w:t xml:space="preserve"> </w:t>
            </w:r>
          </w:p>
          <w:p w14:paraId="5F68A3CF" w14:textId="77777777" w:rsidR="004923DA" w:rsidRDefault="004923DA" w:rsidP="00FF7EBB">
            <w:pPr>
              <w:jc w:val="both"/>
              <w:rPr>
                <w:b/>
                <w:sz w:val="24"/>
                <w:szCs w:val="24"/>
              </w:rPr>
            </w:pPr>
          </w:p>
          <w:p w14:paraId="4C6113F1" w14:textId="093C48D2" w:rsidR="004923DA" w:rsidRDefault="009D59C2" w:rsidP="00FF7EBB">
            <w:pPr>
              <w:jc w:val="both"/>
              <w:rPr>
                <w:b/>
                <w:sz w:val="24"/>
                <w:szCs w:val="24"/>
              </w:rPr>
            </w:pPr>
            <w:r>
              <w:rPr>
                <w:b/>
                <w:sz w:val="24"/>
                <w:szCs w:val="24"/>
              </w:rPr>
              <w:t>T</w:t>
            </w:r>
            <w:r w:rsidR="004923DA" w:rsidRPr="008B28E7">
              <w:rPr>
                <w:b/>
                <w:sz w:val="24"/>
                <w:szCs w:val="24"/>
              </w:rPr>
              <w:t>elephone number:</w:t>
            </w:r>
            <w:r w:rsidR="00127094">
              <w:rPr>
                <w:b/>
                <w:sz w:val="24"/>
                <w:szCs w:val="24"/>
              </w:rPr>
              <w:t xml:space="preserve"> </w:t>
            </w:r>
            <w:r w:rsidR="00627D98">
              <w:rPr>
                <w:b/>
                <w:sz w:val="24"/>
                <w:szCs w:val="24"/>
              </w:rPr>
              <w:t>07817</w:t>
            </w:r>
            <w:r w:rsidR="00871DD8">
              <w:rPr>
                <w:b/>
                <w:sz w:val="24"/>
                <w:szCs w:val="24"/>
              </w:rPr>
              <w:t>352487</w:t>
            </w:r>
          </w:p>
          <w:p w14:paraId="0BB87919" w14:textId="548A11EF" w:rsidR="009D59C2" w:rsidRDefault="009D59C2" w:rsidP="00FF7EBB">
            <w:pPr>
              <w:jc w:val="both"/>
              <w:rPr>
                <w:b/>
                <w:sz w:val="24"/>
                <w:szCs w:val="24"/>
              </w:rPr>
            </w:pPr>
          </w:p>
          <w:p w14:paraId="4FDEE73F" w14:textId="237AF571" w:rsidR="009D59C2" w:rsidRPr="008B28E7" w:rsidRDefault="009D59C2" w:rsidP="00FF7EBB">
            <w:pPr>
              <w:jc w:val="both"/>
              <w:rPr>
                <w:b/>
                <w:sz w:val="24"/>
                <w:szCs w:val="24"/>
              </w:rPr>
            </w:pPr>
            <w:r>
              <w:rPr>
                <w:b/>
                <w:sz w:val="24"/>
                <w:szCs w:val="24"/>
              </w:rPr>
              <w:t>Email address:</w:t>
            </w:r>
            <w:r w:rsidR="00871DD8">
              <w:rPr>
                <w:b/>
                <w:sz w:val="24"/>
                <w:szCs w:val="24"/>
              </w:rPr>
              <w:t xml:space="preserve"> Rebecca.howells@swansea.gov.uk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49946D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w:t>
      </w:r>
      <w:r w:rsidR="00871DD8">
        <w:rPr>
          <w:sz w:val="24"/>
          <w:szCs w:val="24"/>
        </w:rPr>
        <w:t>L Evans</w:t>
      </w:r>
      <w:r>
        <w:rPr>
          <w:sz w:val="24"/>
          <w:szCs w:val="24"/>
        </w:rPr>
        <w:t xml:space="preserve">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A001AD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106D1C">
        <w:rPr>
          <w:sz w:val="24"/>
          <w:szCs w:val="24"/>
        </w:rPr>
        <w:t>6/10/25</w:t>
      </w:r>
      <w:r>
        <w:rPr>
          <w:sz w:val="24"/>
          <w:szCs w:val="24"/>
        </w:rPr>
        <w:t xml:space="preserve">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8F4719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w:t>
      </w:r>
      <w:proofErr w:type="gramStart"/>
      <w:r w:rsidR="00106D1C">
        <w:rPr>
          <w:sz w:val="24"/>
          <w:szCs w:val="24"/>
        </w:rPr>
        <w:t>R  Howells</w:t>
      </w:r>
      <w:proofErr w:type="gramEnd"/>
      <w:r w:rsidR="00B577D3">
        <w:rPr>
          <w:sz w:val="24"/>
          <w:szCs w:val="24"/>
        </w:rPr>
        <w:t xml:space="preserve">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2EC9EB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w:t>
      </w:r>
      <w:r w:rsidR="00106D1C">
        <w:rPr>
          <w:sz w:val="24"/>
          <w:szCs w:val="24"/>
        </w:rPr>
        <w:t>5/10/25</w:t>
      </w:r>
      <w:r>
        <w:rPr>
          <w:sz w:val="24"/>
          <w:szCs w:val="24"/>
        </w:rPr>
        <w:t xml:space="preserve">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867256E" w:rsidR="00335C41" w:rsidRPr="00D3203C" w:rsidRDefault="00335C41" w:rsidP="00335C41">
            <w:pPr>
              <w:ind w:right="180"/>
              <w:jc w:val="both"/>
              <w:rPr>
                <w:sz w:val="24"/>
                <w:szCs w:val="24"/>
              </w:rPr>
            </w:pPr>
            <w:r w:rsidRPr="00D3203C">
              <w:rPr>
                <w:sz w:val="24"/>
                <w:szCs w:val="24"/>
              </w:rPr>
              <w:t>Signed</w:t>
            </w:r>
            <w:r w:rsidR="00106D1C">
              <w:rPr>
                <w:sz w:val="24"/>
                <w:szCs w:val="24"/>
              </w:rPr>
              <w:t xml:space="preserve"> R Howells</w:t>
            </w:r>
            <w:r w:rsidRPr="00D3203C">
              <w:rPr>
                <w:sz w:val="24"/>
                <w:szCs w:val="24"/>
              </w:rPr>
              <w:t>________________________ (Mentor)</w:t>
            </w:r>
          </w:p>
          <w:p w14:paraId="5D3F0767" w14:textId="77777777" w:rsidR="00335C41" w:rsidRPr="00D3203C" w:rsidRDefault="00335C41" w:rsidP="00335C41">
            <w:pPr>
              <w:ind w:right="180"/>
              <w:jc w:val="both"/>
              <w:rPr>
                <w:sz w:val="24"/>
                <w:szCs w:val="24"/>
              </w:rPr>
            </w:pPr>
          </w:p>
          <w:p w14:paraId="24E1B8A5" w14:textId="0992049D" w:rsidR="00335C41" w:rsidRPr="00D3203C" w:rsidRDefault="00335C41" w:rsidP="00335C41">
            <w:pPr>
              <w:ind w:right="180"/>
              <w:jc w:val="both"/>
              <w:rPr>
                <w:sz w:val="24"/>
                <w:szCs w:val="24"/>
              </w:rPr>
            </w:pPr>
            <w:r w:rsidRPr="00D3203C">
              <w:rPr>
                <w:sz w:val="24"/>
                <w:szCs w:val="24"/>
              </w:rPr>
              <w:t>Date _______</w:t>
            </w:r>
            <w:r w:rsidR="00106D1C">
              <w:rPr>
                <w:sz w:val="24"/>
                <w:szCs w:val="24"/>
              </w:rPr>
              <w:t>5/10/25</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9B25C0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8731C">
        <w:rPr>
          <w:caps/>
          <w:sz w:val="24"/>
          <w:szCs w:val="24"/>
        </w:rPr>
        <w:t>REBECCA HOWELLS</w:t>
      </w:r>
    </w:p>
    <w:p w14:paraId="7C11F360" w14:textId="472B4EB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88731C">
        <w:rPr>
          <w:sz w:val="24"/>
          <w:szCs w:val="24"/>
        </w:rPr>
        <w:t>R Howells</w:t>
      </w:r>
    </w:p>
    <w:p w14:paraId="57B2A00A" w14:textId="4C7329D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607ADA">
        <w:rPr>
          <w:sz w:val="24"/>
          <w:szCs w:val="24"/>
        </w:rPr>
        <w:t>5/10/2025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918A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w:t>
      </w:r>
    </w:p>
    <w:p w14:paraId="4903E782" w14:textId="69A1303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r w:rsidR="00607ADA">
        <w:rPr>
          <w:sz w:val="24"/>
          <w:szCs w:val="24"/>
        </w:rPr>
        <w:t xml:space="preserve">_ </w:t>
      </w:r>
      <w:r w:rsidR="00607ADA" w:rsidRPr="00B436BF">
        <w:rPr>
          <w:sz w:val="24"/>
          <w:szCs w:val="24"/>
        </w:rPr>
        <w:t>_</w:t>
      </w:r>
      <w:r w:rsidRPr="00D77EB5">
        <w:rPr>
          <w:rFonts w:ascii="Brush Script MT" w:hAnsi="Brush Script MT"/>
          <w:sz w:val="40"/>
          <w:szCs w:val="40"/>
        </w:rPr>
        <w:t xml:space="preserve"> _ _ _ </w:t>
      </w:r>
    </w:p>
    <w:p w14:paraId="35D5374D" w14:textId="591FF1C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w:t>
      </w:r>
    </w:p>
    <w:p w14:paraId="4FB74CFA" w14:textId="485ED148"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1729ADBB" w:rsidR="00D05A5D" w:rsidRPr="00DA5682" w:rsidRDefault="00805E53" w:rsidP="00CC14B6">
            <w:pPr>
              <w:rPr>
                <w:sz w:val="24"/>
                <w:szCs w:val="24"/>
              </w:rPr>
            </w:pPr>
            <w:r>
              <w:rPr>
                <w:sz w:val="24"/>
                <w:szCs w:val="24"/>
              </w:rPr>
              <w:t>Leanne Evans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345DA13" w:rsidR="00D05A5D" w:rsidRPr="00DA5682" w:rsidRDefault="00607ADA" w:rsidP="00CC14B6">
            <w:pPr>
              <w:rPr>
                <w:sz w:val="24"/>
                <w:szCs w:val="24"/>
              </w:rPr>
            </w:pPr>
            <w:r>
              <w:rPr>
                <w:sz w:val="24"/>
                <w:szCs w:val="24"/>
              </w:rPr>
              <w:t>Child and Family</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75AF521" w:rsidR="00D05A5D" w:rsidRPr="00DA5682" w:rsidRDefault="00805E53" w:rsidP="00CC14B6">
            <w:pPr>
              <w:rPr>
                <w:sz w:val="24"/>
                <w:szCs w:val="24"/>
              </w:rPr>
            </w:pPr>
            <w:r>
              <w:rPr>
                <w:sz w:val="24"/>
                <w:szCs w:val="24"/>
              </w:rPr>
              <w:t>Rebecca Howells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608D05E" w:rsidR="00D05A5D" w:rsidRPr="00DA5682" w:rsidRDefault="00805E53" w:rsidP="00CC14B6">
            <w:pPr>
              <w:rPr>
                <w:sz w:val="24"/>
                <w:szCs w:val="24"/>
              </w:rPr>
            </w:pPr>
            <w:r>
              <w:rPr>
                <w:sz w:val="24"/>
                <w:szCs w:val="24"/>
              </w:rPr>
              <w:t>Rebecca Howells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E266FF0"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805E53" w:rsidRPr="00805E53">
        <w:rPr>
          <w:rFonts w:ascii="Brush Script MT" w:hAnsi="Brush Script MT"/>
          <w:sz w:val="40"/>
          <w:szCs w:val="40"/>
        </w:rPr>
        <w:t xml:space="preserve"> </w:t>
      </w:r>
      <w:r w:rsidR="00805E53" w:rsidRPr="00D77EB5">
        <w:rPr>
          <w:rFonts w:ascii="Brush Script MT" w:hAnsi="Brush Script MT"/>
          <w:sz w:val="40"/>
          <w:szCs w:val="40"/>
        </w:rPr>
        <w:t>L Evans</w:t>
      </w:r>
      <w:r w:rsidR="00805E53" w:rsidRPr="00DA5682">
        <w:rPr>
          <w:sz w:val="24"/>
          <w:szCs w:val="24"/>
        </w:rPr>
        <w:t xml:space="preserve"> </w:t>
      </w:r>
      <w:r w:rsidRPr="00DA5682">
        <w:rPr>
          <w:sz w:val="24"/>
          <w:szCs w:val="24"/>
        </w:rPr>
        <w:t>………………</w:t>
      </w:r>
      <w:proofErr w:type="gramStart"/>
      <w:r w:rsidRPr="00DA5682">
        <w:rPr>
          <w:sz w:val="24"/>
          <w:szCs w:val="24"/>
        </w:rPr>
        <w:t>…..</w:t>
      </w:r>
      <w:proofErr w:type="gramEnd"/>
      <w:r w:rsidRPr="00DA5682">
        <w:rPr>
          <w:sz w:val="24"/>
          <w:szCs w:val="24"/>
        </w:rPr>
        <w:t xml:space="preserve"> Print Name…</w:t>
      </w:r>
      <w:r w:rsidR="00805E53">
        <w:rPr>
          <w:sz w:val="24"/>
          <w:szCs w:val="24"/>
        </w:rPr>
        <w:t xml:space="preserve">Leanne Evans </w:t>
      </w:r>
      <w:proofErr w:type="gramStart"/>
      <w:r w:rsidRPr="00DA5682">
        <w:rPr>
          <w:sz w:val="24"/>
          <w:szCs w:val="24"/>
        </w:rPr>
        <w:t>Date:…</w:t>
      </w:r>
      <w:proofErr w:type="gramEnd"/>
      <w:r w:rsidRPr="00DA5682">
        <w:rPr>
          <w:sz w:val="24"/>
          <w:szCs w:val="24"/>
        </w:rPr>
        <w:t>…</w:t>
      </w:r>
      <w:r w:rsidR="00691429">
        <w:rPr>
          <w:sz w:val="24"/>
          <w:szCs w:val="24"/>
        </w:rPr>
        <w:t>16/10/24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6177878"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607ADA">
        <w:rPr>
          <w:sz w:val="24"/>
          <w:szCs w:val="24"/>
        </w:rPr>
        <w:t>R Howells</w:t>
      </w:r>
      <w:r w:rsidRPr="00DA5682">
        <w:rPr>
          <w:sz w:val="24"/>
          <w:szCs w:val="24"/>
        </w:rPr>
        <w:t>………………</w:t>
      </w:r>
      <w:proofErr w:type="gramStart"/>
      <w:r w:rsidRPr="00DA5682">
        <w:rPr>
          <w:sz w:val="24"/>
          <w:szCs w:val="24"/>
        </w:rPr>
        <w:t>…..</w:t>
      </w:r>
      <w:proofErr w:type="gramEnd"/>
      <w:r w:rsidRPr="00DA5682">
        <w:rPr>
          <w:sz w:val="24"/>
          <w:szCs w:val="24"/>
        </w:rPr>
        <w:t xml:space="preserve"> Print Name…</w:t>
      </w:r>
      <w:r w:rsidR="00E8213F">
        <w:rPr>
          <w:sz w:val="24"/>
          <w:szCs w:val="24"/>
        </w:rPr>
        <w:t>Rebecca Howells</w:t>
      </w:r>
      <w:r w:rsidRPr="00DA5682">
        <w:rPr>
          <w:sz w:val="24"/>
          <w:szCs w:val="24"/>
        </w:rPr>
        <w:t>……</w:t>
      </w:r>
      <w:proofErr w:type="gramStart"/>
      <w:r w:rsidRPr="00DA5682">
        <w:rPr>
          <w:sz w:val="24"/>
          <w:szCs w:val="24"/>
        </w:rPr>
        <w:t>….Date:…</w:t>
      </w:r>
      <w:proofErr w:type="gramEnd"/>
      <w:r w:rsidRPr="00DA5682">
        <w:rPr>
          <w:sz w:val="24"/>
          <w:szCs w:val="24"/>
        </w:rPr>
        <w:t>…</w:t>
      </w:r>
      <w:r w:rsidR="00691429">
        <w:rPr>
          <w:sz w:val="24"/>
          <w:szCs w:val="24"/>
        </w:rPr>
        <w:t>24/10/24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4872D86"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E8213F" w:rsidRPr="00E8213F">
        <w:rPr>
          <w:noProof/>
        </w:rPr>
        <w:t xml:space="preserve"> </w:t>
      </w:r>
      <w:r w:rsidR="00E8213F">
        <w:rPr>
          <w:noProof/>
        </w:rPr>
        <w:drawing>
          <wp:inline distT="0" distB="0" distL="0" distR="0" wp14:anchorId="5F6C1BB6" wp14:editId="516FFEFD">
            <wp:extent cx="628015" cy="255905"/>
            <wp:effectExtent l="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015" cy="255905"/>
                    </a:xfrm>
                    <a:prstGeom prst="rect">
                      <a:avLst/>
                    </a:prstGeom>
                    <a:noFill/>
                  </pic:spPr>
                </pic:pic>
              </a:graphicData>
            </a:graphic>
          </wp:inline>
        </w:drawing>
      </w:r>
      <w:r w:rsidR="00E8213F" w:rsidRPr="00DA5682">
        <w:rPr>
          <w:sz w:val="24"/>
          <w:szCs w:val="24"/>
        </w:rPr>
        <w:t xml:space="preserve"> </w:t>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E8213F">
        <w:rPr>
          <w:sz w:val="24"/>
          <w:szCs w:val="24"/>
        </w:rPr>
        <w:t>Lisa Govier</w:t>
      </w:r>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B84BE" w14:textId="77777777" w:rsidR="001C6D0F" w:rsidRDefault="001C6D0F">
      <w:r>
        <w:separator/>
      </w:r>
    </w:p>
  </w:endnote>
  <w:endnote w:type="continuationSeparator" w:id="0">
    <w:p w14:paraId="78D70F19" w14:textId="77777777" w:rsidR="001C6D0F" w:rsidRDefault="001C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90FAF" w14:textId="77777777" w:rsidR="001C6D0F" w:rsidRDefault="001C6D0F">
      <w:r>
        <w:separator/>
      </w:r>
    </w:p>
  </w:footnote>
  <w:footnote w:type="continuationSeparator" w:id="0">
    <w:p w14:paraId="57C87B02" w14:textId="77777777" w:rsidR="001C6D0F" w:rsidRDefault="001C6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1B6F"/>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64B"/>
    <w:rsid w:val="000A4240"/>
    <w:rsid w:val="000A469A"/>
    <w:rsid w:val="000A584A"/>
    <w:rsid w:val="000A6458"/>
    <w:rsid w:val="000B2992"/>
    <w:rsid w:val="000B6AAB"/>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1C"/>
    <w:rsid w:val="00106DC7"/>
    <w:rsid w:val="00112391"/>
    <w:rsid w:val="00114F52"/>
    <w:rsid w:val="00127094"/>
    <w:rsid w:val="00130119"/>
    <w:rsid w:val="00132812"/>
    <w:rsid w:val="001347F8"/>
    <w:rsid w:val="001359EE"/>
    <w:rsid w:val="00137BB5"/>
    <w:rsid w:val="00137E05"/>
    <w:rsid w:val="001447F6"/>
    <w:rsid w:val="00147DE3"/>
    <w:rsid w:val="00150794"/>
    <w:rsid w:val="00151DA6"/>
    <w:rsid w:val="001608C4"/>
    <w:rsid w:val="00164832"/>
    <w:rsid w:val="00170C99"/>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6D0F"/>
    <w:rsid w:val="001D229F"/>
    <w:rsid w:val="001E2EB6"/>
    <w:rsid w:val="001F4552"/>
    <w:rsid w:val="002019EB"/>
    <w:rsid w:val="0020490F"/>
    <w:rsid w:val="00204B58"/>
    <w:rsid w:val="00205051"/>
    <w:rsid w:val="0021077D"/>
    <w:rsid w:val="00211F65"/>
    <w:rsid w:val="00214047"/>
    <w:rsid w:val="00216563"/>
    <w:rsid w:val="0021792F"/>
    <w:rsid w:val="00220D06"/>
    <w:rsid w:val="002246A0"/>
    <w:rsid w:val="00230439"/>
    <w:rsid w:val="00232A09"/>
    <w:rsid w:val="00235176"/>
    <w:rsid w:val="00236061"/>
    <w:rsid w:val="0024100E"/>
    <w:rsid w:val="00241990"/>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CC0"/>
    <w:rsid w:val="002A4E2E"/>
    <w:rsid w:val="002A5604"/>
    <w:rsid w:val="002B1701"/>
    <w:rsid w:val="002B1C56"/>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028"/>
    <w:rsid w:val="00377448"/>
    <w:rsid w:val="00377884"/>
    <w:rsid w:val="003826BD"/>
    <w:rsid w:val="00384C98"/>
    <w:rsid w:val="00385414"/>
    <w:rsid w:val="00390074"/>
    <w:rsid w:val="00392F73"/>
    <w:rsid w:val="00393600"/>
    <w:rsid w:val="0039374E"/>
    <w:rsid w:val="0039762B"/>
    <w:rsid w:val="003A0C37"/>
    <w:rsid w:val="003A1B6B"/>
    <w:rsid w:val="003A46C0"/>
    <w:rsid w:val="003A600E"/>
    <w:rsid w:val="003A6513"/>
    <w:rsid w:val="003B16C7"/>
    <w:rsid w:val="003B3115"/>
    <w:rsid w:val="003B47C5"/>
    <w:rsid w:val="003C19F1"/>
    <w:rsid w:val="003C3C67"/>
    <w:rsid w:val="003C4186"/>
    <w:rsid w:val="003C6185"/>
    <w:rsid w:val="003D0D2D"/>
    <w:rsid w:val="003D1885"/>
    <w:rsid w:val="003D1BC0"/>
    <w:rsid w:val="003D20F1"/>
    <w:rsid w:val="003D4710"/>
    <w:rsid w:val="003D5497"/>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15B9"/>
    <w:rsid w:val="00463B55"/>
    <w:rsid w:val="00464609"/>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1F09"/>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27B9"/>
    <w:rsid w:val="005305C6"/>
    <w:rsid w:val="00540EEC"/>
    <w:rsid w:val="005414F4"/>
    <w:rsid w:val="00546187"/>
    <w:rsid w:val="00547B11"/>
    <w:rsid w:val="005508BE"/>
    <w:rsid w:val="00557D77"/>
    <w:rsid w:val="0056006F"/>
    <w:rsid w:val="00562EAA"/>
    <w:rsid w:val="00563B58"/>
    <w:rsid w:val="005640C4"/>
    <w:rsid w:val="0056684C"/>
    <w:rsid w:val="00570A83"/>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7A57"/>
    <w:rsid w:val="005E13EA"/>
    <w:rsid w:val="005E17F1"/>
    <w:rsid w:val="005F64AA"/>
    <w:rsid w:val="005F6BD1"/>
    <w:rsid w:val="005F7851"/>
    <w:rsid w:val="00606E27"/>
    <w:rsid w:val="00607ADA"/>
    <w:rsid w:val="006108C9"/>
    <w:rsid w:val="00614DF7"/>
    <w:rsid w:val="006179BB"/>
    <w:rsid w:val="0062158D"/>
    <w:rsid w:val="006223FD"/>
    <w:rsid w:val="00627D98"/>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429"/>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3DA4"/>
    <w:rsid w:val="007069CD"/>
    <w:rsid w:val="00706BB5"/>
    <w:rsid w:val="0071231A"/>
    <w:rsid w:val="00712E90"/>
    <w:rsid w:val="00713B7E"/>
    <w:rsid w:val="007160EC"/>
    <w:rsid w:val="00721193"/>
    <w:rsid w:val="0072142D"/>
    <w:rsid w:val="0072678F"/>
    <w:rsid w:val="007276E5"/>
    <w:rsid w:val="00727C4C"/>
    <w:rsid w:val="00734809"/>
    <w:rsid w:val="0073714E"/>
    <w:rsid w:val="007374EF"/>
    <w:rsid w:val="007406E1"/>
    <w:rsid w:val="00743E40"/>
    <w:rsid w:val="00745016"/>
    <w:rsid w:val="0075031F"/>
    <w:rsid w:val="00750BC7"/>
    <w:rsid w:val="00751263"/>
    <w:rsid w:val="00752AF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B4C"/>
    <w:rsid w:val="007F10BD"/>
    <w:rsid w:val="007F312E"/>
    <w:rsid w:val="007F3F7E"/>
    <w:rsid w:val="007F4BA4"/>
    <w:rsid w:val="00805E5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1DD8"/>
    <w:rsid w:val="0087369F"/>
    <w:rsid w:val="00880539"/>
    <w:rsid w:val="008859E8"/>
    <w:rsid w:val="0088731C"/>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E32"/>
    <w:rsid w:val="009C53E7"/>
    <w:rsid w:val="009C6092"/>
    <w:rsid w:val="009C7342"/>
    <w:rsid w:val="009D4365"/>
    <w:rsid w:val="009D477B"/>
    <w:rsid w:val="009D4E3B"/>
    <w:rsid w:val="009D59C2"/>
    <w:rsid w:val="009D7BC9"/>
    <w:rsid w:val="009E122F"/>
    <w:rsid w:val="009E1982"/>
    <w:rsid w:val="009E4D2C"/>
    <w:rsid w:val="009F0978"/>
    <w:rsid w:val="009F352D"/>
    <w:rsid w:val="009F3AEC"/>
    <w:rsid w:val="009F3F54"/>
    <w:rsid w:val="009F4935"/>
    <w:rsid w:val="009F6801"/>
    <w:rsid w:val="00A00081"/>
    <w:rsid w:val="00A06422"/>
    <w:rsid w:val="00A10D56"/>
    <w:rsid w:val="00A12AAE"/>
    <w:rsid w:val="00A12F22"/>
    <w:rsid w:val="00A15A7F"/>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4073"/>
    <w:rsid w:val="00A652F6"/>
    <w:rsid w:val="00A65861"/>
    <w:rsid w:val="00A732EA"/>
    <w:rsid w:val="00A7489E"/>
    <w:rsid w:val="00A8015F"/>
    <w:rsid w:val="00A85039"/>
    <w:rsid w:val="00A871DA"/>
    <w:rsid w:val="00A906AA"/>
    <w:rsid w:val="00A9293F"/>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3336"/>
    <w:rsid w:val="00AE5BA6"/>
    <w:rsid w:val="00AE6231"/>
    <w:rsid w:val="00AE7077"/>
    <w:rsid w:val="00AF61C2"/>
    <w:rsid w:val="00AF6CC6"/>
    <w:rsid w:val="00B0296A"/>
    <w:rsid w:val="00B07E79"/>
    <w:rsid w:val="00B12295"/>
    <w:rsid w:val="00B12769"/>
    <w:rsid w:val="00B137BE"/>
    <w:rsid w:val="00B15998"/>
    <w:rsid w:val="00B17FA0"/>
    <w:rsid w:val="00B2292C"/>
    <w:rsid w:val="00B22C3C"/>
    <w:rsid w:val="00B24344"/>
    <w:rsid w:val="00B26769"/>
    <w:rsid w:val="00B26BF1"/>
    <w:rsid w:val="00B2754B"/>
    <w:rsid w:val="00B31C91"/>
    <w:rsid w:val="00B3747F"/>
    <w:rsid w:val="00B42E76"/>
    <w:rsid w:val="00B43194"/>
    <w:rsid w:val="00B436BF"/>
    <w:rsid w:val="00B47734"/>
    <w:rsid w:val="00B50FBA"/>
    <w:rsid w:val="00B558EB"/>
    <w:rsid w:val="00B577D3"/>
    <w:rsid w:val="00B60466"/>
    <w:rsid w:val="00B6548F"/>
    <w:rsid w:val="00B71A32"/>
    <w:rsid w:val="00B74EDA"/>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0D9"/>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4B30"/>
    <w:rsid w:val="00D65558"/>
    <w:rsid w:val="00D71201"/>
    <w:rsid w:val="00D720C7"/>
    <w:rsid w:val="00D77EB5"/>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09BE"/>
    <w:rsid w:val="00E231D1"/>
    <w:rsid w:val="00E3288D"/>
    <w:rsid w:val="00E35112"/>
    <w:rsid w:val="00E35BEC"/>
    <w:rsid w:val="00E41A6A"/>
    <w:rsid w:val="00E50821"/>
    <w:rsid w:val="00E51F91"/>
    <w:rsid w:val="00E5498A"/>
    <w:rsid w:val="00E559CE"/>
    <w:rsid w:val="00E60F42"/>
    <w:rsid w:val="00E6746C"/>
    <w:rsid w:val="00E7086E"/>
    <w:rsid w:val="00E71248"/>
    <w:rsid w:val="00E72F98"/>
    <w:rsid w:val="00E73C41"/>
    <w:rsid w:val="00E75911"/>
    <w:rsid w:val="00E7598F"/>
    <w:rsid w:val="00E76F60"/>
    <w:rsid w:val="00E812B5"/>
    <w:rsid w:val="00E8213F"/>
    <w:rsid w:val="00E83D90"/>
    <w:rsid w:val="00E83F91"/>
    <w:rsid w:val="00E86299"/>
    <w:rsid w:val="00E90696"/>
    <w:rsid w:val="00E9107A"/>
    <w:rsid w:val="00E91F62"/>
    <w:rsid w:val="00E929FD"/>
    <w:rsid w:val="00E93240"/>
    <w:rsid w:val="00E9479B"/>
    <w:rsid w:val="00E94E22"/>
    <w:rsid w:val="00E95F08"/>
    <w:rsid w:val="00E97171"/>
    <w:rsid w:val="00EA3018"/>
    <w:rsid w:val="00EA4D48"/>
    <w:rsid w:val="00EA7ADF"/>
    <w:rsid w:val="00EB13A4"/>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6AF"/>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DDE"/>
    <w:rsid w:val="00F66272"/>
    <w:rsid w:val="00F709C0"/>
    <w:rsid w:val="00F7262E"/>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BD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Bibliography">
    <w:name w:val="Bibliography"/>
    <w:basedOn w:val="Normal"/>
    <w:next w:val="Normal"/>
    <w:uiPriority w:val="37"/>
    <w:unhideWhenUsed/>
    <w:rsid w:val="00377028"/>
  </w:style>
  <w:style w:type="character" w:styleId="UnresolvedMention">
    <w:name w:val="Unresolved Mention"/>
    <w:basedOn w:val="DefaultParagraphFont"/>
    <w:uiPriority w:val="99"/>
    <w:semiHidden/>
    <w:unhideWhenUsed/>
    <w:rsid w:val="00241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109727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b:Source>
    <b:Tag>UNC891</b:Tag>
    <b:SourceType>InternetSite</b:SourceType>
    <b:Guid>{60C633C6-9C8A-B642-9465-1DC6C19107DB}</b:Guid>
    <b:Author>
      <b:Author>
        <b:NameList>
          <b:Person>
            <b:Last>UNCRC</b:Last>
          </b:Person>
        </b:NameList>
      </b:Author>
    </b:Author>
    <b:Title>The UN Convention Rights of a Child</b:Title>
    <b:URL>https://www.unicef.org.uk/what-we-do/un-convention-child-rights/</b:URL>
    <b:Year>1989</b:Year>
    <b:YearAccessed>2025</b:YearAccessed>
    <b:MonthAccessed>April</b:MonthAccessed>
    <b:DayAccessed>25</b:DayAccessed>
    <b:RefOrder>1</b:RefOrder>
  </b:Source>
  <b:Source>
    <b:Tag>JDr07</b:Tag>
    <b:SourceType>Book</b:SourceType>
    <b:Guid>{ADFC2A53-CD7B-404F-A6CE-361AC5907EB2}</b:Guid>
    <b:Author>
      <b:Author>
        <b:NameList>
          <b:Person>
            <b:Last>Driscoll</b:Last>
            <b:First>J</b:First>
          </b:Person>
        </b:NameList>
      </b:Author>
    </b:Author>
    <b:Title>Practicing Clinical Supervision: Areflective Approach for Healthcare Professionsls</b:Title>
    <b:Year>2007</b:Year>
    <b:City>Edinburgh</b:City>
    <b:Publisher>Elsevier</b:Publisher>
    <b:RefOrder>3</b:RefOrder>
  </b:Source>
  <b:Source>
    <b:Tag>TBo70</b:Tag>
    <b:SourceType>Book</b:SourceType>
    <b:Guid>{20307523-ADB1-4449-8252-FA094BAF0E32}</b:Guid>
    <b:Author>
      <b:Author>
        <b:NameList>
          <b:Person>
            <b:Last>Borton</b:Last>
            <b:First>T</b:First>
          </b:Person>
        </b:NameList>
      </b:Author>
    </b:Author>
    <b:Title>Reach, Touch and Teach</b:Title>
    <b:Year>1970</b:Year>
    <b:City>London</b:City>
    <b:Publisher>Hutchinson</b:Publisher>
    <b:RefOrder>4</b:RefOrder>
  </b:Source>
  <b:Source>
    <b:Tag>Kat08</b:Tag>
    <b:SourceType>JournalArticle</b:SourceType>
    <b:Guid>{48ABE0DB-151F-6944-9BE8-9A2FCBBE4938}</b:Guid>
    <b:Title>Social Work and Multi-Agency Working: Making a Difference</b:Title>
    <b:Year>2008</b:Year>
    <b:Author>
      <b:Author>
        <b:NameList>
          <b:Person>
            <b:Last>Morris</b:Last>
            <b:First>Kate</b:First>
          </b:Person>
        </b:NameList>
      </b:Author>
    </b:Author>
    <b:JournalName>The British Journal of Social Work</b:JournalName>
    <b:Volume>39</b:Volume>
    <b:Issue>8</b:Issue>
    <b:Pages>1623-1624</b:Pages>
    <b:RefOrder>5</b:RefOrder>
  </b:Source>
  <b:Source>
    <b:Tag>Soc1711</b:Tag>
    <b:SourceType>InternetSite</b:SourceType>
    <b:Guid>{B793C67C-1DE0-BF45-89B7-1E7914687634}</b:Guid>
    <b:Title>Code Of Professional Practice for Social Care</b:Title>
    <b:Year>2017</b:Year>
    <b:Author>
      <b:Author>
        <b:NameList>
          <b:Person>
            <b:Last>Wales</b:Last>
            <b:First>Social</b:First>
            <b:Middle>Care</b:Middle>
          </b:Person>
        </b:NameList>
      </b:Author>
    </b:Author>
    <b:URL>https://socialcare.wales/cms-assets/documents/Code-of-Proffessional-Practice-for-Social-Care-web-version.pdf</b:URL>
    <b:YearAccessed>2025</b:YearAccessed>
    <b:MonthAccessed>March</b:MonthAccessed>
    <b:DayAccessed>18</b:DayAccessed>
    <b:RefOrder>6</b:RefOrder>
  </b:Source>
  <b:Source>
    <b:Tag>Bar23</b:Tag>
    <b:SourceType>Book</b:SourceType>
    <b:Guid>{467E1316-3FA6-B641-BB71-B781E705A151}</b:Guid>
    <b:Title>The Reflective Practice Guide - An Interdisciplinary Approach to critical Reflection</b:Title>
    <b:Year>2023</b:Year>
    <b:Author>
      <b:Author>
        <b:NameList>
          <b:Person>
            <b:Last>Bassott</b:Last>
            <b:First>Barbara</b:First>
          </b:Person>
        </b:NameList>
      </b:Author>
    </b:Author>
    <b:City>London</b:City>
    <b:Publisher>Routledge</b:Publisher>
    <b:RefOrder>7</b:RefOrder>
  </b:Source>
  <b:Source>
    <b:Tag>The89</b:Tag>
    <b:SourceType>InternetSite</b:SourceType>
    <b:Guid>{EBCF4A98-F7C8-F949-ADE3-8706EEC06B26}</b:Guid>
    <b:Title>The Children Act 1989</b:Title>
    <b:Year>1989</b:Year>
    <b:URL>https://www.legislation.gov.uk/ukpga/1989/41/contents</b:URL>
    <b:YearAccessed>2025</b:YearAccessed>
    <b:MonthAccessed>February</b:MonthAccessed>
    <b:DayAccessed>3rd</b:DayAccessed>
    <b:Author>
      <b:Author>
        <b:NameList>
          <b:Person>
            <b:Last>Legislation.Gov.Uk</b:Last>
          </b:Person>
        </b:NameList>
      </b:Author>
    </b:Author>
    <b:RefOrder>8</b:RefOrder>
  </b:Source>
  <b:Source>
    <b:Tag>Sau25</b:Tag>
    <b:SourceType>InternetSite</b:SourceType>
    <b:Guid>{31ABBC42-16E4-4447-B65F-BDE2E67C1F4B}</b:Guid>
    <b:Author>
      <b:Author>
        <b:NameList>
          <b:Person>
            <b:Last>McLeod</b:Last>
            <b:First>Saul</b:First>
          </b:Person>
        </b:NameList>
      </b:Author>
    </b:Author>
    <b:Title>Simply Psychology</b:Title>
    <b:URL>https://www.simplypsychology.org/gibbs-reflective-cycle.html</b:URL>
    <b:Year>2025</b:Year>
    <b:YearAccessed>2025</b:YearAccessed>
    <b:MonthAccessed>February</b:MonthAccessed>
    <b:DayAccessed>16</b:DayAccessed>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C245FE-B245-4DF7-B5FD-41034EA5B847}">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12</TotalTime>
  <Pages>18</Pages>
  <Words>4240</Words>
  <Characters>24852</Characters>
  <Application>Microsoft Office Word</Application>
  <DocSecurity>0</DocSecurity>
  <Lines>690</Lines>
  <Paragraphs>269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Leanne Evans (Social Worker)</cp:lastModifiedBy>
  <cp:revision>10</cp:revision>
  <cp:lastPrinted>2020-02-11T19:20:00Z</cp:lastPrinted>
  <dcterms:created xsi:type="dcterms:W3CDTF">2026-03-02T11:50:00Z</dcterms:created>
  <dcterms:modified xsi:type="dcterms:W3CDTF">2026-06-04T12:45:00Z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