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69E106" w14:textId="77777777" w:rsidR="00513FF0" w:rsidRDefault="00513FF0">
      <w:pPr>
        <w:rPr>
          <w:rFonts w:ascii="Courier New" w:hAnsi="Courier New" w:cs="Courier New"/>
        </w:rPr>
      </w:pPr>
    </w:p>
    <w:p w14:paraId="11011594" w14:textId="66E202FE" w:rsidR="00513FF0" w:rsidRDefault="009D1661">
      <w:pPr>
        <w:rPr>
          <w:rFonts w:ascii="Courier New" w:hAnsi="Courier New" w:cs="Courier New"/>
        </w:rPr>
      </w:pPr>
      <w:r>
        <w:rPr>
          <w:rFonts w:ascii="Courier New" w:hAnsi="Courier New" w:cs="Courier New"/>
        </w:rPr>
        <w:tab/>
        <w:t>Myths have long been the foundation of human cultures, shaping identities, moral frameworks and collective aspirations. From creation stories to heroic epics, myths encapsulate universal themes while reflecting the values and anxieties of their times. However, as societies evolve, old myths often reveal their limitations, particularly when they perpetuate exclusionary ideologies or fail to address contemporary challenges. This raises the pressing question: Do we need to revisit old myths to create new ones? This essay argues that revisiting the old myths is essential for critiquing outdated paradigms and crafting narratives that resonate with modern realities, fostering inclusivity and adaptability.</w:t>
      </w:r>
    </w:p>
    <w:p w14:paraId="2FD75491" w14:textId="7022DD5B" w:rsidR="009D1661" w:rsidRDefault="009D1661">
      <w:pPr>
        <w:rPr>
          <w:rFonts w:ascii="Courier New" w:hAnsi="Courier New" w:cs="Courier New"/>
        </w:rPr>
      </w:pPr>
      <w:r>
        <w:rPr>
          <w:rFonts w:ascii="Courier New" w:hAnsi="Courier New" w:cs="Courier New"/>
        </w:rPr>
        <w:tab/>
        <w:t xml:space="preserve">Joseph Campbell asserts in </w:t>
      </w:r>
      <w:r>
        <w:rPr>
          <w:rFonts w:ascii="Courier New" w:hAnsi="Courier New" w:cs="Courier New"/>
          <w:i/>
          <w:iCs/>
        </w:rPr>
        <w:t>The Hero with a Thousand Faces</w:t>
      </w:r>
      <w:r>
        <w:rPr>
          <w:rFonts w:ascii="Courier New" w:hAnsi="Courier New" w:cs="Courier New"/>
        </w:rPr>
        <w:t xml:space="preserve"> (7949) that myths are “the secret opening through which the inexhaustible energies of the cosmos pour into human cultural manifestation” but he also acknowledges the necessity for these myths to evolve with societal changes. Similarly, Margaret Atwood’s </w:t>
      </w:r>
      <w:r>
        <w:rPr>
          <w:rFonts w:ascii="Courier New" w:hAnsi="Courier New" w:cs="Courier New"/>
          <w:i/>
          <w:iCs/>
        </w:rPr>
        <w:t>The Penelopiad</w:t>
      </w:r>
      <w:r>
        <w:rPr>
          <w:rFonts w:ascii="Courier New" w:hAnsi="Courier New" w:cs="Courier New"/>
        </w:rPr>
        <w:t xml:space="preserve"> (2005) reexamines Homer’s </w:t>
      </w:r>
      <w:r>
        <w:rPr>
          <w:rFonts w:ascii="Courier New" w:hAnsi="Courier New" w:cs="Courier New"/>
          <w:i/>
          <w:iCs/>
        </w:rPr>
        <w:t>Odyssey</w:t>
      </w:r>
      <w:r>
        <w:rPr>
          <w:rFonts w:ascii="Courier New" w:hAnsi="Courier New" w:cs="Courier New"/>
        </w:rPr>
        <w:t xml:space="preserve"> from Penelope’s perspective, highlighting how myths often “tell the story from the side of the powerful” while silencing others. Neil Gaiman’s </w:t>
      </w:r>
      <w:r>
        <w:rPr>
          <w:rFonts w:ascii="Courier New" w:hAnsi="Courier New" w:cs="Courier New"/>
          <w:i/>
          <w:iCs/>
        </w:rPr>
        <w:t>American Gods</w:t>
      </w:r>
      <w:r>
        <w:rPr>
          <w:rFonts w:ascii="Courier New" w:hAnsi="Courier New" w:cs="Courier New"/>
        </w:rPr>
        <w:t xml:space="preserve"> (2001) demonstrates how ancient myths can adapt to modernity, stating that “gods die when they are forgotten” but they can also be reborn in cultural contexts.</w:t>
      </w:r>
    </w:p>
    <w:p w14:paraId="1298A270" w14:textId="28C90519" w:rsidR="009D1661" w:rsidRDefault="009D1661">
      <w:pPr>
        <w:rPr>
          <w:rFonts w:ascii="Courier New" w:hAnsi="Courier New" w:cs="Courier New"/>
        </w:rPr>
      </w:pPr>
      <w:r>
        <w:rPr>
          <w:rFonts w:ascii="Courier New" w:hAnsi="Courier New" w:cs="Courier New"/>
        </w:rPr>
        <w:tab/>
        <w:t xml:space="preserve">Yuval Noah Harari in </w:t>
      </w:r>
      <w:r>
        <w:rPr>
          <w:rFonts w:ascii="Courier New" w:hAnsi="Courier New" w:cs="Courier New"/>
          <w:i/>
          <w:iCs/>
        </w:rPr>
        <w:t xml:space="preserve">Sapiens: A Brief History of Humankind </w:t>
      </w:r>
      <w:r>
        <w:rPr>
          <w:rFonts w:ascii="Courier New" w:hAnsi="Courier New" w:cs="Courier New"/>
        </w:rPr>
        <w:t xml:space="preserve">(2014) underscores how myths “give superhuman legitimacy to social structures” </w:t>
      </w:r>
      <w:r w:rsidR="00C27974">
        <w:rPr>
          <w:rFonts w:ascii="Courier New" w:hAnsi="Courier New" w:cs="Courier New"/>
        </w:rPr>
        <w:t xml:space="preserve">making them indispensable for societal cohesion. Marina Warner’s </w:t>
      </w:r>
      <w:proofErr w:type="gramStart"/>
      <w:r w:rsidR="00C27974">
        <w:rPr>
          <w:rFonts w:ascii="Courier New" w:hAnsi="Courier New" w:cs="Courier New"/>
          <w:i/>
          <w:iCs/>
        </w:rPr>
        <w:t>From</w:t>
      </w:r>
      <w:proofErr w:type="gramEnd"/>
      <w:r w:rsidR="00C27974">
        <w:rPr>
          <w:rFonts w:ascii="Courier New" w:hAnsi="Courier New" w:cs="Courier New"/>
          <w:i/>
          <w:iCs/>
        </w:rPr>
        <w:t xml:space="preserve"> Beast to the Blonde </w:t>
      </w:r>
      <w:r w:rsidR="00C27974">
        <w:rPr>
          <w:rFonts w:ascii="Courier New" w:hAnsi="Courier New" w:cs="Courier New"/>
        </w:rPr>
        <w:t xml:space="preserve">(1994) argues that revisiting myths can help “peel back the layers of cultural prejudice” exposing deep-seated biases. Similarly, Edwin Said’s </w:t>
      </w:r>
      <w:r w:rsidR="00C27974">
        <w:rPr>
          <w:rFonts w:ascii="Courier New" w:hAnsi="Courier New" w:cs="Courier New"/>
          <w:i/>
          <w:iCs/>
        </w:rPr>
        <w:t xml:space="preserve">Orientalism </w:t>
      </w:r>
      <w:r w:rsidR="00C27974" w:rsidRPr="00C27974">
        <w:rPr>
          <w:rFonts w:ascii="Courier New" w:hAnsi="Courier New" w:cs="Courier New"/>
        </w:rPr>
        <w:t>(1978</w:t>
      </w:r>
      <w:r w:rsidR="00C27974">
        <w:rPr>
          <w:rFonts w:ascii="Courier New" w:hAnsi="Courier New" w:cs="Courier New"/>
        </w:rPr>
        <w:t xml:space="preserve"> critiques colonialist myths, describing them as “a western style for dominating, restructuring, and having authority over the Orient”</w:t>
      </w:r>
    </w:p>
    <w:p w14:paraId="555CE244" w14:textId="433AF6BD" w:rsidR="00C27974" w:rsidRDefault="00C27974">
      <w:pPr>
        <w:rPr>
          <w:rFonts w:ascii="Courier New" w:hAnsi="Courier New" w:cs="Courier New"/>
        </w:rPr>
      </w:pPr>
      <w:r>
        <w:rPr>
          <w:rFonts w:ascii="Courier New" w:hAnsi="Courier New" w:cs="Courier New"/>
        </w:rPr>
        <w:tab/>
        <w:t>By revisiting old myths and crafting new ones, hu8manity can address ecological, technological and cultural challenges, creating stories that guide future generations.</w:t>
      </w:r>
    </w:p>
    <w:p w14:paraId="64CCAF0C" w14:textId="77777777" w:rsidR="00365A8D" w:rsidRDefault="00365A8D">
      <w:pPr>
        <w:rPr>
          <w:rFonts w:ascii="Courier New" w:hAnsi="Courier New" w:cs="Courier New"/>
          <w:b/>
          <w:bCs/>
        </w:rPr>
      </w:pPr>
    </w:p>
    <w:p w14:paraId="730F4754" w14:textId="77777777" w:rsidR="00365A8D" w:rsidRDefault="00365A8D">
      <w:pPr>
        <w:rPr>
          <w:rFonts w:ascii="Courier New" w:hAnsi="Courier New" w:cs="Courier New"/>
          <w:b/>
          <w:bCs/>
        </w:rPr>
      </w:pPr>
    </w:p>
    <w:p w14:paraId="56E67B62" w14:textId="1B6454A0" w:rsidR="00287765" w:rsidRDefault="00287765">
      <w:pPr>
        <w:rPr>
          <w:rFonts w:ascii="Courier New" w:hAnsi="Courier New" w:cs="Courier New"/>
        </w:rPr>
      </w:pPr>
      <w:r>
        <w:rPr>
          <w:rFonts w:ascii="Courier New" w:hAnsi="Courier New" w:cs="Courier New"/>
          <w:b/>
          <w:bCs/>
        </w:rPr>
        <w:tab/>
      </w:r>
      <w:r>
        <w:rPr>
          <w:rFonts w:ascii="Courier New" w:hAnsi="Courier New" w:cs="Courier New"/>
        </w:rPr>
        <w:t>Myths have historically functioned as cultural blueprints, offering explanations for the unknown and acting as frameworks for societal values. As Joseph Campell notes, “Myths are public dreams; dreams are private myths” (</w:t>
      </w:r>
      <w:r>
        <w:rPr>
          <w:rFonts w:ascii="Courier New" w:hAnsi="Courier New" w:cs="Courier New"/>
          <w:i/>
          <w:iCs/>
        </w:rPr>
        <w:t>The Power of Myth</w:t>
      </w:r>
      <w:r>
        <w:rPr>
          <w:rFonts w:ascii="Courier New" w:hAnsi="Courier New" w:cs="Courier New"/>
        </w:rPr>
        <w:t xml:space="preserve">, 1988), suggesting that myths act as a collective expression of shared human experiences. This universal quality is seen in creating myths like the Babylonian </w:t>
      </w:r>
      <w:r>
        <w:rPr>
          <w:rFonts w:ascii="Courier New" w:hAnsi="Courier New" w:cs="Courier New"/>
          <w:i/>
          <w:iCs/>
        </w:rPr>
        <w:t>Enuma Elish</w:t>
      </w:r>
      <w:r>
        <w:rPr>
          <w:rFonts w:ascii="Courier New" w:hAnsi="Courier New" w:cs="Courier New"/>
        </w:rPr>
        <w:t xml:space="preserve"> or the Greek myth of Prometheus, which explain humanity’s origins and purpose. Yet, their specific manifestations reveal the unique anxieties and ideals of their cultures.</w:t>
      </w:r>
    </w:p>
    <w:p w14:paraId="0D8A205F" w14:textId="640A899F" w:rsidR="00287765" w:rsidRDefault="00287765">
      <w:pPr>
        <w:rPr>
          <w:rFonts w:ascii="Courier New" w:hAnsi="Courier New" w:cs="Courier New"/>
        </w:rPr>
      </w:pPr>
      <w:r>
        <w:rPr>
          <w:rFonts w:ascii="Courier New" w:hAnsi="Courier New" w:cs="Courier New"/>
        </w:rPr>
        <w:lastRenderedPageBreak/>
        <w:tab/>
        <w:t>In modern times, the utility of myths extends beyond storytelling. Yuval Noah Harari contends that myths are essential for building cooperation within large societies: Without such myths, it is doubtful whether Hom sapiens could have ever coalesced into a single species wide community” (</w:t>
      </w:r>
      <w:r>
        <w:rPr>
          <w:rFonts w:ascii="Courier New" w:hAnsi="Courier New" w:cs="Courier New"/>
          <w:i/>
          <w:iCs/>
        </w:rPr>
        <w:t xml:space="preserve">Sapiens, </w:t>
      </w:r>
      <w:r>
        <w:rPr>
          <w:rFonts w:ascii="Courier New" w:hAnsi="Courier New" w:cs="Courier New"/>
        </w:rPr>
        <w:t>2014). Nationalistic myths, for instance have historically fostered unity but have also perpetuated exclusionary ideologies. Revisiting these myths allows societies to reflect on their histories critically and ensure they align with contemporary values.</w:t>
      </w:r>
    </w:p>
    <w:p w14:paraId="75C59623" w14:textId="2133CDEA" w:rsidR="00287765" w:rsidRDefault="00287765">
      <w:pPr>
        <w:rPr>
          <w:rFonts w:ascii="Courier New" w:hAnsi="Courier New" w:cs="Courier New"/>
        </w:rPr>
      </w:pPr>
      <w:r>
        <w:rPr>
          <w:rFonts w:ascii="Courier New" w:hAnsi="Courier New" w:cs="Courier New"/>
        </w:rPr>
        <w:tab/>
        <w:t xml:space="preserve">One example of mythic reimagination in society is the shift toward collective narratives that transcend national borders. The concept of the </w:t>
      </w:r>
      <w:r w:rsidR="00A46CD6">
        <w:rPr>
          <w:rFonts w:ascii="Courier New" w:hAnsi="Courier New" w:cs="Courier New"/>
        </w:rPr>
        <w:t>Anthropocene</w:t>
      </w:r>
      <w:r>
        <w:rPr>
          <w:rFonts w:ascii="Courier New" w:hAnsi="Courier New" w:cs="Courier New"/>
        </w:rPr>
        <w:t xml:space="preserve">, a term describing humanities impact on the Earth, has taken </w:t>
      </w:r>
      <w:r w:rsidR="00A46CD6">
        <w:rPr>
          <w:rFonts w:ascii="Courier New" w:hAnsi="Courier New" w:cs="Courier New"/>
        </w:rPr>
        <w:t xml:space="preserve">on mythic significance. It reframes humanity as a global agent of change, evoking themes of creation, destruction and stewardship that align with ancient mythic archetypes. This framing can inspire collective responsibility, </w:t>
      </w:r>
      <w:proofErr w:type="gramStart"/>
      <w:r w:rsidR="00A46CD6">
        <w:rPr>
          <w:rFonts w:ascii="Courier New" w:hAnsi="Courier New" w:cs="Courier New"/>
        </w:rPr>
        <w:t>similar to</w:t>
      </w:r>
      <w:proofErr w:type="gramEnd"/>
      <w:r w:rsidR="00A46CD6">
        <w:rPr>
          <w:rFonts w:ascii="Courier New" w:hAnsi="Courier New" w:cs="Courier New"/>
        </w:rPr>
        <w:t xml:space="preserve"> the way myths once bound smaller communities together.</w:t>
      </w:r>
    </w:p>
    <w:p w14:paraId="789B2D83" w14:textId="77777777" w:rsidR="00365A8D" w:rsidRDefault="00365A8D">
      <w:pPr>
        <w:rPr>
          <w:rFonts w:ascii="Courier New" w:hAnsi="Courier New" w:cs="Courier New"/>
        </w:rPr>
      </w:pPr>
    </w:p>
    <w:p w14:paraId="21DB9C6D" w14:textId="77777777" w:rsidR="00365A8D" w:rsidRDefault="00365A8D">
      <w:pPr>
        <w:rPr>
          <w:rFonts w:ascii="Courier New" w:hAnsi="Courier New" w:cs="Courier New"/>
        </w:rPr>
      </w:pPr>
    </w:p>
    <w:p w14:paraId="556C8484" w14:textId="7CEBAAEC" w:rsidR="00A46CD6" w:rsidRDefault="00A46CD6">
      <w:pPr>
        <w:rPr>
          <w:rFonts w:ascii="Courier New" w:hAnsi="Courier New" w:cs="Courier New"/>
        </w:rPr>
      </w:pPr>
      <w:r>
        <w:rPr>
          <w:rFonts w:ascii="Courier New" w:hAnsi="Courier New" w:cs="Courier New"/>
        </w:rPr>
        <w:tab/>
        <w:t>One critical reason for revisiting old myths is to address their reinforcement of patriarchal and exclusionary narratives. Many classical myths centre on male heroes while marginalizing female voices. Marina Warner emphasizes that these myths “create gendered archetypes that validate the dominance of male centred power structures” (</w:t>
      </w:r>
      <w:r w:rsidRPr="00A46CD6">
        <w:rPr>
          <w:rFonts w:ascii="Courier New" w:hAnsi="Courier New" w:cs="Courier New"/>
          <w:i/>
          <w:iCs/>
        </w:rPr>
        <w:t>From the Beast to the Blonde</w:t>
      </w:r>
      <w:r>
        <w:rPr>
          <w:rFonts w:ascii="Courier New" w:hAnsi="Courier New" w:cs="Courier New"/>
        </w:rPr>
        <w:t>, 1994). For example, Pandora, often deemed the bringer of all evil in Greek mythology, epitomizes how myths can reinforce misogynistic tropes.</w:t>
      </w:r>
    </w:p>
    <w:p w14:paraId="0C2E2C98" w14:textId="2C2E4383" w:rsidR="00F513AE" w:rsidRDefault="00F513AE">
      <w:pPr>
        <w:rPr>
          <w:rFonts w:ascii="Courier New" w:hAnsi="Courier New" w:cs="Courier New"/>
        </w:rPr>
      </w:pPr>
      <w:r>
        <w:rPr>
          <w:rFonts w:ascii="Courier New" w:hAnsi="Courier New" w:cs="Courier New"/>
        </w:rPr>
        <w:tab/>
        <w:t xml:space="preserve">Modern reinterpretations seek to subvert these narratives. Margaret Atwood’s </w:t>
      </w:r>
      <w:r>
        <w:rPr>
          <w:rFonts w:ascii="Courier New" w:hAnsi="Courier New" w:cs="Courier New"/>
          <w:i/>
          <w:iCs/>
        </w:rPr>
        <w:t xml:space="preserve">The Penelopiad </w:t>
      </w:r>
      <w:r>
        <w:rPr>
          <w:rFonts w:ascii="Courier New" w:hAnsi="Courier New" w:cs="Courier New"/>
        </w:rPr>
        <w:t>reimagines Penelope not as a passive, faithful wife but as a complex character who critiques the injustices she endured. Atwood writes “The maids formed a kind of chorus; they sang their lamentations whing swinging from the rope” (</w:t>
      </w:r>
      <w:r>
        <w:rPr>
          <w:rFonts w:ascii="Courier New" w:hAnsi="Courier New" w:cs="Courier New"/>
          <w:i/>
          <w:iCs/>
        </w:rPr>
        <w:t xml:space="preserve">The Penelopiad, </w:t>
      </w:r>
      <w:r>
        <w:rPr>
          <w:rFonts w:ascii="Courier New" w:hAnsi="Courier New" w:cs="Courier New"/>
        </w:rPr>
        <w:t>2005) highlighting the systemic oppression of women even in mythic contexts. By giving voice to silences characters, such reinterpretations challenge traditional power dynamics and inspire more inclusive narratives.</w:t>
      </w:r>
    </w:p>
    <w:p w14:paraId="1B324BF1" w14:textId="07B57799" w:rsidR="00F513AE" w:rsidRDefault="00F513AE">
      <w:pPr>
        <w:rPr>
          <w:rFonts w:ascii="Courier New" w:hAnsi="Courier New" w:cs="Courier New"/>
        </w:rPr>
      </w:pPr>
      <w:r>
        <w:rPr>
          <w:rFonts w:ascii="Courier New" w:hAnsi="Courier New" w:cs="Courier New"/>
        </w:rPr>
        <w:tab/>
        <w:t xml:space="preserve">Another powerful reinterpretation comes from the global rise of feminist retellings of myths. Madeline Miller’s </w:t>
      </w:r>
      <w:r>
        <w:rPr>
          <w:rFonts w:ascii="Courier New" w:hAnsi="Courier New" w:cs="Courier New"/>
          <w:i/>
          <w:iCs/>
        </w:rPr>
        <w:t xml:space="preserve">Circe </w:t>
      </w:r>
      <w:r>
        <w:rPr>
          <w:rFonts w:ascii="Courier New" w:hAnsi="Courier New" w:cs="Courier New"/>
        </w:rPr>
        <w:t xml:space="preserve">(2018) transforms a minor character from Homer’s </w:t>
      </w:r>
      <w:r>
        <w:rPr>
          <w:rFonts w:ascii="Courier New" w:hAnsi="Courier New" w:cs="Courier New"/>
          <w:i/>
          <w:iCs/>
        </w:rPr>
        <w:t xml:space="preserve">Odyssey </w:t>
      </w:r>
      <w:r>
        <w:rPr>
          <w:rFonts w:ascii="Courier New" w:hAnsi="Courier New" w:cs="Courier New"/>
        </w:rPr>
        <w:t>into a fully realized protagonist. Miller’s Circe reflect son her own mythology, stating “When I was born, the name for what I was did not exist.” Such retellings not only humanize sidelined figures but also question the moral certainties of the original myths.</w:t>
      </w:r>
    </w:p>
    <w:p w14:paraId="2FD64A34" w14:textId="77777777" w:rsidR="007A0FB0" w:rsidRDefault="007A0FB0">
      <w:pPr>
        <w:rPr>
          <w:rFonts w:ascii="Courier New" w:hAnsi="Courier New" w:cs="Courier New"/>
        </w:rPr>
      </w:pPr>
    </w:p>
    <w:p w14:paraId="540B2514" w14:textId="77777777" w:rsidR="00365A8D" w:rsidRDefault="00365A8D">
      <w:pPr>
        <w:rPr>
          <w:rFonts w:ascii="Courier New" w:hAnsi="Courier New" w:cs="Courier New"/>
        </w:rPr>
      </w:pPr>
    </w:p>
    <w:p w14:paraId="7B080F6E" w14:textId="0F8E9FE5" w:rsidR="007A0FB0" w:rsidRDefault="007A0FB0">
      <w:pPr>
        <w:rPr>
          <w:rFonts w:ascii="Courier New" w:hAnsi="Courier New" w:cs="Courier New"/>
          <w:sz w:val="20"/>
          <w:szCs w:val="20"/>
        </w:rPr>
      </w:pPr>
      <w:r>
        <w:rPr>
          <w:rFonts w:ascii="Courier New" w:hAnsi="Courier New" w:cs="Courier New"/>
          <w:b/>
          <w:bCs/>
          <w:sz w:val="20"/>
          <w:szCs w:val="20"/>
        </w:rPr>
        <w:tab/>
      </w:r>
      <w:r>
        <w:rPr>
          <w:rFonts w:ascii="Courier New" w:hAnsi="Courier New" w:cs="Courier New"/>
          <w:sz w:val="20"/>
          <w:szCs w:val="20"/>
        </w:rPr>
        <w:t xml:space="preserve">Colonist myths, often framed as tales of exploration and progress, also warrant deconstruction. Edwards Said’s </w:t>
      </w:r>
      <w:r>
        <w:rPr>
          <w:rFonts w:ascii="Courier New" w:hAnsi="Courier New" w:cs="Courier New"/>
          <w:i/>
          <w:iCs/>
          <w:sz w:val="20"/>
          <w:szCs w:val="20"/>
        </w:rPr>
        <w:t xml:space="preserve">Orientalism </w:t>
      </w:r>
      <w:r>
        <w:rPr>
          <w:rFonts w:ascii="Courier New" w:hAnsi="Courier New" w:cs="Courier New"/>
          <w:sz w:val="20"/>
          <w:szCs w:val="20"/>
        </w:rPr>
        <w:t xml:space="preserve">(1978) critiques how Western mythologized the East, stating, “The Orient was almost a European invention, and had been since antiquity a place of romance, exotic beings, haunting memories and landscapes.” These narratives justified imperialist </w:t>
      </w:r>
      <w:r w:rsidR="005320C7">
        <w:rPr>
          <w:rFonts w:ascii="Courier New" w:hAnsi="Courier New" w:cs="Courier New"/>
          <w:sz w:val="20"/>
          <w:szCs w:val="20"/>
        </w:rPr>
        <w:t>endeavours</w:t>
      </w:r>
      <w:r>
        <w:rPr>
          <w:rFonts w:ascii="Courier New" w:hAnsi="Courier New" w:cs="Courier New"/>
          <w:sz w:val="20"/>
          <w:szCs w:val="20"/>
        </w:rPr>
        <w:t xml:space="preserve"> while erasing the voices and agency of colonized peoples. </w:t>
      </w:r>
      <w:r w:rsidR="005320C7">
        <w:rPr>
          <w:rFonts w:ascii="Courier New" w:hAnsi="Courier New" w:cs="Courier New"/>
          <w:sz w:val="20"/>
          <w:szCs w:val="20"/>
        </w:rPr>
        <w:t>Revisiting</w:t>
      </w:r>
      <w:r>
        <w:rPr>
          <w:rFonts w:ascii="Courier New" w:hAnsi="Courier New" w:cs="Courier New"/>
          <w:sz w:val="20"/>
          <w:szCs w:val="20"/>
        </w:rPr>
        <w:t xml:space="preserve"> such myths is crucial for dismantling harmful stereotypes and promoting cross-cultural understanding.</w:t>
      </w:r>
    </w:p>
    <w:p w14:paraId="6BC9AC4B" w14:textId="4F846C39" w:rsidR="007A0FB0" w:rsidRDefault="007A0FB0">
      <w:pPr>
        <w:rPr>
          <w:rFonts w:ascii="Courier New" w:hAnsi="Courier New" w:cs="Courier New"/>
          <w:sz w:val="20"/>
          <w:szCs w:val="20"/>
        </w:rPr>
      </w:pPr>
      <w:r>
        <w:rPr>
          <w:rFonts w:ascii="Courier New" w:hAnsi="Courier New" w:cs="Courier New"/>
          <w:sz w:val="20"/>
          <w:szCs w:val="20"/>
        </w:rPr>
        <w:tab/>
        <w:t xml:space="preserve">Literature and media often play a pivotal role in this process. Chinua Achebe’s </w:t>
      </w:r>
      <w:r>
        <w:rPr>
          <w:rFonts w:ascii="Courier New" w:hAnsi="Courier New" w:cs="Courier New"/>
          <w:i/>
          <w:iCs/>
          <w:sz w:val="20"/>
          <w:szCs w:val="20"/>
        </w:rPr>
        <w:t xml:space="preserve">Things Fall Apart </w:t>
      </w:r>
      <w:r>
        <w:rPr>
          <w:rFonts w:ascii="Courier New" w:hAnsi="Courier New" w:cs="Courier New"/>
          <w:sz w:val="20"/>
          <w:szCs w:val="20"/>
        </w:rPr>
        <w:t xml:space="preserve">(1958) counters colonial myths by presenting a nuanced portrayal of pre-colonial </w:t>
      </w:r>
      <w:r w:rsidR="005320C7">
        <w:rPr>
          <w:rFonts w:ascii="Courier New" w:hAnsi="Courier New" w:cs="Courier New"/>
          <w:sz w:val="20"/>
          <w:szCs w:val="20"/>
        </w:rPr>
        <w:t>African</w:t>
      </w:r>
      <w:r>
        <w:rPr>
          <w:rFonts w:ascii="Courier New" w:hAnsi="Courier New" w:cs="Courier New"/>
          <w:sz w:val="20"/>
          <w:szCs w:val="20"/>
        </w:rPr>
        <w:t xml:space="preserve"> societies and the devastating effect</w:t>
      </w:r>
      <w:r w:rsidR="005320C7">
        <w:rPr>
          <w:rFonts w:ascii="Courier New" w:hAnsi="Courier New" w:cs="Courier New"/>
          <w:sz w:val="20"/>
          <w:szCs w:val="20"/>
        </w:rPr>
        <w:t>s</w:t>
      </w:r>
      <w:r>
        <w:rPr>
          <w:rFonts w:ascii="Courier New" w:hAnsi="Courier New" w:cs="Courier New"/>
          <w:sz w:val="20"/>
          <w:szCs w:val="20"/>
        </w:rPr>
        <w:t xml:space="preserve"> </w:t>
      </w:r>
      <w:r w:rsidR="005320C7">
        <w:rPr>
          <w:rFonts w:ascii="Courier New" w:hAnsi="Courier New" w:cs="Courier New"/>
          <w:sz w:val="20"/>
          <w:szCs w:val="20"/>
        </w:rPr>
        <w:t>of</w:t>
      </w:r>
      <w:r>
        <w:rPr>
          <w:rFonts w:ascii="Courier New" w:hAnsi="Courier New" w:cs="Courier New"/>
          <w:sz w:val="20"/>
          <w:szCs w:val="20"/>
        </w:rPr>
        <w:t xml:space="preserve"> imperialism. Similarly, Neil Gaiman’s </w:t>
      </w:r>
      <w:r>
        <w:rPr>
          <w:rFonts w:ascii="Courier New" w:hAnsi="Courier New" w:cs="Courier New"/>
          <w:i/>
          <w:iCs/>
          <w:sz w:val="20"/>
          <w:szCs w:val="20"/>
        </w:rPr>
        <w:t xml:space="preserve">American Gods </w:t>
      </w:r>
      <w:r>
        <w:rPr>
          <w:rFonts w:ascii="Courier New" w:hAnsi="Courier New" w:cs="Courier New"/>
          <w:sz w:val="20"/>
          <w:szCs w:val="20"/>
        </w:rPr>
        <w:t>(2001) juxtaposes old gods like Anansi and Czernobog with contemporary societal forces, illustrating how myths evolve to reflect the tensions of migration and cultural hybridity in modern contexts.</w:t>
      </w:r>
    </w:p>
    <w:p w14:paraId="5618A061" w14:textId="0C93C8A5" w:rsidR="005320C7" w:rsidRPr="005320C7" w:rsidRDefault="005320C7" w:rsidP="005320C7">
      <w:pPr>
        <w:rPr>
          <w:rFonts w:ascii="Courier New" w:hAnsi="Courier New" w:cs="Courier New"/>
          <w:sz w:val="20"/>
          <w:szCs w:val="20"/>
          <w:lang w:val="en-US"/>
        </w:rPr>
      </w:pPr>
      <w:r>
        <w:rPr>
          <w:rFonts w:ascii="Courier New" w:hAnsi="Courier New" w:cs="Courier New"/>
          <w:sz w:val="20"/>
          <w:szCs w:val="20"/>
        </w:rPr>
        <w:tab/>
      </w:r>
      <w:r w:rsidRPr="005320C7">
        <w:rPr>
          <w:rFonts w:ascii="Courier New" w:hAnsi="Courier New" w:cs="Courier New"/>
          <w:sz w:val="20"/>
          <w:szCs w:val="20"/>
          <w:lang w:val="en-US"/>
        </w:rPr>
        <w:t>Modern literature and films have become the myths of contemporary society, offering narratives that resonate with universal human experiences while addressing contemporary challenges. These stories, much like traditional myths, encapsulate themes of heroism, loss, sacrifice and triumph, functioning as cultural touchstones that inspire and unite audiences across the globe.</w:t>
      </w:r>
    </w:p>
    <w:p w14:paraId="09CD96A3" w14:textId="538D5D3C" w:rsidR="005320C7" w:rsidRPr="005320C7" w:rsidRDefault="005320C7" w:rsidP="005320C7">
      <w:pPr>
        <w:rPr>
          <w:rFonts w:ascii="Courier New" w:hAnsi="Courier New" w:cs="Courier New"/>
          <w:sz w:val="20"/>
          <w:szCs w:val="20"/>
          <w:lang w:val="en-US"/>
        </w:rPr>
      </w:pPr>
      <w:r>
        <w:rPr>
          <w:rFonts w:ascii="Courier New" w:hAnsi="Courier New" w:cs="Courier New"/>
          <w:sz w:val="20"/>
          <w:szCs w:val="20"/>
          <w:lang w:val="en-US"/>
        </w:rPr>
        <w:tab/>
      </w:r>
      <w:r w:rsidRPr="005320C7">
        <w:rPr>
          <w:rFonts w:ascii="Courier New" w:hAnsi="Courier New" w:cs="Courier New"/>
          <w:sz w:val="20"/>
          <w:szCs w:val="20"/>
          <w:lang w:val="en-US"/>
        </w:rPr>
        <w:t xml:space="preserve">One prominent example is J.R.R. Tolkien’s </w:t>
      </w:r>
      <w:r w:rsidRPr="005320C7">
        <w:rPr>
          <w:rFonts w:ascii="Courier New" w:hAnsi="Courier New" w:cs="Courier New"/>
          <w:i/>
          <w:iCs/>
          <w:sz w:val="20"/>
          <w:szCs w:val="20"/>
          <w:lang w:val="en-US"/>
        </w:rPr>
        <w:t>The Lord of the Rings</w:t>
      </w:r>
      <w:r w:rsidRPr="005320C7">
        <w:rPr>
          <w:rFonts w:ascii="Courier New" w:hAnsi="Courier New" w:cs="Courier New"/>
          <w:sz w:val="20"/>
          <w:szCs w:val="20"/>
          <w:lang w:val="en-US"/>
        </w:rPr>
        <w:t xml:space="preserve"> (1954–1955), which echoes ancient myths while creating a rich, self-contained mythology. Tolkien, drawing heavily on Norse, Celtic, and Christian traditions, crafts a world where good and evil are in constant struggle. The character arcs of Frodo and Aragorn embody the archetypal hero’s journey as described by Joseph Campbell in </w:t>
      </w:r>
      <w:r w:rsidRPr="005320C7">
        <w:rPr>
          <w:rFonts w:ascii="Courier New" w:hAnsi="Courier New" w:cs="Courier New"/>
          <w:i/>
          <w:iCs/>
          <w:sz w:val="20"/>
          <w:szCs w:val="20"/>
          <w:lang w:val="en-US"/>
        </w:rPr>
        <w:t>The Hero with a Thousand Faces</w:t>
      </w:r>
      <w:r w:rsidRPr="005320C7">
        <w:rPr>
          <w:rFonts w:ascii="Courier New" w:hAnsi="Courier New" w:cs="Courier New"/>
          <w:sz w:val="20"/>
          <w:szCs w:val="20"/>
          <w:lang w:val="en-US"/>
        </w:rPr>
        <w:t xml:space="preserve"> (1949). Campbell’s stages—such as the “call to adventure,” the “abyss,” and the “return with the boon”—are evident in Frodo’s perilous quest to destroy the One Ring. Tolkien’s portrayal of resilience and fellowship reflects a post-World War II ethos, with themes of loss and eventual renewal resonating deeply with readers.</w:t>
      </w:r>
    </w:p>
    <w:p w14:paraId="195E0FEA" w14:textId="18B9F2F8" w:rsidR="005320C7" w:rsidRDefault="005320C7">
      <w:pPr>
        <w:rPr>
          <w:rFonts w:ascii="Courier New" w:hAnsi="Courier New" w:cs="Courier New"/>
          <w:sz w:val="20"/>
          <w:szCs w:val="20"/>
          <w:lang w:val="en-US"/>
        </w:rPr>
      </w:pPr>
      <w:r>
        <w:rPr>
          <w:rFonts w:ascii="Courier New" w:hAnsi="Courier New" w:cs="Courier New"/>
          <w:sz w:val="20"/>
          <w:szCs w:val="20"/>
          <w:lang w:val="en-US"/>
        </w:rPr>
        <w:tab/>
      </w:r>
      <w:r w:rsidRPr="005320C7">
        <w:rPr>
          <w:rFonts w:ascii="Courier New" w:hAnsi="Courier New" w:cs="Courier New"/>
          <w:sz w:val="20"/>
          <w:szCs w:val="20"/>
          <w:lang w:val="en-US"/>
        </w:rPr>
        <w:t xml:space="preserve">Similarly, the Marvel Cinematic Universe (MCU) has become a modern mythos, reaching millions worldwide. The </w:t>
      </w:r>
      <w:r w:rsidRPr="005320C7">
        <w:rPr>
          <w:rFonts w:ascii="Courier New" w:hAnsi="Courier New" w:cs="Courier New"/>
          <w:i/>
          <w:iCs/>
          <w:sz w:val="20"/>
          <w:szCs w:val="20"/>
          <w:lang w:val="en-US"/>
        </w:rPr>
        <w:t>Infinity Saga</w:t>
      </w:r>
      <w:r w:rsidRPr="005320C7">
        <w:rPr>
          <w:rFonts w:ascii="Courier New" w:hAnsi="Courier New" w:cs="Courier New"/>
          <w:sz w:val="20"/>
          <w:szCs w:val="20"/>
          <w:lang w:val="en-US"/>
        </w:rPr>
        <w:t xml:space="preserve"> (2008–2019) centers on themes of loss, redemption, and resilience, epitomized by the climactic battles in </w:t>
      </w:r>
      <w:r w:rsidRPr="005320C7">
        <w:rPr>
          <w:rFonts w:ascii="Courier New" w:hAnsi="Courier New" w:cs="Courier New"/>
          <w:i/>
          <w:iCs/>
          <w:sz w:val="20"/>
          <w:szCs w:val="20"/>
          <w:lang w:val="en-US"/>
        </w:rPr>
        <w:t>Avengers: Infinity War</w:t>
      </w:r>
      <w:r w:rsidRPr="005320C7">
        <w:rPr>
          <w:rFonts w:ascii="Courier New" w:hAnsi="Courier New" w:cs="Courier New"/>
          <w:sz w:val="20"/>
          <w:szCs w:val="20"/>
          <w:lang w:val="en-US"/>
        </w:rPr>
        <w:t xml:space="preserve"> (2018) and </w:t>
      </w:r>
      <w:r w:rsidRPr="005320C7">
        <w:rPr>
          <w:rFonts w:ascii="Courier New" w:hAnsi="Courier New" w:cs="Courier New"/>
          <w:i/>
          <w:iCs/>
          <w:sz w:val="20"/>
          <w:szCs w:val="20"/>
          <w:lang w:val="en-US"/>
        </w:rPr>
        <w:t>Avengers: Endgame</w:t>
      </w:r>
      <w:r w:rsidRPr="005320C7">
        <w:rPr>
          <w:rFonts w:ascii="Courier New" w:hAnsi="Courier New" w:cs="Courier New"/>
          <w:sz w:val="20"/>
          <w:szCs w:val="20"/>
          <w:lang w:val="en-US"/>
        </w:rPr>
        <w:t xml:space="preserve"> (2019). The death of beloved characters like Iron Man (Tony Stark) and Black Widow (Natasha Romanoff) exemplifies the mythic trope of the hero’s ultimate sacrifice for the greater good. As Campbell notes, “A hero ventures forth from the world of common day into a region of supernatural wonder: fabulous forces are there encountered, and a decisive victory is won” (</w:t>
      </w:r>
      <w:r w:rsidRPr="005320C7">
        <w:rPr>
          <w:rFonts w:ascii="Courier New" w:hAnsi="Courier New" w:cs="Courier New"/>
          <w:i/>
          <w:iCs/>
          <w:sz w:val="20"/>
          <w:szCs w:val="20"/>
          <w:lang w:val="en-US"/>
        </w:rPr>
        <w:t>The Hero with a Thousand Faces</w:t>
      </w:r>
      <w:r w:rsidRPr="005320C7">
        <w:rPr>
          <w:rFonts w:ascii="Courier New" w:hAnsi="Courier New" w:cs="Courier New"/>
          <w:sz w:val="20"/>
          <w:szCs w:val="20"/>
          <w:lang w:val="en-US"/>
        </w:rPr>
        <w:t>, 1949). The MCU reframes this journey for modern audiences, highlighting collective heroism over individual triumph.</w:t>
      </w:r>
    </w:p>
    <w:p w14:paraId="2634F57E" w14:textId="77777777" w:rsidR="005320C7" w:rsidRDefault="005320C7">
      <w:pPr>
        <w:rPr>
          <w:rFonts w:ascii="Courier New" w:hAnsi="Courier New" w:cs="Courier New"/>
          <w:sz w:val="20"/>
          <w:szCs w:val="20"/>
          <w:lang w:val="en-US"/>
        </w:rPr>
      </w:pPr>
    </w:p>
    <w:p w14:paraId="0C78A084" w14:textId="77777777" w:rsidR="005320C7" w:rsidRPr="005320C7" w:rsidRDefault="005320C7">
      <w:pPr>
        <w:rPr>
          <w:rFonts w:ascii="Courier New" w:hAnsi="Courier New" w:cs="Courier New"/>
          <w:sz w:val="20"/>
          <w:szCs w:val="20"/>
          <w:lang w:val="en-US"/>
        </w:rPr>
      </w:pPr>
    </w:p>
    <w:p w14:paraId="3B8A5967" w14:textId="51CA61FB" w:rsidR="005320C7" w:rsidRDefault="005320C7">
      <w:pPr>
        <w:rPr>
          <w:rFonts w:ascii="Courier New" w:hAnsi="Courier New" w:cs="Courier New"/>
          <w:sz w:val="20"/>
          <w:szCs w:val="20"/>
          <w:lang w:val="en-US"/>
        </w:rPr>
      </w:pPr>
      <w:r>
        <w:rPr>
          <w:rFonts w:ascii="Courier New" w:hAnsi="Courier New" w:cs="Courier New"/>
          <w:sz w:val="20"/>
          <w:szCs w:val="20"/>
          <w:lang w:val="en-US"/>
        </w:rPr>
        <w:lastRenderedPageBreak/>
        <w:tab/>
        <w:t xml:space="preserve">The creation of new myths is vital for addressing contemporary global challenges, such as climate change and technological advancement. Harari observes that myths are not relics of the past but dynamic </w:t>
      </w:r>
      <w:r w:rsidR="00365A8D">
        <w:rPr>
          <w:rFonts w:ascii="Courier New" w:hAnsi="Courier New" w:cs="Courier New"/>
          <w:sz w:val="20"/>
          <w:szCs w:val="20"/>
          <w:lang w:val="en-US"/>
        </w:rPr>
        <w:t>tools</w:t>
      </w:r>
      <w:r>
        <w:rPr>
          <w:rFonts w:ascii="Courier New" w:hAnsi="Courier New" w:cs="Courier New"/>
          <w:sz w:val="20"/>
          <w:szCs w:val="20"/>
          <w:lang w:val="en-US"/>
        </w:rPr>
        <w:t xml:space="preserve"> that “provide meaning by linking the individual to something greater than themselves” (</w:t>
      </w:r>
      <w:r>
        <w:rPr>
          <w:rFonts w:ascii="Courier New" w:hAnsi="Courier New" w:cs="Courier New"/>
          <w:i/>
          <w:iCs/>
          <w:sz w:val="20"/>
          <w:szCs w:val="20"/>
          <w:lang w:val="en-US"/>
        </w:rPr>
        <w:t xml:space="preserve">Sapiens, </w:t>
      </w:r>
      <w:r>
        <w:rPr>
          <w:rFonts w:ascii="Courier New" w:hAnsi="Courier New" w:cs="Courier New"/>
          <w:sz w:val="20"/>
          <w:szCs w:val="20"/>
          <w:lang w:val="en-US"/>
        </w:rPr>
        <w:t xml:space="preserve">2014). In this sense, modern myths must grapple with issues that threaten humanities collective future. </w:t>
      </w:r>
    </w:p>
    <w:p w14:paraId="7EC2A4E0" w14:textId="1EDD0C59" w:rsidR="005320C7" w:rsidRDefault="005320C7">
      <w:pPr>
        <w:rPr>
          <w:rFonts w:ascii="Courier New" w:hAnsi="Courier New" w:cs="Courier New"/>
          <w:sz w:val="20"/>
          <w:szCs w:val="20"/>
          <w:lang w:val="en-US"/>
        </w:rPr>
      </w:pPr>
      <w:r>
        <w:rPr>
          <w:rFonts w:ascii="Courier New" w:hAnsi="Courier New" w:cs="Courier New"/>
          <w:sz w:val="20"/>
          <w:szCs w:val="20"/>
          <w:lang w:val="en-US"/>
        </w:rPr>
        <w:tab/>
        <w:t>One example is the mythic framing of climate change activism. Greta Thunberg has been likened to a modern-day hero, embodying the “call to adventure” and “refusal of the call” stages in Campbell’s monomyth. Her speeches evoke mythic urgency, with lines like “Our house is on fire” rallying global action. Such narratives transform abstract crises into compelling imperatives.</w:t>
      </w:r>
    </w:p>
    <w:p w14:paraId="3580A3EB" w14:textId="5653CFBD" w:rsidR="005320C7" w:rsidRDefault="005320C7">
      <w:pPr>
        <w:rPr>
          <w:rFonts w:ascii="Courier New" w:hAnsi="Courier New" w:cs="Courier New"/>
        </w:rPr>
      </w:pPr>
      <w:r>
        <w:rPr>
          <w:rFonts w:ascii="Courier New" w:hAnsi="Courier New" w:cs="Courier New"/>
          <w:sz w:val="20"/>
          <w:szCs w:val="20"/>
          <w:lang w:val="en-US"/>
        </w:rPr>
        <w:tab/>
        <w:t xml:space="preserve">Similarly, the increasing role of artificial intelligence in human life invites mythic analogies. Stories like Alex Garland’s </w:t>
      </w:r>
      <w:r>
        <w:rPr>
          <w:rFonts w:ascii="Courier New" w:hAnsi="Courier New" w:cs="Courier New"/>
          <w:i/>
          <w:iCs/>
          <w:sz w:val="20"/>
          <w:szCs w:val="20"/>
          <w:lang w:val="en-US"/>
        </w:rPr>
        <w:t xml:space="preserve">Ex </w:t>
      </w:r>
      <w:r w:rsidRPr="005320C7">
        <w:rPr>
          <w:rFonts w:ascii="Courier New" w:hAnsi="Courier New" w:cs="Courier New"/>
          <w:i/>
          <w:iCs/>
          <w:sz w:val="20"/>
          <w:szCs w:val="20"/>
          <w:lang w:val="en-US"/>
        </w:rPr>
        <w:t>Machina</w:t>
      </w:r>
      <w:r w:rsidRPr="005320C7">
        <w:rPr>
          <w:rFonts w:ascii="Courier New" w:hAnsi="Courier New" w:cs="Courier New"/>
        </w:rPr>
        <w:t xml:space="preserve"> (2014)</w:t>
      </w:r>
      <w:r w:rsidR="00365A8D">
        <w:rPr>
          <w:rFonts w:ascii="Courier New" w:hAnsi="Courier New" w:cs="Courier New"/>
        </w:rPr>
        <w:t xml:space="preserve"> or Frank Herbert’s </w:t>
      </w:r>
      <w:r w:rsidR="00365A8D">
        <w:rPr>
          <w:rFonts w:ascii="Courier New" w:hAnsi="Courier New" w:cs="Courier New"/>
          <w:i/>
          <w:iCs/>
        </w:rPr>
        <w:t xml:space="preserve">Dune </w:t>
      </w:r>
      <w:r w:rsidR="00365A8D">
        <w:rPr>
          <w:rFonts w:ascii="Courier New" w:hAnsi="Courier New" w:cs="Courier New"/>
        </w:rPr>
        <w:t xml:space="preserve">(1965) address humanities interaction with advanced technology, exploring themes of creation, control and ethical dilemmas. These narratives, like ancient myths of Prometheus or Pandora explore the dangers and opportunities of human innovation. </w:t>
      </w:r>
    </w:p>
    <w:p w14:paraId="7CB80305" w14:textId="77777777" w:rsidR="00365A8D" w:rsidRDefault="00365A8D">
      <w:pPr>
        <w:rPr>
          <w:rFonts w:ascii="Courier New" w:hAnsi="Courier New" w:cs="Courier New"/>
        </w:rPr>
      </w:pPr>
    </w:p>
    <w:p w14:paraId="799496B8" w14:textId="160481EC" w:rsidR="00365A8D" w:rsidRDefault="00365A8D">
      <w:pPr>
        <w:rPr>
          <w:rFonts w:ascii="Courier New" w:hAnsi="Courier New" w:cs="Courier New"/>
        </w:rPr>
      </w:pPr>
      <w:r>
        <w:rPr>
          <w:rFonts w:ascii="Courier New" w:hAnsi="Courier New" w:cs="Courier New"/>
        </w:rPr>
        <w:tab/>
        <w:t xml:space="preserve">By revisiting old myths and crafting new ones, humanity </w:t>
      </w:r>
      <w:proofErr w:type="gramStart"/>
      <w:r>
        <w:rPr>
          <w:rFonts w:ascii="Courier New" w:hAnsi="Courier New" w:cs="Courier New"/>
        </w:rPr>
        <w:t>has the opportunity to</w:t>
      </w:r>
      <w:proofErr w:type="gramEnd"/>
      <w:r>
        <w:rPr>
          <w:rFonts w:ascii="Courier New" w:hAnsi="Courier New" w:cs="Courier New"/>
        </w:rPr>
        <w:t xml:space="preserve"> reflect on its past, confront present challenges, and envision a more inclusive future. Through these dynamic processes, myths -whether ancient or newly minted- continue to guide and inspire, affirming their timeless relevance in human culture.</w:t>
      </w:r>
    </w:p>
    <w:p w14:paraId="2726D905" w14:textId="77777777" w:rsidR="00365A8D" w:rsidRPr="00365A8D" w:rsidRDefault="00365A8D">
      <w:pPr>
        <w:rPr>
          <w:lang w:val="en-US"/>
        </w:rPr>
      </w:pPr>
    </w:p>
    <w:p w14:paraId="329C9431" w14:textId="77777777" w:rsidR="007A0FB0" w:rsidRDefault="007A0FB0">
      <w:pPr>
        <w:rPr>
          <w:rFonts w:ascii="Courier New" w:hAnsi="Courier New" w:cs="Courier New"/>
          <w:b/>
          <w:bCs/>
          <w:sz w:val="20"/>
          <w:szCs w:val="20"/>
        </w:rPr>
      </w:pPr>
    </w:p>
    <w:p w14:paraId="1F24BC6F" w14:textId="77777777" w:rsidR="00365A8D" w:rsidRDefault="00365A8D">
      <w:pPr>
        <w:rPr>
          <w:rFonts w:ascii="Courier New" w:hAnsi="Courier New" w:cs="Courier New"/>
          <w:b/>
          <w:bCs/>
          <w:sz w:val="20"/>
          <w:szCs w:val="20"/>
        </w:rPr>
      </w:pPr>
    </w:p>
    <w:p w14:paraId="2B1FAD14" w14:textId="77777777" w:rsidR="00365A8D" w:rsidRDefault="00365A8D">
      <w:pPr>
        <w:rPr>
          <w:rFonts w:ascii="Courier New" w:hAnsi="Courier New" w:cs="Courier New"/>
          <w:b/>
          <w:bCs/>
          <w:sz w:val="20"/>
          <w:szCs w:val="20"/>
        </w:rPr>
      </w:pPr>
    </w:p>
    <w:p w14:paraId="1A3937A6" w14:textId="77777777" w:rsidR="00365A8D" w:rsidRDefault="00365A8D">
      <w:pPr>
        <w:rPr>
          <w:rFonts w:ascii="Courier New" w:hAnsi="Courier New" w:cs="Courier New"/>
          <w:b/>
          <w:bCs/>
          <w:sz w:val="20"/>
          <w:szCs w:val="20"/>
        </w:rPr>
      </w:pPr>
    </w:p>
    <w:p w14:paraId="6B9184A6" w14:textId="77777777" w:rsidR="00365A8D" w:rsidRDefault="00365A8D">
      <w:pPr>
        <w:rPr>
          <w:rFonts w:ascii="Courier New" w:hAnsi="Courier New" w:cs="Courier New"/>
          <w:b/>
          <w:bCs/>
          <w:sz w:val="20"/>
          <w:szCs w:val="20"/>
        </w:rPr>
      </w:pPr>
    </w:p>
    <w:p w14:paraId="76D750F8" w14:textId="77777777" w:rsidR="00365A8D" w:rsidRDefault="00365A8D">
      <w:pPr>
        <w:rPr>
          <w:rFonts w:ascii="Courier New" w:hAnsi="Courier New" w:cs="Courier New"/>
          <w:b/>
          <w:bCs/>
          <w:sz w:val="20"/>
          <w:szCs w:val="20"/>
        </w:rPr>
      </w:pPr>
    </w:p>
    <w:p w14:paraId="64A55C2E" w14:textId="77777777" w:rsidR="00365A8D" w:rsidRDefault="00365A8D">
      <w:pPr>
        <w:rPr>
          <w:rFonts w:ascii="Courier New" w:hAnsi="Courier New" w:cs="Courier New"/>
          <w:b/>
          <w:bCs/>
          <w:sz w:val="20"/>
          <w:szCs w:val="20"/>
        </w:rPr>
      </w:pPr>
    </w:p>
    <w:p w14:paraId="1E4BD482" w14:textId="77777777" w:rsidR="00365A8D" w:rsidRDefault="00365A8D">
      <w:pPr>
        <w:rPr>
          <w:rFonts w:ascii="Courier New" w:hAnsi="Courier New" w:cs="Courier New"/>
          <w:b/>
          <w:bCs/>
          <w:sz w:val="20"/>
          <w:szCs w:val="20"/>
        </w:rPr>
      </w:pPr>
    </w:p>
    <w:p w14:paraId="318E28F7" w14:textId="77777777" w:rsidR="00365A8D" w:rsidRDefault="00365A8D">
      <w:pPr>
        <w:rPr>
          <w:rFonts w:ascii="Courier New" w:hAnsi="Courier New" w:cs="Courier New"/>
          <w:b/>
          <w:bCs/>
          <w:sz w:val="20"/>
          <w:szCs w:val="20"/>
        </w:rPr>
      </w:pPr>
    </w:p>
    <w:p w14:paraId="1381AE43" w14:textId="77777777" w:rsidR="00365A8D" w:rsidRDefault="00365A8D">
      <w:pPr>
        <w:rPr>
          <w:rFonts w:ascii="Courier New" w:hAnsi="Courier New" w:cs="Courier New"/>
          <w:b/>
          <w:bCs/>
          <w:sz w:val="20"/>
          <w:szCs w:val="20"/>
        </w:rPr>
      </w:pPr>
    </w:p>
    <w:p w14:paraId="34AA34BE" w14:textId="77777777" w:rsidR="00365A8D" w:rsidRDefault="00365A8D">
      <w:pPr>
        <w:rPr>
          <w:rFonts w:ascii="Courier New" w:hAnsi="Courier New" w:cs="Courier New"/>
          <w:b/>
          <w:bCs/>
          <w:sz w:val="20"/>
          <w:szCs w:val="20"/>
        </w:rPr>
      </w:pPr>
    </w:p>
    <w:p w14:paraId="6417409A" w14:textId="77777777" w:rsidR="00365A8D" w:rsidRDefault="00365A8D">
      <w:pPr>
        <w:rPr>
          <w:rFonts w:ascii="Courier New" w:hAnsi="Courier New" w:cs="Courier New"/>
          <w:b/>
          <w:bCs/>
          <w:sz w:val="20"/>
          <w:szCs w:val="20"/>
        </w:rPr>
      </w:pPr>
    </w:p>
    <w:p w14:paraId="723B201C" w14:textId="77777777" w:rsidR="009C7721" w:rsidRDefault="009C7721">
      <w:pPr>
        <w:rPr>
          <w:rFonts w:ascii="Courier New" w:hAnsi="Courier New" w:cs="Courier New"/>
          <w:b/>
          <w:bCs/>
          <w:sz w:val="20"/>
          <w:szCs w:val="20"/>
        </w:rPr>
      </w:pPr>
    </w:p>
    <w:p w14:paraId="35D2530A" w14:textId="77777777" w:rsidR="009C7721" w:rsidRDefault="009C7721">
      <w:pPr>
        <w:rPr>
          <w:rFonts w:ascii="Courier New" w:hAnsi="Courier New" w:cs="Courier New"/>
          <w:b/>
          <w:bCs/>
          <w:sz w:val="20"/>
          <w:szCs w:val="20"/>
        </w:rPr>
      </w:pPr>
    </w:p>
    <w:p w14:paraId="6EE5C978" w14:textId="77777777" w:rsidR="00365A8D" w:rsidRPr="00365A8D" w:rsidRDefault="00365A8D" w:rsidP="00365A8D">
      <w:pPr>
        <w:rPr>
          <w:rFonts w:ascii="Courier New" w:hAnsi="Courier New" w:cs="Courier New"/>
          <w:b/>
          <w:bCs/>
          <w:lang w:val="en-US"/>
        </w:rPr>
      </w:pPr>
      <w:r w:rsidRPr="00365A8D">
        <w:rPr>
          <w:rFonts w:ascii="Courier New" w:hAnsi="Courier New" w:cs="Courier New"/>
          <w:b/>
          <w:bCs/>
          <w:lang w:val="en-US"/>
        </w:rPr>
        <w:lastRenderedPageBreak/>
        <w:t>Bibliography</w:t>
      </w:r>
    </w:p>
    <w:p w14:paraId="006EF2F0"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Achebe, Chinua, </w:t>
      </w:r>
      <w:r w:rsidRPr="00365A8D">
        <w:rPr>
          <w:rFonts w:ascii="Courier New" w:hAnsi="Courier New" w:cs="Courier New"/>
          <w:i/>
          <w:iCs/>
          <w:sz w:val="20"/>
          <w:szCs w:val="20"/>
          <w:lang w:val="en-US"/>
        </w:rPr>
        <w:t>Things Fall Apart</w:t>
      </w:r>
      <w:r w:rsidRPr="00365A8D">
        <w:rPr>
          <w:rFonts w:ascii="Courier New" w:hAnsi="Courier New" w:cs="Courier New"/>
          <w:sz w:val="20"/>
          <w:szCs w:val="20"/>
          <w:lang w:val="en-US"/>
        </w:rPr>
        <w:t xml:space="preserve"> (London: Heinemann, 1958).</w:t>
      </w:r>
    </w:p>
    <w:p w14:paraId="3B6A9BDB"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Atwood, Margaret, </w:t>
      </w:r>
      <w:r w:rsidRPr="00365A8D">
        <w:rPr>
          <w:rFonts w:ascii="Courier New" w:hAnsi="Courier New" w:cs="Courier New"/>
          <w:i/>
          <w:iCs/>
          <w:sz w:val="20"/>
          <w:szCs w:val="20"/>
          <w:lang w:val="en-US"/>
        </w:rPr>
        <w:t>The Penelopiad</w:t>
      </w:r>
      <w:r w:rsidRPr="00365A8D">
        <w:rPr>
          <w:rFonts w:ascii="Courier New" w:hAnsi="Courier New" w:cs="Courier New"/>
          <w:sz w:val="20"/>
          <w:szCs w:val="20"/>
          <w:lang w:val="en-US"/>
        </w:rPr>
        <w:t xml:space="preserve"> (Edinburgh: Canongate, 2005).</w:t>
      </w:r>
    </w:p>
    <w:p w14:paraId="03EA0305"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Campbell, Joseph, </w:t>
      </w:r>
      <w:r w:rsidRPr="00365A8D">
        <w:rPr>
          <w:rFonts w:ascii="Courier New" w:hAnsi="Courier New" w:cs="Courier New"/>
          <w:i/>
          <w:iCs/>
          <w:sz w:val="20"/>
          <w:szCs w:val="20"/>
          <w:lang w:val="en-US"/>
        </w:rPr>
        <w:t>The Hero with a Thousand Faces</w:t>
      </w:r>
      <w:r w:rsidRPr="00365A8D">
        <w:rPr>
          <w:rFonts w:ascii="Courier New" w:hAnsi="Courier New" w:cs="Courier New"/>
          <w:sz w:val="20"/>
          <w:szCs w:val="20"/>
          <w:lang w:val="en-US"/>
        </w:rPr>
        <w:t xml:space="preserve"> (Princeton: Princeton University Press, 1949).</w:t>
      </w:r>
    </w:p>
    <w:p w14:paraId="43828951"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Campbell, Joseph, and Bill Moyers, </w:t>
      </w:r>
      <w:r w:rsidRPr="00365A8D">
        <w:rPr>
          <w:rFonts w:ascii="Courier New" w:hAnsi="Courier New" w:cs="Courier New"/>
          <w:i/>
          <w:iCs/>
          <w:sz w:val="20"/>
          <w:szCs w:val="20"/>
          <w:lang w:val="en-US"/>
        </w:rPr>
        <w:t>The Power of Myth</w:t>
      </w:r>
      <w:r w:rsidRPr="00365A8D">
        <w:rPr>
          <w:rFonts w:ascii="Courier New" w:hAnsi="Courier New" w:cs="Courier New"/>
          <w:sz w:val="20"/>
          <w:szCs w:val="20"/>
          <w:lang w:val="en-US"/>
        </w:rPr>
        <w:t xml:space="preserve"> (New York: Doubleday, 1988).</w:t>
      </w:r>
    </w:p>
    <w:p w14:paraId="01DAD29A"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Gaiman, Neil, </w:t>
      </w:r>
      <w:r w:rsidRPr="00365A8D">
        <w:rPr>
          <w:rFonts w:ascii="Courier New" w:hAnsi="Courier New" w:cs="Courier New"/>
          <w:i/>
          <w:iCs/>
          <w:sz w:val="20"/>
          <w:szCs w:val="20"/>
          <w:lang w:val="en-US"/>
        </w:rPr>
        <w:t>American Gods</w:t>
      </w:r>
      <w:r w:rsidRPr="00365A8D">
        <w:rPr>
          <w:rFonts w:ascii="Courier New" w:hAnsi="Courier New" w:cs="Courier New"/>
          <w:sz w:val="20"/>
          <w:szCs w:val="20"/>
          <w:lang w:val="en-US"/>
        </w:rPr>
        <w:t xml:space="preserve"> (New York: HarperCollins, 2001).</w:t>
      </w:r>
    </w:p>
    <w:p w14:paraId="42CE202F"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Harari, Yuval Noah, </w:t>
      </w:r>
      <w:r w:rsidRPr="00365A8D">
        <w:rPr>
          <w:rFonts w:ascii="Courier New" w:hAnsi="Courier New" w:cs="Courier New"/>
          <w:i/>
          <w:iCs/>
          <w:sz w:val="20"/>
          <w:szCs w:val="20"/>
          <w:lang w:val="en-US"/>
        </w:rPr>
        <w:t>Sapiens: A Brief History of Humankind</w:t>
      </w:r>
      <w:r w:rsidRPr="00365A8D">
        <w:rPr>
          <w:rFonts w:ascii="Courier New" w:hAnsi="Courier New" w:cs="Courier New"/>
          <w:sz w:val="20"/>
          <w:szCs w:val="20"/>
          <w:lang w:val="en-US"/>
        </w:rPr>
        <w:t xml:space="preserve"> (New York: Harper, 2014).</w:t>
      </w:r>
    </w:p>
    <w:p w14:paraId="78B5746E"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Miller, Madeline, </w:t>
      </w:r>
      <w:r w:rsidRPr="00365A8D">
        <w:rPr>
          <w:rFonts w:ascii="Courier New" w:hAnsi="Courier New" w:cs="Courier New"/>
          <w:i/>
          <w:iCs/>
          <w:sz w:val="20"/>
          <w:szCs w:val="20"/>
          <w:lang w:val="en-US"/>
        </w:rPr>
        <w:t>Circe</w:t>
      </w:r>
      <w:r w:rsidRPr="00365A8D">
        <w:rPr>
          <w:rFonts w:ascii="Courier New" w:hAnsi="Courier New" w:cs="Courier New"/>
          <w:sz w:val="20"/>
          <w:szCs w:val="20"/>
          <w:lang w:val="en-US"/>
        </w:rPr>
        <w:t xml:space="preserve"> (New York: Little, Brown, 2018).</w:t>
      </w:r>
    </w:p>
    <w:p w14:paraId="64408A22"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Said, Edward W., </w:t>
      </w:r>
      <w:r w:rsidRPr="00365A8D">
        <w:rPr>
          <w:rFonts w:ascii="Courier New" w:hAnsi="Courier New" w:cs="Courier New"/>
          <w:i/>
          <w:iCs/>
          <w:sz w:val="20"/>
          <w:szCs w:val="20"/>
          <w:lang w:val="en-US"/>
        </w:rPr>
        <w:t>Orientalism</w:t>
      </w:r>
      <w:r w:rsidRPr="00365A8D">
        <w:rPr>
          <w:rFonts w:ascii="Courier New" w:hAnsi="Courier New" w:cs="Courier New"/>
          <w:sz w:val="20"/>
          <w:szCs w:val="20"/>
          <w:lang w:val="en-US"/>
        </w:rPr>
        <w:t xml:space="preserve"> (New York: Pantheon Books, 1978).</w:t>
      </w:r>
    </w:p>
    <w:p w14:paraId="1B002307"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Tolkien, J. R. R., </w:t>
      </w:r>
      <w:r w:rsidRPr="00365A8D">
        <w:rPr>
          <w:rFonts w:ascii="Courier New" w:hAnsi="Courier New" w:cs="Courier New"/>
          <w:i/>
          <w:iCs/>
          <w:sz w:val="20"/>
          <w:szCs w:val="20"/>
          <w:lang w:val="en-US"/>
        </w:rPr>
        <w:t>The Lord of the Rings</w:t>
      </w:r>
      <w:r w:rsidRPr="00365A8D">
        <w:rPr>
          <w:rFonts w:ascii="Courier New" w:hAnsi="Courier New" w:cs="Courier New"/>
          <w:sz w:val="20"/>
          <w:szCs w:val="20"/>
          <w:lang w:val="en-US"/>
        </w:rPr>
        <w:t xml:space="preserve"> (London: Allen &amp; Unwin, 1954–1955).</w:t>
      </w:r>
    </w:p>
    <w:p w14:paraId="6F4C93DD"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Warner, Marina, </w:t>
      </w:r>
      <w:r w:rsidRPr="00365A8D">
        <w:rPr>
          <w:rFonts w:ascii="Courier New" w:hAnsi="Courier New" w:cs="Courier New"/>
          <w:i/>
          <w:iCs/>
          <w:sz w:val="20"/>
          <w:szCs w:val="20"/>
          <w:lang w:val="en-US"/>
        </w:rPr>
        <w:t>From the Beast to the Blonde: On Fairy Tales and Their Tellers</w:t>
      </w:r>
      <w:r w:rsidRPr="00365A8D">
        <w:rPr>
          <w:rFonts w:ascii="Courier New" w:hAnsi="Courier New" w:cs="Courier New"/>
          <w:sz w:val="20"/>
          <w:szCs w:val="20"/>
          <w:lang w:val="en-US"/>
        </w:rPr>
        <w:t xml:space="preserve"> (London: Chatto &amp; Windus, 1994).</w:t>
      </w:r>
    </w:p>
    <w:p w14:paraId="67D17AB2"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Marvel Studios, </w:t>
      </w:r>
      <w:r w:rsidRPr="00365A8D">
        <w:rPr>
          <w:rFonts w:ascii="Courier New" w:hAnsi="Courier New" w:cs="Courier New"/>
          <w:i/>
          <w:iCs/>
          <w:sz w:val="20"/>
          <w:szCs w:val="20"/>
          <w:lang w:val="en-US"/>
        </w:rPr>
        <w:t>The Infinity Saga</w:t>
      </w:r>
      <w:r w:rsidRPr="00365A8D">
        <w:rPr>
          <w:rFonts w:ascii="Courier New" w:hAnsi="Courier New" w:cs="Courier New"/>
          <w:sz w:val="20"/>
          <w:szCs w:val="20"/>
          <w:lang w:val="en-US"/>
        </w:rPr>
        <w:t xml:space="preserve"> [Film series], directed by Jon Favreau, Anthony Russo, and Joe Russo (2008–2019).</w:t>
      </w:r>
    </w:p>
    <w:p w14:paraId="6A5CF0C7"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Garland, Alex (dir.), </w:t>
      </w:r>
      <w:r w:rsidRPr="00365A8D">
        <w:rPr>
          <w:rFonts w:ascii="Courier New" w:hAnsi="Courier New" w:cs="Courier New"/>
          <w:i/>
          <w:iCs/>
          <w:sz w:val="20"/>
          <w:szCs w:val="20"/>
          <w:lang w:val="en-US"/>
        </w:rPr>
        <w:t>Ex Machina</w:t>
      </w:r>
      <w:r w:rsidRPr="00365A8D">
        <w:rPr>
          <w:rFonts w:ascii="Courier New" w:hAnsi="Courier New" w:cs="Courier New"/>
          <w:sz w:val="20"/>
          <w:szCs w:val="20"/>
          <w:lang w:val="en-US"/>
        </w:rPr>
        <w:t xml:space="preserve"> [Film] (Universal Pictures, 2014).</w:t>
      </w:r>
    </w:p>
    <w:p w14:paraId="0A8DF4A3"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Thunberg, Greta, “Our House Is on Fire,” speech at the World Economic Forum, Davos, 2019.</w:t>
      </w:r>
    </w:p>
    <w:p w14:paraId="02EECBBD" w14:textId="77777777" w:rsidR="00365A8D" w:rsidRPr="00365A8D" w:rsidRDefault="00365A8D" w:rsidP="00365A8D">
      <w:pPr>
        <w:rPr>
          <w:rFonts w:ascii="Courier New" w:hAnsi="Courier New" w:cs="Courier New"/>
          <w:sz w:val="20"/>
          <w:szCs w:val="20"/>
          <w:lang w:val="en-US"/>
        </w:rPr>
      </w:pPr>
      <w:r w:rsidRPr="00365A8D">
        <w:rPr>
          <w:rFonts w:ascii="Courier New" w:hAnsi="Courier New" w:cs="Courier New"/>
          <w:sz w:val="20"/>
          <w:szCs w:val="20"/>
          <w:lang w:val="en-US"/>
        </w:rPr>
        <w:t xml:space="preserve">Herbert, Frank, </w:t>
      </w:r>
      <w:r w:rsidRPr="00365A8D">
        <w:rPr>
          <w:rFonts w:ascii="Courier New" w:hAnsi="Courier New" w:cs="Courier New"/>
          <w:i/>
          <w:iCs/>
          <w:sz w:val="20"/>
          <w:szCs w:val="20"/>
          <w:lang w:val="en-US"/>
        </w:rPr>
        <w:t>Dune</w:t>
      </w:r>
      <w:r w:rsidRPr="00365A8D">
        <w:rPr>
          <w:rFonts w:ascii="Courier New" w:hAnsi="Courier New" w:cs="Courier New"/>
          <w:sz w:val="20"/>
          <w:szCs w:val="20"/>
          <w:lang w:val="en-US"/>
        </w:rPr>
        <w:t xml:space="preserve"> (Philadelphia: Chilton Books, 1965).</w:t>
      </w:r>
    </w:p>
    <w:p w14:paraId="4F992AA7" w14:textId="77777777" w:rsidR="00365A8D" w:rsidRPr="00365A8D" w:rsidRDefault="00365A8D">
      <w:pPr>
        <w:rPr>
          <w:rFonts w:ascii="Courier New" w:hAnsi="Courier New" w:cs="Courier New"/>
          <w:b/>
          <w:bCs/>
          <w:sz w:val="20"/>
          <w:szCs w:val="20"/>
          <w:lang w:val="en-US"/>
        </w:rPr>
      </w:pPr>
    </w:p>
    <w:sectPr w:rsidR="00365A8D" w:rsidRPr="00365A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FF0"/>
    <w:rsid w:val="00200782"/>
    <w:rsid w:val="00287765"/>
    <w:rsid w:val="00320DDC"/>
    <w:rsid w:val="00365A8D"/>
    <w:rsid w:val="0042260F"/>
    <w:rsid w:val="00513FF0"/>
    <w:rsid w:val="005320C7"/>
    <w:rsid w:val="00736F57"/>
    <w:rsid w:val="007A0FB0"/>
    <w:rsid w:val="009C7721"/>
    <w:rsid w:val="009D1661"/>
    <w:rsid w:val="00A46CD6"/>
    <w:rsid w:val="00C27974"/>
    <w:rsid w:val="00C4186B"/>
    <w:rsid w:val="00F513AE"/>
    <w:rsid w:val="00FA3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F95AD"/>
  <w15:chartTrackingRefBased/>
  <w15:docId w15:val="{FC742499-A056-4619-88F0-924982FF4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13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F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F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F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F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F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F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F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F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FF0"/>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13FF0"/>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13FF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13FF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13FF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13FF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13FF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13FF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13FF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13F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FF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13F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FF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13FF0"/>
    <w:pPr>
      <w:spacing w:before="160"/>
      <w:jc w:val="center"/>
    </w:pPr>
    <w:rPr>
      <w:i/>
      <w:iCs/>
      <w:color w:val="404040" w:themeColor="text1" w:themeTint="BF"/>
    </w:rPr>
  </w:style>
  <w:style w:type="character" w:customStyle="1" w:styleId="QuoteChar">
    <w:name w:val="Quote Char"/>
    <w:basedOn w:val="DefaultParagraphFont"/>
    <w:link w:val="Quote"/>
    <w:uiPriority w:val="29"/>
    <w:rsid w:val="00513FF0"/>
    <w:rPr>
      <w:i/>
      <w:iCs/>
      <w:color w:val="404040" w:themeColor="text1" w:themeTint="BF"/>
      <w:lang w:val="en-GB"/>
    </w:rPr>
  </w:style>
  <w:style w:type="paragraph" w:styleId="ListParagraph">
    <w:name w:val="List Paragraph"/>
    <w:basedOn w:val="Normal"/>
    <w:uiPriority w:val="34"/>
    <w:qFormat/>
    <w:rsid w:val="00513FF0"/>
    <w:pPr>
      <w:ind w:left="720"/>
      <w:contextualSpacing/>
    </w:pPr>
  </w:style>
  <w:style w:type="character" w:styleId="IntenseEmphasis">
    <w:name w:val="Intense Emphasis"/>
    <w:basedOn w:val="DefaultParagraphFont"/>
    <w:uiPriority w:val="21"/>
    <w:qFormat/>
    <w:rsid w:val="00513FF0"/>
    <w:rPr>
      <w:i/>
      <w:iCs/>
      <w:color w:val="0F4761" w:themeColor="accent1" w:themeShade="BF"/>
    </w:rPr>
  </w:style>
  <w:style w:type="paragraph" w:styleId="IntenseQuote">
    <w:name w:val="Intense Quote"/>
    <w:basedOn w:val="Normal"/>
    <w:next w:val="Normal"/>
    <w:link w:val="IntenseQuoteChar"/>
    <w:uiPriority w:val="30"/>
    <w:qFormat/>
    <w:rsid w:val="00513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FF0"/>
    <w:rPr>
      <w:i/>
      <w:iCs/>
      <w:color w:val="0F4761" w:themeColor="accent1" w:themeShade="BF"/>
      <w:lang w:val="en-GB"/>
    </w:rPr>
  </w:style>
  <w:style w:type="character" w:styleId="IntenseReference">
    <w:name w:val="Intense Reference"/>
    <w:basedOn w:val="DefaultParagraphFont"/>
    <w:uiPriority w:val="32"/>
    <w:qFormat/>
    <w:rsid w:val="00513FF0"/>
    <w:rPr>
      <w:b/>
      <w:bCs/>
      <w:smallCaps/>
      <w:color w:val="0F4761" w:themeColor="accent1" w:themeShade="BF"/>
      <w:spacing w:val="5"/>
    </w:rPr>
  </w:style>
  <w:style w:type="paragraph" w:styleId="NormalWeb">
    <w:name w:val="Normal (Web)"/>
    <w:basedOn w:val="Normal"/>
    <w:uiPriority w:val="99"/>
    <w:semiHidden/>
    <w:unhideWhenUsed/>
    <w:rsid w:val="005320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39673">
      <w:bodyDiv w:val="1"/>
      <w:marLeft w:val="0"/>
      <w:marRight w:val="0"/>
      <w:marTop w:val="0"/>
      <w:marBottom w:val="0"/>
      <w:divBdr>
        <w:top w:val="none" w:sz="0" w:space="0" w:color="auto"/>
        <w:left w:val="none" w:sz="0" w:space="0" w:color="auto"/>
        <w:bottom w:val="none" w:sz="0" w:space="0" w:color="auto"/>
        <w:right w:val="none" w:sz="0" w:space="0" w:color="auto"/>
      </w:divBdr>
    </w:div>
    <w:div w:id="894854010">
      <w:bodyDiv w:val="1"/>
      <w:marLeft w:val="0"/>
      <w:marRight w:val="0"/>
      <w:marTop w:val="0"/>
      <w:marBottom w:val="0"/>
      <w:divBdr>
        <w:top w:val="none" w:sz="0" w:space="0" w:color="auto"/>
        <w:left w:val="none" w:sz="0" w:space="0" w:color="auto"/>
        <w:bottom w:val="none" w:sz="0" w:space="0" w:color="auto"/>
        <w:right w:val="none" w:sz="0" w:space="0" w:color="auto"/>
      </w:divBdr>
    </w:div>
    <w:div w:id="1365405741">
      <w:bodyDiv w:val="1"/>
      <w:marLeft w:val="0"/>
      <w:marRight w:val="0"/>
      <w:marTop w:val="0"/>
      <w:marBottom w:val="0"/>
      <w:divBdr>
        <w:top w:val="none" w:sz="0" w:space="0" w:color="auto"/>
        <w:left w:val="none" w:sz="0" w:space="0" w:color="auto"/>
        <w:bottom w:val="none" w:sz="0" w:space="0" w:color="auto"/>
        <w:right w:val="none" w:sz="0" w:space="0" w:color="auto"/>
      </w:divBdr>
    </w:div>
    <w:div w:id="1500851978">
      <w:bodyDiv w:val="1"/>
      <w:marLeft w:val="0"/>
      <w:marRight w:val="0"/>
      <w:marTop w:val="0"/>
      <w:marBottom w:val="0"/>
      <w:divBdr>
        <w:top w:val="none" w:sz="0" w:space="0" w:color="auto"/>
        <w:left w:val="none" w:sz="0" w:space="0" w:color="auto"/>
        <w:bottom w:val="none" w:sz="0" w:space="0" w:color="auto"/>
        <w:right w:val="none" w:sz="0" w:space="0" w:color="auto"/>
      </w:divBdr>
    </w:div>
    <w:div w:id="1577979643">
      <w:bodyDiv w:val="1"/>
      <w:marLeft w:val="0"/>
      <w:marRight w:val="0"/>
      <w:marTop w:val="0"/>
      <w:marBottom w:val="0"/>
      <w:divBdr>
        <w:top w:val="none" w:sz="0" w:space="0" w:color="auto"/>
        <w:left w:val="none" w:sz="0" w:space="0" w:color="auto"/>
        <w:bottom w:val="none" w:sz="0" w:space="0" w:color="auto"/>
        <w:right w:val="none" w:sz="0" w:space="0" w:color="auto"/>
      </w:divBdr>
    </w:div>
    <w:div w:id="205607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B88F8-3C6A-4F0E-B41F-EA3E08192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5</Pages>
  <Words>1616</Words>
  <Characters>9214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3</cp:revision>
  <dcterms:created xsi:type="dcterms:W3CDTF">2025-01-01T16:08:00Z</dcterms:created>
  <dcterms:modified xsi:type="dcterms:W3CDTF">2025-01-05T22:47:00Z</dcterms:modified>
</cp:coreProperties>
</file>