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F845C" w14:textId="060DFE95" w:rsidR="57D6D52A" w:rsidRPr="00EA33C2" w:rsidRDefault="3D12E750" w:rsidP="00D062D0">
      <w:pPr>
        <w:spacing w:line="360" w:lineRule="auto"/>
        <w:rPr>
          <w:rFonts w:ascii="Arial" w:eastAsiaTheme="majorEastAsia" w:hAnsi="Arial" w:cs="Arial"/>
        </w:rPr>
      </w:pPr>
      <w:r w:rsidRPr="00EA33C2">
        <w:rPr>
          <w:rFonts w:ascii="Arial" w:eastAsiaTheme="majorEastAsia" w:hAnsi="Arial" w:cs="Arial"/>
        </w:rPr>
        <w:t>Component 2 Analytical Report</w:t>
      </w:r>
    </w:p>
    <w:p w14:paraId="2C078E63" w14:textId="0B9265BC" w:rsidR="004041DD" w:rsidRPr="00EA33C2" w:rsidRDefault="3D12E750" w:rsidP="00D062D0">
      <w:pPr>
        <w:spacing w:line="360" w:lineRule="auto"/>
        <w:rPr>
          <w:rFonts w:ascii="Arial" w:eastAsiaTheme="majorEastAsia" w:hAnsi="Arial" w:cs="Arial"/>
        </w:rPr>
      </w:pPr>
      <w:r w:rsidRPr="00EA33C2">
        <w:rPr>
          <w:rFonts w:ascii="Arial" w:eastAsiaTheme="majorEastAsia" w:hAnsi="Arial" w:cs="Arial"/>
        </w:rPr>
        <w:t xml:space="preserve">Student name: Carina Gomes </w:t>
      </w:r>
    </w:p>
    <w:p w14:paraId="3DFC40A7" w14:textId="105A7487" w:rsidR="3D12E750" w:rsidRPr="00EA33C2" w:rsidRDefault="3D12E750" w:rsidP="00D062D0">
      <w:pPr>
        <w:spacing w:line="360" w:lineRule="auto"/>
        <w:rPr>
          <w:rFonts w:ascii="Arial" w:eastAsiaTheme="majorEastAsia" w:hAnsi="Arial" w:cs="Arial"/>
        </w:rPr>
      </w:pPr>
      <w:r w:rsidRPr="00EA33C2">
        <w:rPr>
          <w:rFonts w:ascii="Arial" w:eastAsiaTheme="majorEastAsia" w:hAnsi="Arial" w:cs="Arial"/>
        </w:rPr>
        <w:t>Student number:  2222912</w:t>
      </w:r>
    </w:p>
    <w:p w14:paraId="1FBE19B6" w14:textId="2659BA12" w:rsidR="3D12E750" w:rsidRPr="00EA33C2" w:rsidRDefault="3D12E750" w:rsidP="00D062D0">
      <w:pPr>
        <w:spacing w:line="360" w:lineRule="auto"/>
        <w:rPr>
          <w:rFonts w:ascii="Arial" w:eastAsiaTheme="majorEastAsia" w:hAnsi="Arial" w:cs="Arial"/>
        </w:rPr>
      </w:pPr>
      <w:r w:rsidRPr="00EA33C2">
        <w:rPr>
          <w:rFonts w:ascii="Arial" w:eastAsiaTheme="majorEastAsia" w:hAnsi="Arial" w:cs="Arial"/>
        </w:rPr>
        <w:t>Module code: LCHS7</w:t>
      </w:r>
    </w:p>
    <w:p w14:paraId="7329F562" w14:textId="18C9C574" w:rsidR="3D12E750" w:rsidRPr="00EA33C2" w:rsidRDefault="3D12E750" w:rsidP="00D062D0">
      <w:pPr>
        <w:spacing w:line="360" w:lineRule="auto"/>
        <w:rPr>
          <w:rFonts w:ascii="Arial" w:eastAsiaTheme="majorEastAsia" w:hAnsi="Arial" w:cs="Arial"/>
        </w:rPr>
      </w:pPr>
      <w:r w:rsidRPr="00EA33C2">
        <w:rPr>
          <w:rFonts w:ascii="Arial" w:eastAsiaTheme="majorEastAsia" w:hAnsi="Arial" w:cs="Arial"/>
        </w:rPr>
        <w:t xml:space="preserve">Lecture: Dr Hamdi Hussain </w:t>
      </w:r>
    </w:p>
    <w:p w14:paraId="13D00365" w14:textId="0ED8CA85" w:rsidR="57D6D52A" w:rsidRPr="00EA33C2" w:rsidRDefault="57D6D52A" w:rsidP="00D062D0">
      <w:pPr>
        <w:spacing w:line="360" w:lineRule="auto"/>
        <w:rPr>
          <w:rFonts w:ascii="Arial" w:eastAsiaTheme="majorEastAsia" w:hAnsi="Arial" w:cs="Arial"/>
        </w:rPr>
      </w:pPr>
    </w:p>
    <w:p w14:paraId="33D0514D" w14:textId="1858578D" w:rsidR="00DB5AF8" w:rsidRPr="00EA33C2" w:rsidRDefault="008536DD" w:rsidP="00D062D0">
      <w:pPr>
        <w:spacing w:after="0" w:line="360" w:lineRule="auto"/>
        <w:jc w:val="center"/>
        <w:rPr>
          <w:rFonts w:ascii="Arial" w:eastAsiaTheme="majorEastAsia" w:hAnsi="Arial" w:cs="Arial"/>
          <w:b/>
          <w:lang w:eastAsia="en-GB"/>
        </w:rPr>
      </w:pPr>
      <w:r w:rsidRPr="00EA33C2">
        <w:rPr>
          <w:rFonts w:ascii="Arial" w:eastAsiaTheme="majorEastAsia" w:hAnsi="Arial" w:cs="Arial"/>
          <w:b/>
          <w:bCs/>
          <w:lang w:eastAsia="en-GB"/>
        </w:rPr>
        <w:t>Disability and Health Inequality in the UK</w:t>
      </w:r>
    </w:p>
    <w:p w14:paraId="11997E5E" w14:textId="77777777" w:rsidR="00F9786D" w:rsidRDefault="00F9786D" w:rsidP="00D062D0">
      <w:pPr>
        <w:spacing w:before="100" w:beforeAutospacing="1" w:after="100" w:afterAutospacing="1" w:line="360" w:lineRule="auto"/>
        <w:outlineLvl w:val="1"/>
        <w:rPr>
          <w:rFonts w:ascii="Arial" w:eastAsiaTheme="majorEastAsia" w:hAnsi="Arial" w:cs="Arial"/>
          <w:b/>
          <w:bCs/>
          <w:lang w:eastAsia="en-GB"/>
        </w:rPr>
      </w:pPr>
    </w:p>
    <w:p w14:paraId="7A3C170F" w14:textId="3D3411BE" w:rsidR="00DB5AF8" w:rsidRPr="00EA33C2" w:rsidRDefault="00DB5AF8" w:rsidP="00D062D0">
      <w:pPr>
        <w:spacing w:before="100" w:beforeAutospacing="1" w:after="100" w:afterAutospacing="1" w:line="360" w:lineRule="auto"/>
        <w:outlineLvl w:val="1"/>
        <w:rPr>
          <w:rFonts w:ascii="Arial" w:eastAsiaTheme="majorEastAsia" w:hAnsi="Arial" w:cs="Arial"/>
          <w:b/>
          <w:lang w:eastAsia="en-GB"/>
        </w:rPr>
      </w:pPr>
      <w:r w:rsidRPr="00EA33C2">
        <w:rPr>
          <w:rFonts w:ascii="Arial" w:eastAsiaTheme="majorEastAsia" w:hAnsi="Arial" w:cs="Arial"/>
          <w:b/>
          <w:bCs/>
          <w:lang w:eastAsia="en-GB"/>
        </w:rPr>
        <w:t>Introduction</w:t>
      </w:r>
    </w:p>
    <w:p w14:paraId="33130054" w14:textId="3571132F" w:rsidR="00DB5AF8" w:rsidRPr="00EA33C2" w:rsidRDefault="00DB5AF8" w:rsidP="00D062D0">
      <w:pPr>
        <w:spacing w:before="100" w:beforeAutospacing="1" w:after="100" w:afterAutospacing="1" w:line="360" w:lineRule="auto"/>
        <w:rPr>
          <w:rFonts w:ascii="Arial" w:eastAsiaTheme="majorEastAsia" w:hAnsi="Arial" w:cs="Arial"/>
          <w:lang w:eastAsia="en-GB"/>
        </w:rPr>
      </w:pPr>
      <w:r w:rsidRPr="00EA33C2">
        <w:rPr>
          <w:rFonts w:ascii="Arial" w:eastAsiaTheme="majorEastAsia" w:hAnsi="Arial" w:cs="Arial"/>
          <w:lang w:eastAsia="en-GB"/>
        </w:rPr>
        <w:t>This report examines disability and health inequality in the UK, focusing on how disabled individuals experience poorer health outcomes compared to the general population. Disability refers to a long-term physical, mental, sensory, or intellectual impairment that affects daily activities (World Health Organization, 2022). Health inequalities are systematic, avoidable, and unfair differences in health outcomes between groups (Marmot et al., 2020). Disabled individuals are particularly vulnerable due to social, economic, and environmental barriers, including discrimination and limited access to services (Office for National Statistics, 2023).</w:t>
      </w:r>
    </w:p>
    <w:p w14:paraId="7B006869" w14:textId="14CEFDBB" w:rsidR="00DB5AF8" w:rsidRPr="00EA33C2" w:rsidRDefault="00DB5AF8" w:rsidP="00D062D0">
      <w:pPr>
        <w:spacing w:before="100" w:beforeAutospacing="1" w:after="100" w:afterAutospacing="1" w:line="360" w:lineRule="auto"/>
        <w:rPr>
          <w:rFonts w:ascii="Arial" w:hAnsi="Arial" w:cs="Arial"/>
        </w:rPr>
      </w:pPr>
      <w:r w:rsidRPr="00EA33C2">
        <w:rPr>
          <w:rFonts w:ascii="Arial" w:eastAsiaTheme="majorEastAsia" w:hAnsi="Arial" w:cs="Arial"/>
          <w:lang w:eastAsia="en-GB"/>
        </w:rPr>
        <w:t xml:space="preserve">Research shows that disabled adults experience poorer physical and mental health, higher mortality, and reduced access to healthcare compared to non-disabled people (Public Health England, 2021). These disparities are driven by social determinants such as poverty, housing, and social exclusion (Kings Fund, 2022). This report explores key health and social inequalities, identifies their causes, and examines national responses and supporting </w:t>
      </w:r>
      <w:r w:rsidR="454B40A9" w:rsidRPr="00EA33C2">
        <w:rPr>
          <w:rFonts w:ascii="Arial" w:eastAsiaTheme="majorEastAsia" w:hAnsi="Arial" w:cs="Arial"/>
          <w:lang w:eastAsia="en-GB"/>
        </w:rPr>
        <w:t>organizations</w:t>
      </w:r>
      <w:r w:rsidRPr="00EA33C2">
        <w:rPr>
          <w:rFonts w:ascii="Arial" w:eastAsiaTheme="majorEastAsia" w:hAnsi="Arial" w:cs="Arial"/>
          <w:lang w:eastAsia="en-GB"/>
        </w:rPr>
        <w:t>.</w:t>
      </w:r>
    </w:p>
    <w:p w14:paraId="1935DC6A" w14:textId="36C3F4C9" w:rsidR="4471340A" w:rsidRPr="00EA33C2" w:rsidRDefault="4471340A" w:rsidP="00D062D0">
      <w:pPr>
        <w:spacing w:beforeAutospacing="1" w:afterAutospacing="1" w:line="360" w:lineRule="auto"/>
        <w:rPr>
          <w:rFonts w:ascii="Arial" w:eastAsiaTheme="majorEastAsia" w:hAnsi="Arial" w:cs="Arial"/>
          <w:lang w:eastAsia="en-GB"/>
        </w:rPr>
      </w:pPr>
    </w:p>
    <w:p w14:paraId="7F065A11" w14:textId="6FA02591" w:rsidR="00DB5AF8" w:rsidRPr="00EA33C2" w:rsidRDefault="00DB5AF8" w:rsidP="00D062D0">
      <w:pPr>
        <w:spacing w:beforeAutospacing="1" w:afterAutospacing="1" w:line="360" w:lineRule="auto"/>
        <w:rPr>
          <w:rFonts w:ascii="Arial" w:eastAsiaTheme="majorEastAsia" w:hAnsi="Arial" w:cs="Arial"/>
          <w:lang w:eastAsia="en-GB"/>
        </w:rPr>
      </w:pPr>
    </w:p>
    <w:p w14:paraId="3D7E9975" w14:textId="1E1409FA" w:rsidR="008536DD" w:rsidRPr="00EA33C2" w:rsidRDefault="008536DD" w:rsidP="00D062D0">
      <w:pPr>
        <w:spacing w:before="100" w:beforeAutospacing="1" w:after="0" w:afterAutospacing="1" w:line="360" w:lineRule="auto"/>
        <w:rPr>
          <w:rFonts w:ascii="Arial" w:hAnsi="Arial" w:cs="Arial"/>
        </w:rPr>
      </w:pPr>
      <w:r w:rsidRPr="00EA33C2">
        <w:rPr>
          <w:rFonts w:ascii="Arial" w:eastAsiaTheme="majorEastAsia" w:hAnsi="Arial" w:cs="Arial"/>
          <w:b/>
          <w:bCs/>
          <w:lang w:eastAsia="en-GB"/>
        </w:rPr>
        <w:lastRenderedPageBreak/>
        <w:t>Contextual Background and Underlying Factors</w:t>
      </w:r>
    </w:p>
    <w:p w14:paraId="642501A2" w14:textId="59194FBA" w:rsidR="008536DD" w:rsidRPr="00EA33C2" w:rsidRDefault="008536DD" w:rsidP="00D062D0">
      <w:pPr>
        <w:spacing w:before="100" w:beforeAutospacing="1" w:after="0" w:afterAutospacing="1" w:line="360" w:lineRule="auto"/>
        <w:rPr>
          <w:rFonts w:ascii="Arial" w:hAnsi="Arial" w:cs="Arial"/>
        </w:rPr>
      </w:pPr>
      <w:r w:rsidRPr="00EA33C2">
        <w:rPr>
          <w:rFonts w:ascii="Arial" w:eastAsiaTheme="majorEastAsia" w:hAnsi="Arial" w:cs="Arial"/>
          <w:b/>
          <w:bCs/>
          <w:lang w:eastAsia="en-GB"/>
        </w:rPr>
        <w:t>Higher Rates of Mental Illness</w:t>
      </w:r>
    </w:p>
    <w:p w14:paraId="4793929D" w14:textId="4C48053C" w:rsidR="008536DD" w:rsidRPr="00EA33C2" w:rsidRDefault="00DB5AF8" w:rsidP="00D062D0">
      <w:pPr>
        <w:spacing w:before="100" w:beforeAutospacing="1" w:after="0" w:afterAutospacing="1" w:line="360" w:lineRule="auto"/>
        <w:rPr>
          <w:rFonts w:ascii="Arial" w:hAnsi="Arial" w:cs="Arial"/>
        </w:rPr>
      </w:pPr>
      <w:r w:rsidRPr="00EA33C2">
        <w:rPr>
          <w:rFonts w:ascii="Arial" w:eastAsiaTheme="majorEastAsia" w:hAnsi="Arial" w:cs="Arial"/>
          <w:lang w:eastAsia="en-GB"/>
        </w:rPr>
        <w:t xml:space="preserve">Disabled people are more likely to experience mental health conditions. In the UK, 31% of adults with disabilities report high levels of psychological distress, compared with 16% of non-disabled adults (NHS Digital, 2022). </w:t>
      </w:r>
      <w:r w:rsidR="00351F80" w:rsidRPr="00EA33C2">
        <w:rPr>
          <w:rFonts w:ascii="Arial" w:eastAsiaTheme="majorEastAsia" w:hAnsi="Arial" w:cs="Arial"/>
          <w:lang w:eastAsia="en-GB"/>
        </w:rPr>
        <w:t>Factors include social isolation due to limited social interactions and support networks, stigma stemming from societal misconceptions and discrimination, and the psychological burden of managing chronic conditions such as ongoing medication, frequent medical appointments, and emotional stress.</w:t>
      </w:r>
      <w:r w:rsidR="00846828" w:rsidRPr="00EA33C2">
        <w:rPr>
          <w:rFonts w:ascii="Arial" w:eastAsiaTheme="majorEastAsia" w:hAnsi="Arial" w:cs="Arial"/>
          <w:lang w:eastAsia="en-GB"/>
        </w:rPr>
        <w:t xml:space="preserve"> (</w:t>
      </w:r>
      <w:r w:rsidRPr="00EA33C2">
        <w:rPr>
          <w:rFonts w:ascii="Arial" w:eastAsiaTheme="majorEastAsia" w:hAnsi="Arial" w:cs="Arial"/>
          <w:lang w:eastAsia="en-GB"/>
        </w:rPr>
        <w:t xml:space="preserve">Shakespeare et al., 2021). </w:t>
      </w:r>
      <w:r w:rsidR="00E55C78" w:rsidRPr="00EA33C2">
        <w:rPr>
          <w:rFonts w:ascii="Arial" w:eastAsiaTheme="majorEastAsia" w:hAnsi="Arial" w:cs="Arial"/>
          <w:lang w:eastAsia="en-GB"/>
        </w:rPr>
        <w:t xml:space="preserve">Limited access to tailored mental health services significantly worsens the problem by preventing individuals from receiving personalized care that addresses their specific psychological needs, thereby hindering effective treatment and recovery. </w:t>
      </w:r>
      <w:r w:rsidRPr="00EA33C2">
        <w:rPr>
          <w:rFonts w:ascii="Arial" w:eastAsiaTheme="majorEastAsia" w:hAnsi="Arial" w:cs="Arial"/>
          <w:lang w:eastAsia="en-GB"/>
        </w:rPr>
        <w:t>(Nuffield Trust, 2021). Solutions include increasing access to inclusive therapy</w:t>
      </w:r>
      <w:r w:rsidR="00B736F5" w:rsidRPr="00EA33C2">
        <w:rPr>
          <w:rFonts w:ascii="Arial" w:eastAsiaTheme="majorEastAsia" w:hAnsi="Arial" w:cs="Arial"/>
          <w:lang w:eastAsia="en-GB"/>
        </w:rPr>
        <w:t xml:space="preserve"> services, implementing early intervention programs for at-risk populations, and launching public campaigns aimed at reducing stigma surrounding mental health issues. </w:t>
      </w:r>
      <w:r w:rsidRPr="00EA33C2">
        <w:rPr>
          <w:rFonts w:ascii="Arial" w:eastAsiaTheme="majorEastAsia" w:hAnsi="Arial" w:cs="Arial"/>
          <w:lang w:eastAsia="en-GB"/>
        </w:rPr>
        <w:t>(Department of Health and Social Care, 2022).</w:t>
      </w:r>
    </w:p>
    <w:p w14:paraId="02318EB8" w14:textId="4C2ABE13" w:rsidR="008536DD" w:rsidRPr="00EA33C2" w:rsidRDefault="008536DD" w:rsidP="00D062D0">
      <w:pPr>
        <w:spacing w:before="100" w:beforeAutospacing="1" w:after="100" w:afterAutospacing="1" w:line="360" w:lineRule="auto"/>
        <w:rPr>
          <w:rFonts w:ascii="Arial" w:eastAsiaTheme="majorEastAsia" w:hAnsi="Arial" w:cs="Arial"/>
          <w:b/>
          <w:lang w:eastAsia="en-GB"/>
        </w:rPr>
      </w:pPr>
      <w:r w:rsidRPr="00EA33C2">
        <w:rPr>
          <w:rFonts w:ascii="Arial" w:eastAsiaTheme="majorEastAsia" w:hAnsi="Arial" w:cs="Arial"/>
          <w:b/>
          <w:bCs/>
          <w:lang w:eastAsia="en-GB"/>
        </w:rPr>
        <w:t>Low Rates of Access to Healthcare</w:t>
      </w:r>
    </w:p>
    <w:p w14:paraId="36100214" w14:textId="77777777" w:rsidR="00F9786D" w:rsidRDefault="00701A3C" w:rsidP="00F9786D">
      <w:pPr>
        <w:spacing w:before="100" w:beforeAutospacing="1" w:after="100" w:afterAutospacing="1" w:line="360" w:lineRule="auto"/>
        <w:rPr>
          <w:rFonts w:ascii="Arial" w:eastAsiaTheme="majorEastAsia" w:hAnsi="Arial" w:cs="Arial"/>
          <w:lang w:eastAsia="en-GB"/>
        </w:rPr>
      </w:pPr>
      <w:r w:rsidRPr="00EA33C2">
        <w:rPr>
          <w:rFonts w:ascii="Arial" w:eastAsiaTheme="majorEastAsia" w:hAnsi="Arial" w:cs="Arial"/>
          <w:lang w:eastAsia="en-GB"/>
        </w:rPr>
        <w:t xml:space="preserve">Disabled individuals encounter a range of obstacles in healthcare, including physical barriers like inaccessible facilities, communication challenges such as lack of sign language interpreters, and systemic issues like inadequate provider training. Consequently, only 58% of disabled adults receive recommended preventive care, such as cancer screenings and vaccinations. </w:t>
      </w:r>
      <w:r w:rsidR="00DB5AF8" w:rsidRPr="00EA33C2">
        <w:rPr>
          <w:rFonts w:ascii="Arial" w:eastAsiaTheme="majorEastAsia" w:hAnsi="Arial" w:cs="Arial"/>
          <w:lang w:eastAsia="en-GB"/>
        </w:rPr>
        <w:t>(NHS England, 2021). Structural barriers, including inaccessible facilities and inadequate staff training, contribute to delayed diagnoses and worse health outcomes (WHO, 2022). Solutions involve improving accessibility, providing alternative communication methods, and ensuring staff are trained to meet diverse needs (Public Health England, 2021).</w:t>
      </w:r>
    </w:p>
    <w:p w14:paraId="0B848AF3" w14:textId="77777777" w:rsidR="00F9786D" w:rsidRDefault="00F9786D" w:rsidP="00F9786D">
      <w:pPr>
        <w:spacing w:before="100" w:beforeAutospacing="1" w:after="100" w:afterAutospacing="1" w:line="360" w:lineRule="auto"/>
        <w:rPr>
          <w:rFonts w:ascii="Arial" w:eastAsiaTheme="majorEastAsia" w:hAnsi="Arial" w:cs="Arial"/>
          <w:lang w:eastAsia="en-GB"/>
        </w:rPr>
      </w:pPr>
    </w:p>
    <w:p w14:paraId="235288FE" w14:textId="77777777" w:rsidR="00F9786D" w:rsidRDefault="00F9786D" w:rsidP="00F9786D">
      <w:pPr>
        <w:spacing w:before="100" w:beforeAutospacing="1" w:after="100" w:afterAutospacing="1" w:line="360" w:lineRule="auto"/>
        <w:rPr>
          <w:rFonts w:ascii="Arial" w:eastAsiaTheme="majorEastAsia" w:hAnsi="Arial" w:cs="Arial"/>
          <w:lang w:eastAsia="en-GB"/>
        </w:rPr>
      </w:pPr>
    </w:p>
    <w:p w14:paraId="6110AD13" w14:textId="76D34D89" w:rsidR="008536DD" w:rsidRPr="00F9786D" w:rsidRDefault="008536DD" w:rsidP="00F9786D">
      <w:pPr>
        <w:spacing w:before="100" w:beforeAutospacing="1" w:after="100" w:afterAutospacing="1" w:line="360" w:lineRule="auto"/>
        <w:rPr>
          <w:rFonts w:ascii="Arial" w:eastAsiaTheme="majorEastAsia" w:hAnsi="Arial" w:cs="Arial"/>
          <w:lang w:eastAsia="en-GB"/>
        </w:rPr>
      </w:pPr>
      <w:r w:rsidRPr="00EA33C2">
        <w:rPr>
          <w:rFonts w:ascii="Arial" w:eastAsiaTheme="majorEastAsia" w:hAnsi="Arial" w:cs="Arial"/>
          <w:b/>
          <w:bCs/>
          <w:lang w:eastAsia="en-GB"/>
        </w:rPr>
        <w:lastRenderedPageBreak/>
        <w:t>Higher Mortality Rates</w:t>
      </w:r>
    </w:p>
    <w:p w14:paraId="45AAFF28" w14:textId="77777777" w:rsidR="00F9786D" w:rsidRDefault="005447B8" w:rsidP="00F9786D">
      <w:pPr>
        <w:spacing w:before="100" w:beforeAutospacing="1" w:after="100" w:afterAutospacing="1" w:line="360" w:lineRule="auto"/>
        <w:rPr>
          <w:rFonts w:ascii="Arial" w:eastAsiaTheme="majorEastAsia" w:hAnsi="Arial" w:cs="Arial"/>
          <w:lang w:eastAsia="en-GB"/>
        </w:rPr>
      </w:pPr>
      <w:r w:rsidRPr="00EA33C2">
        <w:rPr>
          <w:rFonts w:ascii="Arial" w:eastAsiaTheme="majorEastAsia" w:hAnsi="Arial" w:cs="Arial"/>
          <w:lang w:eastAsia="en-GB"/>
        </w:rPr>
        <w:t xml:space="preserve">People with disabilities, especially those with learning disabilities such as dyslexia, autism spectrum disorder, or intellectual disabilities, tend to have a lower life expectancy. In the UK, individuals with learning disabilities die, on average, 15–20 years earlier than the general population, often due to preventable conditions like cardiovascular disease, respiratory infections, or complications from untreated health issues. </w:t>
      </w:r>
      <w:r w:rsidR="00DB5AF8" w:rsidRPr="00EA33C2">
        <w:rPr>
          <w:rFonts w:ascii="Arial" w:eastAsiaTheme="majorEastAsia" w:hAnsi="Arial" w:cs="Arial"/>
          <w:lang w:eastAsia="en-GB"/>
        </w:rPr>
        <w:t>(ONS, 2023; Heslop et al., 2021). Contributing factors include delayed diagnosis, poor quality care, and diagnostic overshadowing (NHS England, 2022). Addressing mortality requires regular health checks, better monitoring of outcomes, and improved clinical training (Department of Health and Social Care, 2022).</w:t>
      </w:r>
    </w:p>
    <w:p w14:paraId="0EE1A7F4" w14:textId="1F34BFB3" w:rsidR="008536DD" w:rsidRPr="00F9786D" w:rsidRDefault="008536DD" w:rsidP="00F9786D">
      <w:pPr>
        <w:spacing w:before="100" w:beforeAutospacing="1" w:after="100" w:afterAutospacing="1" w:line="360" w:lineRule="auto"/>
        <w:rPr>
          <w:rFonts w:ascii="Arial" w:eastAsiaTheme="majorEastAsia" w:hAnsi="Arial" w:cs="Arial"/>
          <w:lang w:eastAsia="en-GB"/>
        </w:rPr>
      </w:pPr>
      <w:r w:rsidRPr="00EA33C2">
        <w:rPr>
          <w:rFonts w:ascii="Arial" w:eastAsiaTheme="majorEastAsia" w:hAnsi="Arial" w:cs="Arial"/>
          <w:b/>
          <w:bCs/>
          <w:lang w:eastAsia="en-GB"/>
        </w:rPr>
        <w:t>Social Isolation and Loneliness</w:t>
      </w:r>
    </w:p>
    <w:p w14:paraId="01F507EC" w14:textId="404CFF64" w:rsidR="00DB5AF8" w:rsidRPr="00EA33C2" w:rsidRDefault="00DB5AF8" w:rsidP="00D062D0">
      <w:pPr>
        <w:spacing w:before="100" w:beforeAutospacing="1" w:after="100" w:afterAutospacing="1" w:line="360" w:lineRule="auto"/>
        <w:rPr>
          <w:rFonts w:ascii="Arial" w:eastAsiaTheme="majorEastAsia" w:hAnsi="Arial" w:cs="Arial"/>
          <w:lang w:eastAsia="en-GB"/>
        </w:rPr>
      </w:pPr>
      <w:r w:rsidRPr="00EA33C2">
        <w:rPr>
          <w:rFonts w:ascii="Arial" w:eastAsiaTheme="majorEastAsia" w:hAnsi="Arial" w:cs="Arial"/>
          <w:lang w:eastAsia="en-GB"/>
        </w:rPr>
        <w:t xml:space="preserve">Social isolation affects 35% of disabled adults in the UK, compared to 20% </w:t>
      </w:r>
      <w:r w:rsidR="00670E40" w:rsidRPr="00EA33C2">
        <w:rPr>
          <w:rFonts w:ascii="Arial" w:eastAsiaTheme="majorEastAsia" w:hAnsi="Arial" w:cs="Arial"/>
          <w:lang w:eastAsia="en-GB"/>
        </w:rPr>
        <w:t>Of non-disabled adults (ONS, 2022), barriers to participation include inaccessible environments such as buildings lacking ramps or elevators, limited transportation options that hinder mobility, and pervasive social stigma that fosters exclusion (Scope, 2023). Loneliness among this population is associated with increased risk of adverse physical health conditions, such as hypertension and cardiovascular disease, as well as mental health issues like depression and anxiety.</w:t>
      </w:r>
      <w:r w:rsidRPr="00EA33C2">
        <w:rPr>
          <w:rFonts w:ascii="Arial" w:eastAsiaTheme="majorEastAsia" w:hAnsi="Arial" w:cs="Arial"/>
          <w:lang w:eastAsia="en-GB"/>
        </w:rPr>
        <w:t xml:space="preserve"> (NHS Digital, 2022). Inclusive community programs, accessible social activities, and support networks can mitigate these issues (Public Health England, 2021).</w:t>
      </w:r>
    </w:p>
    <w:p w14:paraId="75C2634B" w14:textId="7C16ABFC" w:rsidR="008536DD" w:rsidRPr="00EA33C2" w:rsidRDefault="008536DD" w:rsidP="00D062D0">
      <w:pPr>
        <w:spacing w:beforeAutospacing="1" w:after="0" w:afterAutospacing="1" w:line="360" w:lineRule="auto"/>
        <w:rPr>
          <w:rFonts w:ascii="Arial" w:hAnsi="Arial" w:cs="Arial"/>
        </w:rPr>
      </w:pPr>
      <w:r w:rsidRPr="00EA33C2">
        <w:rPr>
          <w:rFonts w:ascii="Arial" w:eastAsiaTheme="majorEastAsia" w:hAnsi="Arial" w:cs="Arial"/>
          <w:b/>
          <w:bCs/>
          <w:lang w:eastAsia="en-GB"/>
        </w:rPr>
        <w:t>Poverty</w:t>
      </w:r>
    </w:p>
    <w:p w14:paraId="07EF3A99" w14:textId="77777777" w:rsidR="00F9786D" w:rsidRDefault="00DB5AF8" w:rsidP="00F9786D">
      <w:pPr>
        <w:spacing w:beforeAutospacing="1" w:after="0" w:afterAutospacing="1" w:line="360" w:lineRule="auto"/>
        <w:rPr>
          <w:rFonts w:ascii="Arial" w:eastAsiaTheme="majorEastAsia" w:hAnsi="Arial" w:cs="Arial"/>
          <w:lang w:eastAsia="en-GB"/>
        </w:rPr>
      </w:pPr>
      <w:r w:rsidRPr="00EA33C2">
        <w:rPr>
          <w:rFonts w:ascii="Arial" w:eastAsiaTheme="majorEastAsia" w:hAnsi="Arial" w:cs="Arial"/>
          <w:lang w:eastAsia="en-GB"/>
        </w:rPr>
        <w:t>Disabled individuals are disproportionately affected by poverty. Approximately 29% of households with a disabled member live in relative poverty, compared to 17% of non-disabled households (Joseph Rowntree Foundation, 2023). Contributing factors include lower employment rates, workplace discrimination, and higher living costs (Department for Work and Pensions, 2022). Solutions include promoting inclusive employment, financial support, and workplace accommodations (Kings Fund, 2022).</w:t>
      </w:r>
    </w:p>
    <w:p w14:paraId="643F5296" w14:textId="61B2157D" w:rsidR="008536DD" w:rsidRPr="00F9786D" w:rsidRDefault="008536DD" w:rsidP="00F9786D">
      <w:pPr>
        <w:spacing w:beforeAutospacing="1" w:after="0" w:afterAutospacing="1" w:line="360" w:lineRule="auto"/>
        <w:rPr>
          <w:rFonts w:ascii="Arial" w:eastAsiaTheme="majorEastAsia" w:hAnsi="Arial" w:cs="Arial"/>
          <w:lang w:eastAsia="en-GB"/>
        </w:rPr>
      </w:pPr>
      <w:r w:rsidRPr="00EA33C2">
        <w:rPr>
          <w:rFonts w:ascii="Arial" w:eastAsiaTheme="majorEastAsia" w:hAnsi="Arial" w:cs="Arial"/>
          <w:b/>
          <w:bCs/>
          <w:lang w:eastAsia="en-GB"/>
        </w:rPr>
        <w:lastRenderedPageBreak/>
        <w:t>Housing Issues</w:t>
      </w:r>
    </w:p>
    <w:p w14:paraId="6C5021DA" w14:textId="77777777" w:rsidR="00DB5AF8" w:rsidRPr="00EA33C2" w:rsidRDefault="00DB5AF8" w:rsidP="00D062D0">
      <w:pPr>
        <w:spacing w:before="100" w:beforeAutospacing="1" w:after="100" w:afterAutospacing="1" w:line="360" w:lineRule="auto"/>
        <w:rPr>
          <w:rFonts w:ascii="Arial" w:eastAsiaTheme="majorEastAsia" w:hAnsi="Arial" w:cs="Arial"/>
          <w:lang w:eastAsia="en-GB"/>
        </w:rPr>
      </w:pPr>
      <w:r w:rsidRPr="00EA33C2">
        <w:rPr>
          <w:rFonts w:ascii="Arial" w:eastAsiaTheme="majorEastAsia" w:hAnsi="Arial" w:cs="Arial"/>
          <w:lang w:eastAsia="en-GB"/>
        </w:rPr>
        <w:t>Housing presents a major challenge. Only 5% of homes in the UK are fully accessible for disabled people (Habinteg, 2022). Unsuitable housing increases the risk of injury, reduces independence, and exacerbates health issues. The shortage of accessible housing and the high cost of adaptations are key barriers (Ministry of Housing, 2021). Solutions include increasing investment in accessible housing, funding home adaptations, and enforcing inclusive building standards (Department of Health and Social Care, 2022).</w:t>
      </w:r>
    </w:p>
    <w:p w14:paraId="2284D4AA" w14:textId="6CB0B272" w:rsidR="008536DD" w:rsidRPr="00EA33C2" w:rsidRDefault="008536DD" w:rsidP="00D062D0">
      <w:pPr>
        <w:spacing w:before="100" w:beforeAutospacing="1" w:after="0" w:afterAutospacing="1" w:line="360" w:lineRule="auto"/>
        <w:rPr>
          <w:rFonts w:ascii="Arial" w:eastAsiaTheme="majorEastAsia" w:hAnsi="Arial" w:cs="Arial"/>
          <w:b/>
          <w:lang w:eastAsia="en-GB"/>
        </w:rPr>
      </w:pPr>
      <w:r w:rsidRPr="00EA33C2">
        <w:rPr>
          <w:rFonts w:ascii="Arial" w:eastAsiaTheme="majorEastAsia" w:hAnsi="Arial" w:cs="Arial"/>
          <w:b/>
          <w:bCs/>
          <w:lang w:eastAsia="en-GB"/>
        </w:rPr>
        <w:t>National Response to Reduce Health Inequalities</w:t>
      </w:r>
    </w:p>
    <w:p w14:paraId="5CDF3953" w14:textId="70EA9B55" w:rsidR="00DB5AF8" w:rsidRPr="00EA33C2" w:rsidRDefault="00DB5AF8" w:rsidP="00D062D0">
      <w:pPr>
        <w:spacing w:before="100" w:beforeAutospacing="1" w:after="100" w:afterAutospacing="1" w:line="360" w:lineRule="auto"/>
        <w:rPr>
          <w:rFonts w:ascii="Arial" w:eastAsiaTheme="majorEastAsia" w:hAnsi="Arial" w:cs="Arial"/>
          <w:lang w:eastAsia="en-GB"/>
        </w:rPr>
      </w:pPr>
      <w:r w:rsidRPr="00EA33C2">
        <w:rPr>
          <w:rFonts w:ascii="Arial" w:eastAsiaTheme="majorEastAsia" w:hAnsi="Arial" w:cs="Arial"/>
          <w:lang w:eastAsia="en-GB"/>
        </w:rPr>
        <w:t xml:space="preserve">The NHS Long Term Plan (2021) seeks to reduce health inequalities for vulnerable groups, including disabled people, by improving access, </w:t>
      </w:r>
      <w:r w:rsidR="6549564D" w:rsidRPr="00EA33C2">
        <w:rPr>
          <w:rFonts w:ascii="Arial" w:eastAsiaTheme="majorEastAsia" w:hAnsi="Arial" w:cs="Arial"/>
          <w:lang w:eastAsia="en-GB"/>
        </w:rPr>
        <w:t>personalizing</w:t>
      </w:r>
      <w:r w:rsidRPr="00EA33C2">
        <w:rPr>
          <w:rFonts w:ascii="Arial" w:eastAsiaTheme="majorEastAsia" w:hAnsi="Arial" w:cs="Arial"/>
          <w:lang w:eastAsia="en-GB"/>
        </w:rPr>
        <w:t xml:space="preserve"> care, and enhancing mental health services. The Marmot Review (2020) </w:t>
      </w:r>
      <w:r w:rsidR="15948445" w:rsidRPr="00EA33C2">
        <w:rPr>
          <w:rFonts w:ascii="Arial" w:eastAsiaTheme="majorEastAsia" w:hAnsi="Arial" w:cs="Arial"/>
          <w:lang w:eastAsia="en-GB"/>
        </w:rPr>
        <w:t>emphasizes</w:t>
      </w:r>
      <w:r w:rsidRPr="00EA33C2">
        <w:rPr>
          <w:rFonts w:ascii="Arial" w:eastAsiaTheme="majorEastAsia" w:hAnsi="Arial" w:cs="Arial"/>
          <w:lang w:eastAsia="en-GB"/>
        </w:rPr>
        <w:t xml:space="preserve"> tackling social determinants of health, including income, education, and housing, to address structural inequality. The Equality Act 2010 also protects disabled individuals from discrimination and mandates reasonable adjustments across services and workplaces (HM Government, 2010). Together, these initiatives aim to reduce health disparities and promote social inclusion.</w:t>
      </w:r>
    </w:p>
    <w:p w14:paraId="4DA5E7BF" w14:textId="05954CB7" w:rsidR="00DB5AF8" w:rsidRPr="00EA33C2" w:rsidRDefault="0F0F257E" w:rsidP="00D062D0">
      <w:pPr>
        <w:spacing w:before="100" w:beforeAutospacing="1" w:after="0" w:afterAutospacing="1" w:line="360" w:lineRule="auto"/>
        <w:rPr>
          <w:rFonts w:ascii="Arial" w:eastAsiaTheme="majorEastAsia" w:hAnsi="Arial" w:cs="Arial"/>
          <w:b/>
          <w:lang w:eastAsia="en-GB"/>
        </w:rPr>
      </w:pPr>
      <w:r w:rsidRPr="00EA33C2">
        <w:rPr>
          <w:rFonts w:ascii="Arial" w:eastAsiaTheme="majorEastAsia" w:hAnsi="Arial" w:cs="Arial"/>
          <w:b/>
          <w:bCs/>
          <w:lang w:eastAsia="en-GB"/>
        </w:rPr>
        <w:t>Organizations</w:t>
      </w:r>
      <w:r w:rsidR="00DB5AF8" w:rsidRPr="00EA33C2">
        <w:rPr>
          <w:rFonts w:ascii="Arial" w:eastAsiaTheme="majorEastAsia" w:hAnsi="Arial" w:cs="Arial"/>
          <w:b/>
          <w:bCs/>
          <w:lang w:eastAsia="en-GB"/>
        </w:rPr>
        <w:t xml:space="preserve"> Supporting Disability and Health Inequalities</w:t>
      </w:r>
    </w:p>
    <w:p w14:paraId="70B8607A" w14:textId="77777777" w:rsidR="00DB5AF8" w:rsidRPr="00EA33C2" w:rsidRDefault="00DB5AF8" w:rsidP="00D062D0">
      <w:pPr>
        <w:spacing w:before="100" w:beforeAutospacing="1" w:after="100" w:afterAutospacing="1" w:line="360" w:lineRule="auto"/>
        <w:rPr>
          <w:rFonts w:ascii="Arial" w:eastAsiaTheme="majorEastAsia" w:hAnsi="Arial" w:cs="Arial"/>
          <w:lang w:eastAsia="en-GB"/>
        </w:rPr>
      </w:pPr>
      <w:r w:rsidRPr="00EA33C2">
        <w:rPr>
          <w:rFonts w:ascii="Arial" w:eastAsiaTheme="majorEastAsia" w:hAnsi="Arial" w:cs="Arial"/>
          <w:lang w:eastAsia="en-GB"/>
        </w:rPr>
        <w:t>Scope is a leading UK charity that campaigns for disability equality and provides direct support (Scope, 2023). It conducts research to highlight health disparities, influence policy, and raise awareness of social injustice. Scope offers services including employment advice, community programs, and information services, helping disabled individuals achieve independence, improve wellbeing, and reduce poverty-related health risks. By combining advocacy with practical support, Scope addresses both social and health inequalities (Shakespeare et al., 2021).</w:t>
      </w:r>
    </w:p>
    <w:p w14:paraId="7A446FB1" w14:textId="77777777" w:rsidR="00A04F5D" w:rsidRDefault="00A04F5D" w:rsidP="00D062D0">
      <w:pPr>
        <w:spacing w:before="100" w:beforeAutospacing="1" w:after="0" w:afterAutospacing="1" w:line="360" w:lineRule="auto"/>
        <w:rPr>
          <w:rFonts w:ascii="Arial" w:eastAsiaTheme="majorEastAsia" w:hAnsi="Arial" w:cs="Arial"/>
          <w:b/>
          <w:bCs/>
          <w:lang w:eastAsia="en-GB"/>
        </w:rPr>
      </w:pPr>
    </w:p>
    <w:p w14:paraId="46FAD6AB" w14:textId="6DE4B6C4" w:rsidR="008536DD" w:rsidRPr="00EA33C2" w:rsidRDefault="008536DD" w:rsidP="00D062D0">
      <w:pPr>
        <w:spacing w:before="100" w:beforeAutospacing="1" w:after="0" w:afterAutospacing="1" w:line="360" w:lineRule="auto"/>
        <w:rPr>
          <w:rFonts w:ascii="Arial" w:eastAsiaTheme="majorEastAsia" w:hAnsi="Arial" w:cs="Arial"/>
          <w:b/>
          <w:lang w:eastAsia="en-GB"/>
        </w:rPr>
      </w:pPr>
      <w:r w:rsidRPr="00EA33C2">
        <w:rPr>
          <w:rFonts w:ascii="Arial" w:eastAsiaTheme="majorEastAsia" w:hAnsi="Arial" w:cs="Arial"/>
          <w:b/>
          <w:bCs/>
          <w:lang w:eastAsia="en-GB"/>
        </w:rPr>
        <w:lastRenderedPageBreak/>
        <w:t>Conclusion</w:t>
      </w:r>
    </w:p>
    <w:p w14:paraId="6A5A2720" w14:textId="7B557969" w:rsidR="00451FEB" w:rsidRPr="00EA33C2" w:rsidRDefault="00DB5AF8" w:rsidP="00D062D0">
      <w:pPr>
        <w:spacing w:before="100" w:beforeAutospacing="1" w:after="100" w:afterAutospacing="1" w:line="360" w:lineRule="auto"/>
        <w:rPr>
          <w:rFonts w:ascii="Arial" w:eastAsiaTheme="majorEastAsia" w:hAnsi="Arial" w:cs="Arial"/>
          <w:lang w:eastAsia="en-GB"/>
        </w:rPr>
      </w:pPr>
      <w:r w:rsidRPr="00EA33C2">
        <w:rPr>
          <w:rFonts w:ascii="Arial" w:eastAsiaTheme="majorEastAsia" w:hAnsi="Arial" w:cs="Arial"/>
          <w:lang w:eastAsia="en-GB"/>
        </w:rPr>
        <w:t xml:space="preserve">Disabled people in the UK face substantial health inequalities, including higher rates of mental illness, limited healthcare access, increased mortality, poverty, social isolation, and inadequate housing. These disparities are driven by structural barriers, discrimination, and social injustice. National initiatives such as the NHS Long Term Plan, Equality Act 2010, and the Marmot Review have made progress, but further action is needed. </w:t>
      </w:r>
      <w:r w:rsidR="0F0F257E" w:rsidRPr="00EA33C2">
        <w:rPr>
          <w:rFonts w:ascii="Arial" w:eastAsiaTheme="majorEastAsia" w:hAnsi="Arial" w:cs="Arial"/>
          <w:lang w:eastAsia="en-GB"/>
        </w:rPr>
        <w:t>Organizations</w:t>
      </w:r>
      <w:r w:rsidRPr="00EA33C2">
        <w:rPr>
          <w:rFonts w:ascii="Arial" w:eastAsiaTheme="majorEastAsia" w:hAnsi="Arial" w:cs="Arial"/>
          <w:lang w:eastAsia="en-GB"/>
        </w:rPr>
        <w:t xml:space="preserve"> such as Scope play a vital role by providing practical support, raising awareness, and advocating for inclusive policies. Addressing disability-related health inequalities is essential for creating a fair, inclusive, and healthy society.</w:t>
      </w:r>
    </w:p>
    <w:p w14:paraId="3BB54792" w14:textId="743FEF60" w:rsidR="00451FEB" w:rsidRPr="00EA33C2" w:rsidRDefault="00451FEB" w:rsidP="00D062D0">
      <w:pPr>
        <w:spacing w:before="100" w:beforeAutospacing="1" w:after="100" w:afterAutospacing="1" w:line="360" w:lineRule="auto"/>
        <w:outlineLvl w:val="0"/>
        <w:rPr>
          <w:rFonts w:ascii="Arial" w:hAnsi="Arial" w:cs="Arial"/>
          <w:b/>
          <w:bCs/>
          <w:kern w:val="36"/>
          <w:lang w:val="en-001" w:eastAsia="en-GB"/>
        </w:rPr>
      </w:pPr>
      <w:r w:rsidRPr="00EA33C2">
        <w:rPr>
          <w:rFonts w:ascii="Arial" w:eastAsia="Times New Roman" w:hAnsi="Arial" w:cs="Arial"/>
          <w:b/>
          <w:bCs/>
          <w:kern w:val="36"/>
          <w:lang w:val="en-001" w:eastAsia="en-GB"/>
        </w:rPr>
        <w:t>Epidemiological Report: COVID-19 and Health Inequalities Among Disabled Populations in the London Borough of Newham</w:t>
      </w:r>
    </w:p>
    <w:p w14:paraId="543B4281" w14:textId="77777777" w:rsidR="00A04F5D" w:rsidRDefault="00451FEB" w:rsidP="00A04F5D">
      <w:pPr>
        <w:spacing w:before="100" w:beforeAutospacing="1" w:after="100" w:afterAutospacing="1" w:line="360" w:lineRule="auto"/>
        <w:outlineLvl w:val="1"/>
        <w:rPr>
          <w:rFonts w:ascii="Arial" w:eastAsia="Times New Roman" w:hAnsi="Arial" w:cs="Arial"/>
          <w:b/>
          <w:bCs/>
          <w:lang w:val="en-001" w:eastAsia="en-GB"/>
        </w:rPr>
      </w:pPr>
      <w:r w:rsidRPr="00EA33C2">
        <w:rPr>
          <w:rFonts w:ascii="Arial" w:eastAsia="Times New Roman" w:hAnsi="Arial" w:cs="Arial"/>
          <w:b/>
          <w:bCs/>
          <w:lang w:val="en-001" w:eastAsia="en-GB"/>
        </w:rPr>
        <w:t>Introduction</w:t>
      </w:r>
    </w:p>
    <w:p w14:paraId="77C8FEED" w14:textId="6B0C5BEC" w:rsidR="00451FEB" w:rsidRPr="00A04F5D" w:rsidRDefault="00F202E1" w:rsidP="00A04F5D">
      <w:pPr>
        <w:spacing w:before="100" w:beforeAutospacing="1" w:after="100" w:afterAutospacing="1" w:line="360" w:lineRule="auto"/>
        <w:outlineLvl w:val="1"/>
        <w:rPr>
          <w:rFonts w:ascii="Arial" w:eastAsia="Times New Roman" w:hAnsi="Arial" w:cs="Arial"/>
          <w:b/>
          <w:bCs/>
          <w:lang w:val="en-001" w:eastAsia="en-GB"/>
        </w:rPr>
      </w:pPr>
      <w:r>
        <w:rPr>
          <w:rFonts w:ascii="Arial" w:eastAsia="Times New Roman" w:hAnsi="Arial" w:cs="Arial"/>
          <w:lang w:val="en-001" w:eastAsia="en-GB"/>
        </w:rPr>
        <w:t xml:space="preserve">COVID-19 </w:t>
      </w:r>
      <w:r w:rsidR="00451FEB" w:rsidRPr="00EA33C2">
        <w:rPr>
          <w:rFonts w:ascii="Arial" w:hAnsi="Arial" w:cs="Arial"/>
          <w:lang w:val="en-001" w:eastAsia="en-GB"/>
        </w:rPr>
        <w:t>is a highly infectious respiratory disease caused by the SARS-CoV-2 virus, first identified in late 2019 and declared a global pandemic by the World Health Organization (World Health Organization, 2021). The disease presents with a wide range of symptoms, from mild respiratory illness to severe complications such as pneumonia, acute respiratory distress syndrome, and death. In addition, there is increasing recognition of Long COVID, a condition characterised by persistent symptoms including fatigue, breathlessness, and cognitive impairment (NICE, 2022).</w:t>
      </w:r>
    </w:p>
    <w:p w14:paraId="21F63A1A" w14:textId="6A271E1A" w:rsidR="00451FEB" w:rsidRPr="00EA33C2" w:rsidRDefault="00451FEB" w:rsidP="00D062D0">
      <w:pPr>
        <w:spacing w:before="100" w:beforeAutospacing="1" w:after="100" w:afterAutospacing="1" w:line="360" w:lineRule="auto"/>
        <w:rPr>
          <w:rFonts w:ascii="Arial" w:hAnsi="Arial" w:cs="Arial"/>
          <w:lang w:val="en-001" w:eastAsia="en-GB"/>
        </w:rPr>
      </w:pPr>
      <w:r w:rsidRPr="00EA33C2">
        <w:rPr>
          <w:rFonts w:ascii="Arial" w:hAnsi="Arial" w:cs="Arial"/>
          <w:lang w:val="en-001" w:eastAsia="en-GB"/>
        </w:rPr>
        <w:t>The social, cultural, and health consequences of COVID-19 have been extensive. Lockdowns and restrictions disrupted daily life, increased unemployment, and contributed to social isolation, particularly among vulnerable populations (Marmot et al., 2020). From a health perspective, the pandemic placed considerable strain on healthcare systems and exposed pre-existing inequalities. Disabled individuals were disproportionately affected due to barriers in accessing healthcare, reliance on carers, and higher prevalence of underlying conditions (Public Health England, 2020; Office for National Statistics, 2021).</w:t>
      </w:r>
    </w:p>
    <w:p w14:paraId="20DE668C" w14:textId="15D63789" w:rsidR="00451FEB" w:rsidRPr="00EA33C2" w:rsidRDefault="00451FEB" w:rsidP="00D062D0">
      <w:pPr>
        <w:spacing w:before="100" w:beforeAutospacing="1" w:after="100" w:afterAutospacing="1" w:line="360" w:lineRule="auto"/>
        <w:rPr>
          <w:rFonts w:ascii="Arial" w:hAnsi="Arial" w:cs="Arial"/>
          <w:lang w:val="en-001" w:eastAsia="en-GB"/>
        </w:rPr>
      </w:pPr>
      <w:r w:rsidRPr="00EA33C2">
        <w:rPr>
          <w:rFonts w:ascii="Arial" w:hAnsi="Arial" w:cs="Arial"/>
          <w:lang w:val="en-001" w:eastAsia="en-GB"/>
        </w:rPr>
        <w:lastRenderedPageBreak/>
        <w:t xml:space="preserve">Globally, COVID-19 has resulted in over 700 million confirmed cases (WHO, 2023). In the United Kingdom, more than 20 million cases have been recorded (UK Health Security Agency, 2023). The </w:t>
      </w:r>
      <w:r w:rsidR="00737BA7" w:rsidRPr="00737BA7">
        <w:rPr>
          <w:rFonts w:ascii="Arial" w:hAnsi="Arial" w:cs="Arial"/>
          <w:lang w:val="en-001" w:eastAsia="en-GB"/>
        </w:rPr>
        <w:t xml:space="preserve">London Borough of Newham </w:t>
      </w:r>
      <w:r w:rsidRPr="00EA33C2">
        <w:rPr>
          <w:rFonts w:ascii="Arial" w:hAnsi="Arial" w:cs="Arial"/>
          <w:lang w:val="en-001" w:eastAsia="en-GB"/>
        </w:rPr>
        <w:t>experienced particularly high infection and mortality rates, largely due to socioeconomic deprivation, population density, and ethnic diversity (ONS, 2021; Bambra et al., 2020). Epidemiological evidence shows that disabled individuals faced significantly higher mortality risks, with some studies reporting up to three times greater risk compared to non-disabled populations (Bosworth et al., 2021; ONS, 2020). These patterns demonstrate the importance of epidemiological approaches in understanding and addressing the unequal impact of COVID-19.</w:t>
      </w:r>
    </w:p>
    <w:p w14:paraId="0F10BAFD" w14:textId="77777777" w:rsidR="00451FEB" w:rsidRPr="00EA33C2" w:rsidRDefault="00451FEB" w:rsidP="00D062D0">
      <w:pPr>
        <w:spacing w:before="100" w:beforeAutospacing="1" w:after="100" w:afterAutospacing="1" w:line="360" w:lineRule="auto"/>
        <w:outlineLvl w:val="1"/>
        <w:rPr>
          <w:rFonts w:ascii="Arial" w:eastAsia="Times New Roman" w:hAnsi="Arial" w:cs="Arial"/>
          <w:b/>
          <w:bCs/>
          <w:lang w:val="en-001" w:eastAsia="en-GB"/>
        </w:rPr>
      </w:pPr>
      <w:r w:rsidRPr="00EA33C2">
        <w:rPr>
          <w:rFonts w:ascii="Arial" w:eastAsia="Times New Roman" w:hAnsi="Arial" w:cs="Arial"/>
          <w:b/>
          <w:bCs/>
          <w:lang w:val="en-001" w:eastAsia="en-GB"/>
        </w:rPr>
        <w:t>Public Health Measures: Prevention, Protection and Promotion</w:t>
      </w:r>
    </w:p>
    <w:p w14:paraId="1B612CD8" w14:textId="77777777" w:rsidR="00717316" w:rsidRPr="00EA33C2" w:rsidRDefault="00717316" w:rsidP="00D062D0">
      <w:pPr>
        <w:spacing w:after="0" w:line="360" w:lineRule="auto"/>
        <w:rPr>
          <w:rFonts w:ascii="Arial" w:hAnsi="Arial" w:cs="Arial"/>
          <w:lang w:val="en-001" w:eastAsia="en-GB"/>
        </w:rPr>
      </w:pPr>
      <w:r w:rsidRPr="00EA33C2">
        <w:rPr>
          <w:rFonts w:ascii="Arial" w:hAnsi="Arial" w:cs="Arial"/>
          <w:lang w:val="en-001" w:eastAsia="en-GB"/>
        </w:rPr>
        <w:t>Public health responses to COVID-19 were systematically organized around three core principles prevention, protection, and promotion. Prevention strategies specifically targeted the reduction of viral transmission through a multi-faceted approach that included widespread vaccination campaigns, comprehensive testing protocols, and behavioral interventions such as social distancing, mask mandates, and hygiene practices (NHS England, 2021). . The vaccination program, led by the National Health Service, prioritized vulnerable populations, including the elderly, individuals with underlying health conditions, and disabled persons, to maximize protective benefits and reduce severe outcomes. (NHS England, 2021). </w:t>
      </w:r>
    </w:p>
    <w:p w14:paraId="7A021DD3" w14:textId="77777777" w:rsidR="00717316" w:rsidRPr="00EA33C2" w:rsidRDefault="00717316" w:rsidP="00D062D0">
      <w:pPr>
        <w:spacing w:after="0" w:line="360" w:lineRule="auto"/>
        <w:rPr>
          <w:rFonts w:ascii="Arial" w:hAnsi="Arial" w:cs="Arial"/>
          <w:lang w:val="en-001" w:eastAsia="en-GB"/>
        </w:rPr>
      </w:pPr>
      <w:r w:rsidRPr="00EA33C2">
        <w:rPr>
          <w:rFonts w:ascii="Arial" w:hAnsi="Arial" w:cs="Arial"/>
          <w:lang w:val="en-001" w:eastAsia="en-GB"/>
        </w:rPr>
        <w:t>Evidence indicates that vaccines significantly reduced severe illness and mortality, particularly during the spread of variants such as Delta and Omicron, by eliciting robust immune responses that lowered hospitalization rates and prevented numerous deaths. (Lopez Bernal et al., 2021 et Andrews et al., 2022). </w:t>
      </w:r>
    </w:p>
    <w:p w14:paraId="0FE2433F" w14:textId="7CB2567F" w:rsidR="00451FEB" w:rsidRPr="00EA33C2" w:rsidRDefault="00717316" w:rsidP="00D062D0">
      <w:pPr>
        <w:spacing w:after="0" w:line="360" w:lineRule="auto"/>
        <w:rPr>
          <w:rFonts w:ascii="Arial" w:hAnsi="Arial" w:cs="Arial"/>
          <w:lang w:val="en-001" w:eastAsia="en-GB"/>
        </w:rPr>
      </w:pPr>
      <w:r w:rsidRPr="00EA33C2">
        <w:rPr>
          <w:rFonts w:ascii="Arial" w:hAnsi="Arial" w:cs="Arial"/>
          <w:lang w:val="en-001" w:eastAsia="en-GB"/>
        </w:rPr>
        <w:t>However, inequalities in access and uptake persisted, with disabled populations facing barriers such as limited accessibility like physical infrastructure and information gaps and digital exclusion due to lack of adaptive technologies and internet connectivity. (Inclusion London, 2021).</w:t>
      </w:r>
    </w:p>
    <w:p w14:paraId="715C55C4" w14:textId="77777777" w:rsidR="00FD2659" w:rsidRPr="00EA33C2" w:rsidRDefault="00FD2659" w:rsidP="00D062D0">
      <w:pPr>
        <w:spacing w:after="0" w:line="360" w:lineRule="auto"/>
        <w:rPr>
          <w:rFonts w:ascii="Arial" w:hAnsi="Arial" w:cs="Arial"/>
          <w:lang w:val="en-001" w:eastAsia="en-GB"/>
        </w:rPr>
      </w:pPr>
    </w:p>
    <w:p w14:paraId="5B6CC44E" w14:textId="6A734994" w:rsidR="00451FEB" w:rsidRPr="00EA33C2" w:rsidRDefault="00451FEB" w:rsidP="00D062D0">
      <w:pPr>
        <w:spacing w:before="100" w:beforeAutospacing="1" w:after="100" w:afterAutospacing="1" w:line="360" w:lineRule="auto"/>
        <w:rPr>
          <w:rFonts w:ascii="Arial" w:hAnsi="Arial" w:cs="Arial"/>
          <w:lang w:val="en-001" w:eastAsia="en-GB"/>
        </w:rPr>
      </w:pPr>
      <w:r w:rsidRPr="00EA33C2">
        <w:rPr>
          <w:rFonts w:ascii="Arial" w:hAnsi="Arial" w:cs="Arial"/>
          <w:lang w:val="en-001" w:eastAsia="en-GB"/>
        </w:rPr>
        <w:lastRenderedPageBreak/>
        <w:t>Protection strategies aimed to minimise severe outcomes among those infected. Shielding policies were introduced to protect clinically vulnerable individuals by reducing exposure to the virus (Department of Health and Social Care, 2020). In clinical settings, treatments such as dexamethasone improved survival rates among hospitalised patients (RECOVERY Collaborative Group, 2021). Despite these efforts, protection measures also resulted in unintended consequences, including increased social isolation and reduced access to routine healthcare services, particularly for disabled individuals (ONS, 2021).</w:t>
      </w:r>
    </w:p>
    <w:p w14:paraId="6A5401D8" w14:textId="33DC0348" w:rsidR="00451FEB" w:rsidRPr="00EA33C2" w:rsidRDefault="00451FEB" w:rsidP="00D062D0">
      <w:pPr>
        <w:spacing w:before="100" w:beforeAutospacing="1" w:after="100" w:afterAutospacing="1" w:line="360" w:lineRule="auto"/>
        <w:rPr>
          <w:rFonts w:ascii="Arial" w:hAnsi="Arial" w:cs="Arial"/>
          <w:lang w:val="en-001" w:eastAsia="en-GB"/>
        </w:rPr>
      </w:pPr>
      <w:r w:rsidRPr="00EA33C2">
        <w:rPr>
          <w:rFonts w:ascii="Arial" w:hAnsi="Arial" w:cs="Arial"/>
          <w:lang w:val="en-001" w:eastAsia="en-GB"/>
        </w:rPr>
        <w:t>Health promotion involved raising awareness and encouraging adherence to public health guidance. Campaigns focused on hygiene practices, mask-wearing, and vaccination. In areas such as Newham, culturally appropriate communication strategies were essential to engage diverse communities (Marmot et al., 2020). For disabled individuals, accessible information formats were necessary to ensure equitable access, although gaps remained (Scope, 2021).</w:t>
      </w:r>
    </w:p>
    <w:p w14:paraId="71DAFA1C" w14:textId="5DD0E58F" w:rsidR="00451FEB" w:rsidRPr="00EA33C2" w:rsidRDefault="00451FEB" w:rsidP="00D062D0">
      <w:pPr>
        <w:spacing w:before="100" w:beforeAutospacing="1" w:after="100" w:afterAutospacing="1" w:line="360" w:lineRule="auto"/>
        <w:outlineLvl w:val="1"/>
        <w:rPr>
          <w:rFonts w:ascii="Arial" w:eastAsia="Times New Roman" w:hAnsi="Arial" w:cs="Arial"/>
          <w:b/>
          <w:bCs/>
          <w:lang w:val="en-001" w:eastAsia="en-GB"/>
        </w:rPr>
      </w:pPr>
      <w:r w:rsidRPr="00EA33C2">
        <w:rPr>
          <w:rFonts w:ascii="Arial" w:eastAsia="Times New Roman" w:hAnsi="Arial" w:cs="Arial"/>
          <w:b/>
          <w:bCs/>
          <w:lang w:val="en-001" w:eastAsia="en-GB"/>
        </w:rPr>
        <w:t>Determinants and Risk Factors</w:t>
      </w:r>
    </w:p>
    <w:p w14:paraId="643E08B2" w14:textId="4166C8B0" w:rsidR="00123E87" w:rsidRPr="00EA33C2" w:rsidRDefault="00123E87" w:rsidP="00D062D0">
      <w:pPr>
        <w:spacing w:after="0" w:line="360" w:lineRule="auto"/>
        <w:rPr>
          <w:rFonts w:ascii="Arial" w:hAnsi="Arial" w:cs="Arial"/>
          <w:lang w:val="en-001" w:eastAsia="en-GB"/>
        </w:rPr>
      </w:pPr>
      <w:r w:rsidRPr="00EA33C2">
        <w:rPr>
          <w:rFonts w:ascii="Arial" w:hAnsi="Arial" w:cs="Arial"/>
          <w:lang w:val="en-001" w:eastAsia="en-GB"/>
        </w:rPr>
        <w:t>The epidemiology of COVID-19 is influenced by a diverse set of determinants, including biological, environmental, and social factors. Biological factors such as advanced age particularly individuals over 65 and pre-existing health conditions like cardiovascular disease, diabetes, and respiratory illnesses significantly increase the risk of developing severe symptoms and mortalit</w:t>
      </w:r>
      <w:r w:rsidR="00AF384D" w:rsidRPr="00EA33C2">
        <w:rPr>
          <w:rFonts w:ascii="Arial" w:hAnsi="Arial" w:cs="Arial"/>
          <w:lang w:val="en-001" w:eastAsia="en-GB"/>
        </w:rPr>
        <w:t xml:space="preserve">y </w:t>
      </w:r>
      <w:r w:rsidRPr="00EA33C2">
        <w:rPr>
          <w:rFonts w:ascii="Arial" w:hAnsi="Arial" w:cs="Arial"/>
          <w:lang w:val="en-001" w:eastAsia="en-GB"/>
        </w:rPr>
        <w:t>(Williamson et al., 2020). Socioeconomic factors, such as annual household income, occupational stability and type, and educational attainment levels, significantly influence individuals' exposure to health risks and their subsequent health outcomes(Bambra et al., 2020).Environmental conditions such as overcrowded housing, high urban density, and limited access to sanitation facilities facilitate the transmission of infectious diseases, particularly in deprived areas characterized by inadequate healthcare infrastructure and socio-economic challenges</w:t>
      </w:r>
      <w:r w:rsidR="00AF384D" w:rsidRPr="00EA33C2">
        <w:rPr>
          <w:rFonts w:ascii="Arial" w:hAnsi="Arial" w:cs="Arial"/>
          <w:lang w:val="en-001" w:eastAsia="en-GB"/>
        </w:rPr>
        <w:t xml:space="preserve"> </w:t>
      </w:r>
      <w:r w:rsidRPr="00EA33C2">
        <w:rPr>
          <w:rFonts w:ascii="Arial" w:hAnsi="Arial" w:cs="Arial"/>
          <w:lang w:val="en-001" w:eastAsia="en-GB"/>
        </w:rPr>
        <w:t>(ONS, 2021).</w:t>
      </w:r>
    </w:p>
    <w:p w14:paraId="0A15C68B" w14:textId="5282E01F" w:rsidR="00123E87" w:rsidRPr="00737BA7" w:rsidRDefault="00123E87" w:rsidP="00737BA7">
      <w:pPr>
        <w:spacing w:after="0" w:line="360" w:lineRule="auto"/>
        <w:rPr>
          <w:rFonts w:ascii="Arial" w:hAnsi="Arial" w:cs="Arial"/>
          <w:lang w:val="en-001" w:eastAsia="en-GB"/>
        </w:rPr>
      </w:pPr>
      <w:r w:rsidRPr="00EA33C2">
        <w:rPr>
          <w:rFonts w:ascii="Arial" w:hAnsi="Arial" w:cs="Arial"/>
          <w:lang w:val="en-001" w:eastAsia="en-GB"/>
        </w:rPr>
        <w:t xml:space="preserve">Disability-related factors further increase vulnerability. Many disabled individuals rely on close-contact care, which increases exposure risk. Reduced mobility and barriers to </w:t>
      </w:r>
      <w:r w:rsidRPr="00EA33C2">
        <w:rPr>
          <w:rFonts w:ascii="Arial" w:hAnsi="Arial" w:cs="Arial"/>
          <w:lang w:val="en-001" w:eastAsia="en-GB"/>
        </w:rPr>
        <w:lastRenderedPageBreak/>
        <w:t>accessing healthcare services also contribute to poorer outcomes (Public Health England, 2020). In Newham, the interaction of these determinants has resulted in disproportionately high infection and mortality rates among vulnerable populations.</w:t>
      </w:r>
    </w:p>
    <w:p w14:paraId="1359AA63" w14:textId="1E003C4B" w:rsidR="00451FEB" w:rsidRPr="00EA33C2" w:rsidRDefault="00451FEB" w:rsidP="00D062D0">
      <w:pPr>
        <w:spacing w:before="100" w:beforeAutospacing="1" w:after="100" w:afterAutospacing="1" w:line="360" w:lineRule="auto"/>
        <w:outlineLvl w:val="1"/>
        <w:rPr>
          <w:rFonts w:ascii="Arial" w:eastAsia="Times New Roman" w:hAnsi="Arial" w:cs="Arial"/>
          <w:b/>
          <w:bCs/>
          <w:lang w:val="en-001" w:eastAsia="en-GB"/>
        </w:rPr>
      </w:pPr>
      <w:r w:rsidRPr="00EA33C2">
        <w:rPr>
          <w:rFonts w:ascii="Arial" w:eastAsia="Times New Roman" w:hAnsi="Arial" w:cs="Arial"/>
          <w:b/>
          <w:bCs/>
          <w:lang w:val="en-001" w:eastAsia="en-GB"/>
        </w:rPr>
        <w:t>Health Needs Assessment and At-Risk Populations</w:t>
      </w:r>
    </w:p>
    <w:p w14:paraId="46796769" w14:textId="22ACE2AC" w:rsidR="00451FEB" w:rsidRPr="00EA33C2" w:rsidRDefault="002128B4" w:rsidP="00D062D0">
      <w:pPr>
        <w:spacing w:before="100" w:beforeAutospacing="1" w:after="100" w:afterAutospacing="1" w:line="360" w:lineRule="auto"/>
        <w:rPr>
          <w:rFonts w:ascii="Arial" w:hAnsi="Arial" w:cs="Arial"/>
          <w:lang w:val="en-001" w:eastAsia="en-GB"/>
        </w:rPr>
      </w:pPr>
      <w:r w:rsidRPr="00EA33C2">
        <w:rPr>
          <w:rFonts w:ascii="Arial" w:hAnsi="Arial" w:cs="Arial"/>
          <w:lang w:val="en-001" w:eastAsia="en-GB"/>
        </w:rPr>
        <w:t xml:space="preserve">Health needs assessment is a systematic approach used to identify populations at increased risk of health issues and to determine the most appropriate interventions to address these needs. In the borough of Newham, epidemiological data from local health authorities indicate that disabled individuals, ethnic minority groups, and low-income households are disproportionately affected by COVID-19, experiencing higher infection rates and worse health outcomes. Studies further show that disabled individuals are more likely to experience infection and adverse outcomes due to structural inequalities, such as physical barriers and limited access to healthcare services, which hinder their ability to seek timely treatment and support. </w:t>
      </w:r>
      <w:r w:rsidR="00451FEB" w:rsidRPr="00EA33C2">
        <w:rPr>
          <w:rFonts w:ascii="Arial" w:hAnsi="Arial" w:cs="Arial"/>
          <w:lang w:val="en-001" w:eastAsia="en-GB"/>
        </w:rPr>
        <w:t>(Bosworth et al., 2021).</w:t>
      </w:r>
    </w:p>
    <w:p w14:paraId="00DEE2EE" w14:textId="1EA8AACB" w:rsidR="00451FEB" w:rsidRPr="00EA33C2" w:rsidRDefault="00451FEB" w:rsidP="00D062D0">
      <w:pPr>
        <w:spacing w:before="100" w:beforeAutospacing="1" w:after="100" w:afterAutospacing="1" w:line="360" w:lineRule="auto"/>
        <w:rPr>
          <w:rFonts w:ascii="Arial" w:hAnsi="Arial" w:cs="Arial"/>
          <w:lang w:val="en-001" w:eastAsia="en-GB"/>
        </w:rPr>
      </w:pPr>
      <w:r w:rsidRPr="00EA33C2">
        <w:rPr>
          <w:rFonts w:ascii="Arial" w:hAnsi="Arial" w:cs="Arial"/>
          <w:lang w:val="en-001" w:eastAsia="en-GB"/>
        </w:rPr>
        <w:t>Barriers identified include digital exclusion, physical inaccessibility of healthcare facilities, and communication challenges (Watts, 2020</w:t>
      </w:r>
      <w:r w:rsidR="00D96961" w:rsidRPr="00EA33C2">
        <w:rPr>
          <w:rFonts w:ascii="Arial" w:hAnsi="Arial" w:cs="Arial"/>
          <w:lang w:val="en-001" w:eastAsia="en-GB"/>
        </w:rPr>
        <w:t>).</w:t>
      </w:r>
      <w:r w:rsidRPr="00EA33C2">
        <w:rPr>
          <w:rFonts w:ascii="Arial" w:hAnsi="Arial" w:cs="Arial"/>
          <w:lang w:val="en-001" w:eastAsia="en-GB"/>
        </w:rPr>
        <w:t xml:space="preserve"> </w:t>
      </w:r>
      <w:r w:rsidR="0067486B" w:rsidRPr="00EA33C2">
        <w:rPr>
          <w:rFonts w:ascii="Arial" w:hAnsi="Arial" w:cs="Arial"/>
          <w:lang w:val="en-001" w:eastAsia="en-GB"/>
        </w:rPr>
        <w:t>These barriers, which may include limited access to healthcare facilities, lack of transportation, language differences, and economic constraints, reduce engagement with testing, vaccination, and treatment services. Consequently, targeted interventions such as mobile clinics, multilingual community outreach, and financial support programs are necessary to address these inequalities and improve health outcomes</w:t>
      </w:r>
      <w:r w:rsidR="00D96961" w:rsidRPr="00EA33C2">
        <w:rPr>
          <w:rFonts w:ascii="Arial" w:hAnsi="Arial" w:cs="Arial"/>
          <w:lang w:val="en-001" w:eastAsia="en-GB"/>
        </w:rPr>
        <w:t xml:space="preserve"> (</w:t>
      </w:r>
      <w:r w:rsidR="0067486B" w:rsidRPr="00EA33C2">
        <w:rPr>
          <w:rFonts w:ascii="Arial" w:hAnsi="Arial" w:cs="Arial"/>
          <w:lang w:val="en-001" w:eastAsia="en-GB"/>
        </w:rPr>
        <w:t>NHS Digital, 2021).</w:t>
      </w:r>
      <w:r w:rsidR="0067486B" w:rsidRPr="00EA33C2">
        <w:rPr>
          <w:rFonts w:ascii="Arial" w:hAnsi="Arial" w:cs="Arial"/>
          <w:lang w:val="en-001" w:eastAsia="en-GB"/>
        </w:rPr>
        <w:t>.</w:t>
      </w:r>
    </w:p>
    <w:p w14:paraId="0591EB09" w14:textId="075700FB" w:rsidR="00451FEB" w:rsidRPr="00EA33C2" w:rsidRDefault="00451FEB" w:rsidP="00D062D0">
      <w:pPr>
        <w:spacing w:before="100" w:beforeAutospacing="1" w:after="100" w:afterAutospacing="1" w:line="360" w:lineRule="auto"/>
        <w:outlineLvl w:val="1"/>
        <w:rPr>
          <w:rFonts w:ascii="Arial" w:eastAsia="Times New Roman" w:hAnsi="Arial" w:cs="Arial"/>
          <w:b/>
          <w:bCs/>
          <w:lang w:val="en-001" w:eastAsia="en-GB"/>
        </w:rPr>
      </w:pPr>
      <w:r w:rsidRPr="00EA33C2">
        <w:rPr>
          <w:rFonts w:ascii="Arial" w:eastAsia="Times New Roman" w:hAnsi="Arial" w:cs="Arial"/>
          <w:b/>
          <w:bCs/>
          <w:lang w:val="en-001" w:eastAsia="en-GB"/>
        </w:rPr>
        <w:t>Surveillance and Monitoring</w:t>
      </w:r>
    </w:p>
    <w:p w14:paraId="722C5F5F" w14:textId="2922F8F1" w:rsidR="00451FEB" w:rsidRPr="00EA33C2" w:rsidRDefault="00451FEB" w:rsidP="00D062D0">
      <w:pPr>
        <w:spacing w:before="100" w:beforeAutospacing="1" w:after="100" w:afterAutospacing="1" w:line="360" w:lineRule="auto"/>
        <w:rPr>
          <w:rFonts w:ascii="Arial" w:hAnsi="Arial" w:cs="Arial"/>
          <w:lang w:val="en-001" w:eastAsia="en-GB"/>
        </w:rPr>
      </w:pPr>
      <w:r w:rsidRPr="00EA33C2">
        <w:rPr>
          <w:rFonts w:ascii="Arial" w:hAnsi="Arial" w:cs="Arial"/>
          <w:lang w:val="en-001" w:eastAsia="en-GB"/>
        </w:rPr>
        <w:t xml:space="preserve">Surveillance systems play a critical role in monitoring the spread and impact of COVID-19. In the UK, </w:t>
      </w:r>
      <w:r w:rsidR="006C3E8C" w:rsidRPr="00EA33C2">
        <w:rPr>
          <w:rFonts w:ascii="Arial" w:hAnsi="Arial" w:cs="Arial"/>
          <w:lang w:val="en-001" w:eastAsia="en-GB"/>
        </w:rPr>
        <w:t>Data were collected through various sources, including national testing programmes like NHS Test and Trace, which facilitated case identification and isolation. Hospital records provided clinical and demographic information, while mortality statistics from the Office for National Statistics offered detailed insights into death rates and patterns across different regions and age groups.</w:t>
      </w:r>
      <w:r w:rsidRPr="00EA33C2">
        <w:rPr>
          <w:rFonts w:ascii="Arial" w:hAnsi="Arial" w:cs="Arial"/>
          <w:lang w:val="en-001" w:eastAsia="en-GB"/>
        </w:rPr>
        <w:t xml:space="preserve"> (ONS, 2021; DHSC, 2020).</w:t>
      </w:r>
    </w:p>
    <w:p w14:paraId="44EEF83F" w14:textId="081FC3D3" w:rsidR="00451FEB" w:rsidRPr="00EA33C2" w:rsidRDefault="00451FEB" w:rsidP="00D062D0">
      <w:pPr>
        <w:spacing w:before="100" w:beforeAutospacing="1" w:after="100" w:afterAutospacing="1" w:line="360" w:lineRule="auto"/>
        <w:rPr>
          <w:rFonts w:ascii="Arial" w:hAnsi="Arial" w:cs="Arial"/>
          <w:lang w:val="en-001" w:eastAsia="en-GB"/>
        </w:rPr>
      </w:pPr>
      <w:r w:rsidRPr="00EA33C2">
        <w:rPr>
          <w:rFonts w:ascii="Arial" w:hAnsi="Arial" w:cs="Arial"/>
          <w:lang w:val="en-001" w:eastAsia="en-GB"/>
        </w:rPr>
        <w:lastRenderedPageBreak/>
        <w:t>Different types of surveillance were used, including passive reporting, active case finding, and syndromic surveillance. These approaches allowed for real-time monitoring of infection trends and informed public health decision-making. However, limitations in data collection, particularly regarding disability status, restricted the ability to fully understand health inequalities (Public Health England, 2020).</w:t>
      </w:r>
    </w:p>
    <w:p w14:paraId="57A297F9" w14:textId="15B7E92D" w:rsidR="00451FEB" w:rsidRPr="00EA33C2" w:rsidRDefault="00451FEB" w:rsidP="00D062D0">
      <w:pPr>
        <w:spacing w:before="100" w:beforeAutospacing="1" w:after="100" w:afterAutospacing="1" w:line="360" w:lineRule="auto"/>
        <w:outlineLvl w:val="1"/>
        <w:rPr>
          <w:rFonts w:ascii="Arial" w:eastAsia="Times New Roman" w:hAnsi="Arial" w:cs="Arial"/>
          <w:b/>
          <w:bCs/>
          <w:lang w:val="en-001" w:eastAsia="en-GB"/>
        </w:rPr>
      </w:pPr>
      <w:r w:rsidRPr="00EA33C2">
        <w:rPr>
          <w:rFonts w:ascii="Arial" w:eastAsia="Times New Roman" w:hAnsi="Arial" w:cs="Arial"/>
          <w:b/>
          <w:bCs/>
          <w:lang w:val="en-001" w:eastAsia="en-GB"/>
        </w:rPr>
        <w:t>Public Health Impact Assessment</w:t>
      </w:r>
    </w:p>
    <w:p w14:paraId="6F972771" w14:textId="31CBEC5A" w:rsidR="00451FEB" w:rsidRPr="00EA33C2" w:rsidRDefault="00451FEB" w:rsidP="00D062D0">
      <w:pPr>
        <w:spacing w:before="100" w:beforeAutospacing="1" w:after="100" w:afterAutospacing="1" w:line="360" w:lineRule="auto"/>
        <w:rPr>
          <w:rFonts w:ascii="Arial" w:hAnsi="Arial" w:cs="Arial"/>
          <w:lang w:val="en-001" w:eastAsia="en-GB"/>
        </w:rPr>
      </w:pPr>
      <w:r w:rsidRPr="00EA33C2">
        <w:rPr>
          <w:rFonts w:ascii="Arial" w:hAnsi="Arial" w:cs="Arial"/>
          <w:lang w:val="en-001" w:eastAsia="en-GB"/>
        </w:rPr>
        <w:t>Epidemiological methods are essential for assessing the impact of COVID-19. Indicators such as incidence, prevalence, and mortality rates provide measures of disease burden (Gordis, 2020). In the short term, the pandemic led to increased hospital admissions and significant strain on healthcare systems. In the long term, the emergence of Long COVID and delays in routine care have had lasting consequences (NICE, 2022).</w:t>
      </w:r>
    </w:p>
    <w:p w14:paraId="34A6E443" w14:textId="4FB97071" w:rsidR="00451FEB" w:rsidRPr="00EA33C2" w:rsidRDefault="00451FEB" w:rsidP="00D062D0">
      <w:pPr>
        <w:spacing w:before="100" w:beforeAutospacing="1" w:after="100" w:afterAutospacing="1" w:line="360" w:lineRule="auto"/>
        <w:rPr>
          <w:rFonts w:ascii="Arial" w:hAnsi="Arial" w:cs="Arial"/>
          <w:lang w:val="en-001" w:eastAsia="en-GB"/>
        </w:rPr>
      </w:pPr>
      <w:r w:rsidRPr="00EA33C2">
        <w:rPr>
          <w:rFonts w:ascii="Arial" w:hAnsi="Arial" w:cs="Arial"/>
          <w:lang w:val="en-001" w:eastAsia="en-GB"/>
        </w:rPr>
        <w:t>In Newham, the impact of COVID-19 has been particularly severe due to pre-existing inequalities. Vulnerable populations, including disabled individuals, experienced higher rates of morbidity and mortality, highlighting the need for targeted public health interventions (Marmot et al., 2020).</w:t>
      </w:r>
    </w:p>
    <w:p w14:paraId="7E7D5234" w14:textId="0083FBF9" w:rsidR="00451FEB" w:rsidRPr="00EA33C2" w:rsidRDefault="00451FEB" w:rsidP="00D062D0">
      <w:pPr>
        <w:spacing w:before="100" w:beforeAutospacing="1" w:after="100" w:afterAutospacing="1" w:line="360" w:lineRule="auto"/>
        <w:outlineLvl w:val="1"/>
        <w:rPr>
          <w:rFonts w:ascii="Arial" w:eastAsia="Times New Roman" w:hAnsi="Arial" w:cs="Arial"/>
          <w:b/>
          <w:bCs/>
          <w:lang w:val="en-001" w:eastAsia="en-GB"/>
        </w:rPr>
      </w:pPr>
      <w:r w:rsidRPr="00EA33C2">
        <w:rPr>
          <w:rFonts w:ascii="Arial" w:eastAsia="Times New Roman" w:hAnsi="Arial" w:cs="Arial"/>
          <w:b/>
          <w:bCs/>
          <w:lang w:val="en-001" w:eastAsia="en-GB"/>
        </w:rPr>
        <w:t>Intervention Programme and Evaluation</w:t>
      </w:r>
    </w:p>
    <w:p w14:paraId="0A3707E0" w14:textId="4BE43B24" w:rsidR="00451FEB" w:rsidRPr="00EA33C2" w:rsidRDefault="00886D4C" w:rsidP="00D062D0">
      <w:pPr>
        <w:spacing w:before="100" w:beforeAutospacing="1" w:after="100" w:afterAutospacing="1" w:line="360" w:lineRule="auto"/>
        <w:rPr>
          <w:rFonts w:ascii="Arial" w:hAnsi="Arial" w:cs="Arial"/>
          <w:lang w:val="en-001" w:eastAsia="en-GB"/>
        </w:rPr>
      </w:pPr>
      <w:r w:rsidRPr="00EA33C2">
        <w:rPr>
          <w:rFonts w:ascii="Arial" w:hAnsi="Arial" w:cs="Arial"/>
          <w:lang w:val="en-001" w:eastAsia="en-GB"/>
        </w:rPr>
        <w:t xml:space="preserve">The design of intervention programmes is crucial for effectively managing complex public health issues. In Newham, successful strategies include targeted vaccination campaigns aimed at vulnerable populations, easily accessible testing clinics situated in community centers and local pharmacies, and the integration of health and social care services to ensure comprehensive support. Community engagement plays a vital role in overcoming barriers faced by disabled individuals, such as physical accessibility challenges and communication gaps, thereby improving overall health outcomes </w:t>
      </w:r>
      <w:r w:rsidRPr="00EA33C2">
        <w:rPr>
          <w:rFonts w:ascii="Arial" w:hAnsi="Arial" w:cs="Arial"/>
          <w:lang w:val="en-001" w:eastAsia="en-GB"/>
        </w:rPr>
        <w:t>Bambra et al., 2020)</w:t>
      </w:r>
      <w:r w:rsidRPr="00EA33C2">
        <w:rPr>
          <w:rFonts w:ascii="Arial" w:hAnsi="Arial" w:cs="Arial"/>
          <w:lang w:val="en-001" w:eastAsia="en-GB"/>
        </w:rPr>
        <w:t>.</w:t>
      </w:r>
    </w:p>
    <w:p w14:paraId="37A48DAB" w14:textId="4EC69D46" w:rsidR="00451FEB" w:rsidRPr="00EA33C2" w:rsidRDefault="00451FEB" w:rsidP="00D062D0">
      <w:pPr>
        <w:spacing w:before="100" w:beforeAutospacing="1" w:after="100" w:afterAutospacing="1" w:line="360" w:lineRule="auto"/>
        <w:rPr>
          <w:rFonts w:ascii="Arial" w:hAnsi="Arial" w:cs="Arial"/>
          <w:lang w:val="en-001" w:eastAsia="en-GB"/>
        </w:rPr>
      </w:pPr>
      <w:r w:rsidRPr="00EA33C2">
        <w:rPr>
          <w:rFonts w:ascii="Arial" w:hAnsi="Arial" w:cs="Arial"/>
          <w:lang w:val="en-001" w:eastAsia="en-GB"/>
        </w:rPr>
        <w:t xml:space="preserve">Digital inclusion initiatives can improve access to healthcare services, particularly through telehealth. The effectiveness of these interventions can be evaluated using </w:t>
      </w:r>
      <w:r w:rsidRPr="00EA33C2">
        <w:rPr>
          <w:rFonts w:ascii="Arial" w:hAnsi="Arial" w:cs="Arial"/>
          <w:lang w:val="en-001" w:eastAsia="en-GB"/>
        </w:rPr>
        <w:lastRenderedPageBreak/>
        <w:t>indicators such as vaccination uptake, infection rates, and hospital admissions. Evidence suggests that targeted interventions can reduce health inequalities and improve outcomes (Bambra et al., 2020).</w:t>
      </w:r>
    </w:p>
    <w:p w14:paraId="0E5ECE2E" w14:textId="08A9E7C8" w:rsidR="00451FEB" w:rsidRPr="00EA33C2" w:rsidRDefault="00451FEB" w:rsidP="00D062D0">
      <w:pPr>
        <w:spacing w:before="100" w:beforeAutospacing="1" w:after="100" w:afterAutospacing="1" w:line="360" w:lineRule="auto"/>
        <w:outlineLvl w:val="1"/>
        <w:rPr>
          <w:rFonts w:ascii="Arial" w:eastAsia="Times New Roman" w:hAnsi="Arial" w:cs="Arial"/>
          <w:b/>
          <w:bCs/>
          <w:lang w:val="en-001" w:eastAsia="en-GB"/>
        </w:rPr>
      </w:pPr>
      <w:r w:rsidRPr="00EA33C2">
        <w:rPr>
          <w:rFonts w:ascii="Arial" w:eastAsia="Times New Roman" w:hAnsi="Arial" w:cs="Arial"/>
          <w:b/>
          <w:bCs/>
          <w:lang w:val="en-001" w:eastAsia="en-GB"/>
        </w:rPr>
        <w:t>Strengths and Limitations of Epidemiological Approaches</w:t>
      </w:r>
    </w:p>
    <w:p w14:paraId="52143B70" w14:textId="5697C630" w:rsidR="00451FEB" w:rsidRPr="00EA33C2" w:rsidRDefault="00451FEB" w:rsidP="00D062D0">
      <w:pPr>
        <w:spacing w:before="100" w:beforeAutospacing="1" w:after="100" w:afterAutospacing="1" w:line="360" w:lineRule="auto"/>
        <w:rPr>
          <w:rFonts w:ascii="Arial" w:hAnsi="Arial" w:cs="Arial"/>
          <w:lang w:val="en-001" w:eastAsia="en-GB"/>
        </w:rPr>
      </w:pPr>
      <w:r w:rsidRPr="00EA33C2">
        <w:rPr>
          <w:rFonts w:ascii="Arial" w:hAnsi="Arial" w:cs="Arial"/>
          <w:lang w:val="en-001" w:eastAsia="en-GB"/>
        </w:rPr>
        <w:t>Epidemiological approaches provide valuable insights into disease patterns and risk factors, supporting evidence-based decision-making. They enable the identification of vulnerable populations and the evaluation of interventions. However, limitations include data gaps, particularly regarding disability status, and potential biases in observational studies (Public Health England, 2020).</w:t>
      </w:r>
    </w:p>
    <w:p w14:paraId="40EF3EE3" w14:textId="62661F23" w:rsidR="00451FEB" w:rsidRPr="00EA33C2" w:rsidRDefault="00451FEB" w:rsidP="00D062D0">
      <w:pPr>
        <w:spacing w:before="100" w:beforeAutospacing="1" w:after="100" w:afterAutospacing="1" w:line="360" w:lineRule="auto"/>
        <w:rPr>
          <w:rFonts w:ascii="Arial" w:hAnsi="Arial" w:cs="Arial"/>
          <w:lang w:val="en-001" w:eastAsia="en-GB"/>
        </w:rPr>
      </w:pPr>
      <w:r w:rsidRPr="00EA33C2">
        <w:rPr>
          <w:rFonts w:ascii="Arial" w:hAnsi="Arial" w:cs="Arial"/>
          <w:lang w:val="en-001" w:eastAsia="en-GB"/>
        </w:rPr>
        <w:t>The rapidly evolving nature of the pandemic also posed challenges, as evidence and guidance changed frequently. These limitations highlight the importance of using multiple data sources and adopting a cautious approach to interpretation.</w:t>
      </w:r>
    </w:p>
    <w:p w14:paraId="50548320" w14:textId="2E1850EA" w:rsidR="00451FEB" w:rsidRPr="00EA33C2" w:rsidRDefault="00451FEB" w:rsidP="00D062D0">
      <w:pPr>
        <w:spacing w:before="100" w:beforeAutospacing="1" w:after="100" w:afterAutospacing="1" w:line="360" w:lineRule="auto"/>
        <w:outlineLvl w:val="1"/>
        <w:rPr>
          <w:rFonts w:ascii="Arial" w:eastAsia="Times New Roman" w:hAnsi="Arial" w:cs="Arial"/>
          <w:b/>
          <w:bCs/>
          <w:lang w:val="en-001" w:eastAsia="en-GB"/>
        </w:rPr>
      </w:pPr>
      <w:r w:rsidRPr="00EA33C2">
        <w:rPr>
          <w:rFonts w:ascii="Arial" w:eastAsia="Times New Roman" w:hAnsi="Arial" w:cs="Arial"/>
          <w:b/>
          <w:bCs/>
          <w:lang w:val="en-001" w:eastAsia="en-GB"/>
        </w:rPr>
        <w:t>Conclusion</w:t>
      </w:r>
    </w:p>
    <w:p w14:paraId="55374827" w14:textId="56D9E46C" w:rsidR="00451FEB" w:rsidRPr="00EA33C2" w:rsidRDefault="00F35F4D" w:rsidP="00D062D0">
      <w:pPr>
        <w:spacing w:before="100" w:beforeAutospacing="1" w:after="100" w:afterAutospacing="1" w:line="360" w:lineRule="auto"/>
        <w:rPr>
          <w:rFonts w:ascii="Arial" w:hAnsi="Arial" w:cs="Arial"/>
          <w:lang w:val="en-001" w:eastAsia="en-GB"/>
        </w:rPr>
      </w:pPr>
      <w:r w:rsidRPr="00EA33C2">
        <w:rPr>
          <w:rFonts w:ascii="Arial" w:hAnsi="Arial" w:cs="Arial"/>
          <w:lang w:val="en-001" w:eastAsia="en-GB"/>
        </w:rPr>
        <w:t>In conclusion, COVID-19 has exerted a significant influence on public health outcomes, especially among disabled populations residing in the London Borough of Newham. Epidemiological studies have been crucial in mapping the distribution of infection rates, identifying specific risk factors such as mobility challenges and underlying health conditions, and assessing the effectiveness of targeted interventions. Nevertheless, ongoing inequalities related to socioeconomic status, language barriers, and limited access to healthcare, coupled with gaps in data collection such as underreporting in marginalized groups have hindered the full implementation of these strategies. Moving forward, public health initiatives must emphasize equity by ensuring accessible testing and vaccination services, and invest in comprehensive data collection systems. These steps are vital to protect vulnerable populations effectively during future health emergencies.</w:t>
      </w:r>
    </w:p>
    <w:p w14:paraId="33A2EF83" w14:textId="77777777" w:rsidR="00D47890" w:rsidRPr="00EA33C2" w:rsidRDefault="00D47890" w:rsidP="00D062D0">
      <w:pPr>
        <w:spacing w:before="100" w:beforeAutospacing="1" w:after="100" w:afterAutospacing="1" w:line="360" w:lineRule="auto"/>
        <w:rPr>
          <w:rFonts w:ascii="Arial" w:eastAsiaTheme="majorEastAsia" w:hAnsi="Arial" w:cs="Arial"/>
          <w:lang w:eastAsia="en-GB"/>
        </w:rPr>
      </w:pPr>
    </w:p>
    <w:p w14:paraId="6DFD0119" w14:textId="1A5671CB" w:rsidR="00D47890" w:rsidRDefault="001B4039" w:rsidP="00D062D0">
      <w:pPr>
        <w:spacing w:before="100" w:beforeAutospacing="1" w:after="100" w:afterAutospacing="1" w:line="360" w:lineRule="auto"/>
        <w:rPr>
          <w:rFonts w:ascii="Arial" w:eastAsiaTheme="majorEastAsia" w:hAnsi="Arial" w:cs="Arial"/>
          <w:lang w:eastAsia="en-GB"/>
        </w:rPr>
      </w:pPr>
      <w:r>
        <w:rPr>
          <w:rFonts w:ascii="Arial" w:eastAsiaTheme="majorEastAsia" w:hAnsi="Arial" w:cs="Arial"/>
          <w:lang w:eastAsia="en-GB"/>
        </w:rPr>
        <w:lastRenderedPageBreak/>
        <w:t xml:space="preserve">Reference </w:t>
      </w:r>
    </w:p>
    <w:p w14:paraId="70A95FDA"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Andrews, N. et al. (2022) </w:t>
      </w:r>
      <w:r w:rsidRPr="00CE75E7">
        <w:rPr>
          <w:rFonts w:ascii="UICTFontTextStyleItalicBody" w:hAnsi="UICTFontTextStyleItalicBody" w:cs="Times New Roman"/>
          <w:i/>
          <w:iCs/>
          <w:sz w:val="26"/>
          <w:szCs w:val="26"/>
          <w:lang w:val="en-001" w:eastAsia="en-GB"/>
        </w:rPr>
        <w:t>Covid-19 vaccine effectiveness against Omicron</w:t>
      </w:r>
      <w:r w:rsidRPr="00CE75E7">
        <w:rPr>
          <w:rFonts w:ascii="UICTFontTextStyleBody" w:hAnsi="UICTFontTextStyleBody" w:cs="Times New Roman"/>
          <w:sz w:val="26"/>
          <w:szCs w:val="26"/>
          <w:lang w:val="en-001" w:eastAsia="en-GB"/>
        </w:rPr>
        <w:t>. Available at: https://doi.org/10.1056/NEJMoa2119451 (Accessed: 22/03/2026).</w:t>
      </w:r>
    </w:p>
    <w:p w14:paraId="2CCF2568"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21DAE053"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Bambra, C. et al. (2020) </w:t>
      </w:r>
      <w:r w:rsidRPr="00CE75E7">
        <w:rPr>
          <w:rFonts w:ascii="UICTFontTextStyleItalicBody" w:hAnsi="UICTFontTextStyleItalicBody" w:cs="Times New Roman"/>
          <w:i/>
          <w:iCs/>
          <w:sz w:val="26"/>
          <w:szCs w:val="26"/>
          <w:lang w:val="en-001" w:eastAsia="en-GB"/>
        </w:rPr>
        <w:t>The COVID-19 pandemic and health inequalities</w:t>
      </w:r>
      <w:r w:rsidRPr="00CE75E7">
        <w:rPr>
          <w:rFonts w:ascii="UICTFontTextStyleBody" w:hAnsi="UICTFontTextStyleBody" w:cs="Times New Roman"/>
          <w:sz w:val="26"/>
          <w:szCs w:val="26"/>
          <w:lang w:val="en-001" w:eastAsia="en-GB"/>
        </w:rPr>
        <w:t>. Available at: https://doi.org/10.1136/jech-2020-214401 (Accessed: 22/03/2026).</w:t>
      </w:r>
    </w:p>
    <w:p w14:paraId="64DC85F3"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7B0BA526"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BMJ (2021) </w:t>
      </w:r>
      <w:r w:rsidRPr="00CE75E7">
        <w:rPr>
          <w:rFonts w:ascii="UICTFontTextStyleItalicBody" w:hAnsi="UICTFontTextStyleItalicBody" w:cs="Times New Roman"/>
          <w:i/>
          <w:iCs/>
          <w:sz w:val="26"/>
          <w:szCs w:val="26"/>
          <w:lang w:val="en-001" w:eastAsia="en-GB"/>
        </w:rPr>
        <w:t>COVID research</w:t>
      </w:r>
      <w:r w:rsidRPr="00CE75E7">
        <w:rPr>
          <w:rFonts w:ascii="UICTFontTextStyleBody" w:hAnsi="UICTFontTextStyleBody" w:cs="Times New Roman"/>
          <w:sz w:val="26"/>
          <w:szCs w:val="26"/>
          <w:lang w:val="en-001" w:eastAsia="en-GB"/>
        </w:rPr>
        <w:t>. Available at: https://www.bmj.com (Accessed: 22/03/2026).</w:t>
      </w:r>
    </w:p>
    <w:p w14:paraId="08CB95E6"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05424C09"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Bosworth, M.L. et al. (2021) </w:t>
      </w:r>
      <w:r w:rsidRPr="00CE75E7">
        <w:rPr>
          <w:rFonts w:ascii="UICTFontTextStyleItalicBody" w:hAnsi="UICTFontTextStyleItalicBody" w:cs="Times New Roman"/>
          <w:i/>
          <w:iCs/>
          <w:sz w:val="26"/>
          <w:szCs w:val="26"/>
          <w:lang w:val="en-001" w:eastAsia="en-GB"/>
        </w:rPr>
        <w:t>Deaths involving COVID-19 by disability status</w:t>
      </w:r>
      <w:r w:rsidRPr="00CE75E7">
        <w:rPr>
          <w:rFonts w:ascii="UICTFontTextStyleBody" w:hAnsi="UICTFontTextStyleBody" w:cs="Times New Roman"/>
          <w:sz w:val="26"/>
          <w:szCs w:val="26"/>
          <w:lang w:val="en-001" w:eastAsia="en-GB"/>
        </w:rPr>
        <w:t>. Available at: https://doi.org/10.1016/S0140-6736(21)00606-1 (Accessed: 22/03/2026).</w:t>
      </w:r>
    </w:p>
    <w:p w14:paraId="5B6BA094"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4AFC2728"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Department for Work and Pensions (2022) </w:t>
      </w:r>
      <w:r w:rsidRPr="00CE75E7">
        <w:rPr>
          <w:rFonts w:ascii="UICTFontTextStyleItalicBody" w:hAnsi="UICTFontTextStyleItalicBody" w:cs="Times New Roman"/>
          <w:i/>
          <w:iCs/>
          <w:sz w:val="26"/>
          <w:szCs w:val="26"/>
          <w:lang w:val="en-001" w:eastAsia="en-GB"/>
        </w:rPr>
        <w:t>Disability employment statistics</w:t>
      </w:r>
      <w:r w:rsidRPr="00CE75E7">
        <w:rPr>
          <w:rFonts w:ascii="UICTFontTextStyleBody" w:hAnsi="UICTFontTextStyleBody" w:cs="Times New Roman"/>
          <w:sz w:val="26"/>
          <w:szCs w:val="26"/>
          <w:lang w:val="en-001" w:eastAsia="en-GB"/>
        </w:rPr>
        <w:t>. London: DWP. Available at: https://www.gov.uk/government/statistics/the-employment-of-disabled-people-2022/employment-of-disabled-people-2022 (Accessed: 15/03/2026).</w:t>
      </w:r>
    </w:p>
    <w:p w14:paraId="4676F7C2"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5D0B993A"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Department of Health and Social Care (2020) </w:t>
      </w:r>
      <w:r w:rsidRPr="00CE75E7">
        <w:rPr>
          <w:rFonts w:ascii="UICTFontTextStyleItalicBody" w:hAnsi="UICTFontTextStyleItalicBody" w:cs="Times New Roman"/>
          <w:i/>
          <w:iCs/>
          <w:sz w:val="26"/>
          <w:szCs w:val="26"/>
          <w:lang w:val="en-001" w:eastAsia="en-GB"/>
        </w:rPr>
        <w:t>COVID-19 response</w:t>
      </w:r>
      <w:r w:rsidRPr="00CE75E7">
        <w:rPr>
          <w:rFonts w:ascii="UICTFontTextStyleBody" w:hAnsi="UICTFontTextStyleBody" w:cs="Times New Roman"/>
          <w:sz w:val="26"/>
          <w:szCs w:val="26"/>
          <w:lang w:val="en-001" w:eastAsia="en-GB"/>
        </w:rPr>
        <w:t>. Available at: https://www.gov.uk (Accessed: 22/03/2026).</w:t>
      </w:r>
    </w:p>
    <w:p w14:paraId="2102386A"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6D3AF506"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Department of Health and Social Care (2022) </w:t>
      </w:r>
      <w:r w:rsidRPr="00CE75E7">
        <w:rPr>
          <w:rFonts w:ascii="UICTFontTextStyleItalicBody" w:hAnsi="UICTFontTextStyleItalicBody" w:cs="Times New Roman"/>
          <w:i/>
          <w:iCs/>
          <w:sz w:val="26"/>
          <w:szCs w:val="26"/>
          <w:lang w:val="en-001" w:eastAsia="en-GB"/>
        </w:rPr>
        <w:t>Health disparities strategy</w:t>
      </w:r>
      <w:r w:rsidRPr="00CE75E7">
        <w:rPr>
          <w:rFonts w:ascii="UICTFontTextStyleBody" w:hAnsi="UICTFontTextStyleBody" w:cs="Times New Roman"/>
          <w:sz w:val="26"/>
          <w:szCs w:val="26"/>
          <w:lang w:val="en-001" w:eastAsia="en-GB"/>
        </w:rPr>
        <w:t>. London: DHSC. Available at: https://www.gov.uk/government/organisations/department-of-health-and-social-care (Accessed: 14/03/2026).</w:t>
      </w:r>
    </w:p>
    <w:p w14:paraId="09D6E211"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13AB5575"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DHSC (2021) </w:t>
      </w:r>
      <w:r w:rsidRPr="00CE75E7">
        <w:rPr>
          <w:rFonts w:ascii="UICTFontTextStyleItalicBody" w:hAnsi="UICTFontTextStyleItalicBody" w:cs="Times New Roman"/>
          <w:i/>
          <w:iCs/>
          <w:sz w:val="26"/>
          <w:szCs w:val="26"/>
          <w:lang w:val="en-001" w:eastAsia="en-GB"/>
        </w:rPr>
        <w:t>Test and Trace</w:t>
      </w:r>
      <w:r w:rsidRPr="00CE75E7">
        <w:rPr>
          <w:rFonts w:ascii="UICTFontTextStyleBody" w:hAnsi="UICTFontTextStyleBody" w:cs="Times New Roman"/>
          <w:sz w:val="26"/>
          <w:szCs w:val="26"/>
          <w:lang w:val="en-001" w:eastAsia="en-GB"/>
        </w:rPr>
        <w:t>. Available at: https://www.gov.uk (Accessed: 22/03/2026).</w:t>
      </w:r>
    </w:p>
    <w:p w14:paraId="2EFA3495"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1683E883" w14:textId="77777777" w:rsidR="00CE75E7" w:rsidRPr="00053B0D" w:rsidRDefault="00CE75E7" w:rsidP="00CE75E7">
      <w:pPr>
        <w:spacing w:after="0" w:line="240" w:lineRule="auto"/>
        <w:rPr>
          <w:rFonts w:ascii=".AppleSystemUIFont" w:hAnsi=".AppleSystemUIFont" w:cs="Times New Roman"/>
          <w:sz w:val="26"/>
          <w:szCs w:val="26"/>
          <w:lang w:val="en-GB" w:eastAsia="en-GB"/>
        </w:rPr>
      </w:pPr>
    </w:p>
    <w:p w14:paraId="5D7B945F"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Habinteg (2022) </w:t>
      </w:r>
      <w:r w:rsidRPr="00CE75E7">
        <w:rPr>
          <w:rFonts w:ascii="UICTFontTextStyleItalicBody" w:hAnsi="UICTFontTextStyleItalicBody" w:cs="Times New Roman"/>
          <w:i/>
          <w:iCs/>
          <w:sz w:val="26"/>
          <w:szCs w:val="26"/>
          <w:lang w:val="en-001" w:eastAsia="en-GB"/>
        </w:rPr>
        <w:t>Accessible housing and disability report</w:t>
      </w:r>
      <w:r w:rsidRPr="00CE75E7">
        <w:rPr>
          <w:rFonts w:ascii="UICTFontTextStyleBody" w:hAnsi="UICTFontTextStyleBody" w:cs="Times New Roman"/>
          <w:sz w:val="26"/>
          <w:szCs w:val="26"/>
          <w:lang w:val="en-001" w:eastAsia="en-GB"/>
        </w:rPr>
        <w:t>. London: Habinteg. Available at: https://habinteg.org.uk/ (Accessed: 16/03/2026).</w:t>
      </w:r>
    </w:p>
    <w:p w14:paraId="68F7F5D9"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0B9F70E8"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Health Foundation (2021) </w:t>
      </w:r>
      <w:r w:rsidRPr="00CE75E7">
        <w:rPr>
          <w:rFonts w:ascii="UICTFontTextStyleItalicBody" w:hAnsi="UICTFontTextStyleItalicBody" w:cs="Times New Roman"/>
          <w:i/>
          <w:iCs/>
          <w:sz w:val="26"/>
          <w:szCs w:val="26"/>
          <w:lang w:val="en-001" w:eastAsia="en-GB"/>
        </w:rPr>
        <w:t>Pandemic report</w:t>
      </w:r>
      <w:r w:rsidRPr="00CE75E7">
        <w:rPr>
          <w:rFonts w:ascii="UICTFontTextStyleBody" w:hAnsi="UICTFontTextStyleBody" w:cs="Times New Roman"/>
          <w:sz w:val="26"/>
          <w:szCs w:val="26"/>
          <w:lang w:val="en-001" w:eastAsia="en-GB"/>
        </w:rPr>
        <w:t>. Available at: https://www.health.org.uk (Accessed: 22/03/2026).</w:t>
      </w:r>
    </w:p>
    <w:p w14:paraId="7EBB3D68"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702FC9C5"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HM Government (2010) </w:t>
      </w:r>
      <w:r w:rsidRPr="00CE75E7">
        <w:rPr>
          <w:rFonts w:ascii="UICTFontTextStyleItalicBody" w:hAnsi="UICTFontTextStyleItalicBody" w:cs="Times New Roman"/>
          <w:i/>
          <w:iCs/>
          <w:sz w:val="26"/>
          <w:szCs w:val="26"/>
          <w:lang w:val="en-001" w:eastAsia="en-GB"/>
        </w:rPr>
        <w:t>Equality Act 2010</w:t>
      </w:r>
      <w:r w:rsidRPr="00CE75E7">
        <w:rPr>
          <w:rFonts w:ascii="UICTFontTextStyleBody" w:hAnsi="UICTFontTextStyleBody" w:cs="Times New Roman"/>
          <w:sz w:val="26"/>
          <w:szCs w:val="26"/>
          <w:lang w:val="en-001" w:eastAsia="en-GB"/>
        </w:rPr>
        <w:t>. London: HMSO. Available at: https://www.legislation.gov.uk/ukpga/2010/15/contents (Accessed: 14/03/2026).</w:t>
      </w:r>
    </w:p>
    <w:p w14:paraId="745C88AB"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1CF3FCF0"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Inclusion London (2021) </w:t>
      </w:r>
      <w:r w:rsidRPr="00CE75E7">
        <w:rPr>
          <w:rFonts w:ascii="UICTFontTextStyleItalicBody" w:hAnsi="UICTFontTextStyleItalicBody" w:cs="Times New Roman"/>
          <w:i/>
          <w:iCs/>
          <w:sz w:val="26"/>
          <w:szCs w:val="26"/>
          <w:lang w:val="en-001" w:eastAsia="en-GB"/>
        </w:rPr>
        <w:t>Impact of COVID-19 on disabled people</w:t>
      </w:r>
      <w:r w:rsidRPr="00CE75E7">
        <w:rPr>
          <w:rFonts w:ascii="UICTFontTextStyleBody" w:hAnsi="UICTFontTextStyleBody" w:cs="Times New Roman"/>
          <w:sz w:val="26"/>
          <w:szCs w:val="26"/>
          <w:lang w:val="en-001" w:eastAsia="en-GB"/>
        </w:rPr>
        <w:t>. Available at: https://www.inclusionlondon.org.uk (Accessed: 22/03/2026).</w:t>
      </w:r>
    </w:p>
    <w:p w14:paraId="573B3D8E"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16B55D89"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lastRenderedPageBreak/>
        <w:t xml:space="preserve">Joseph Rowntree Foundation (2023) </w:t>
      </w:r>
      <w:r w:rsidRPr="00CE75E7">
        <w:rPr>
          <w:rFonts w:ascii="UICTFontTextStyleItalicBody" w:hAnsi="UICTFontTextStyleItalicBody" w:cs="Times New Roman"/>
          <w:i/>
          <w:iCs/>
          <w:sz w:val="26"/>
          <w:szCs w:val="26"/>
          <w:lang w:val="en-001" w:eastAsia="en-GB"/>
        </w:rPr>
        <w:t>UK Poverty Report</w:t>
      </w:r>
      <w:r w:rsidRPr="00CE75E7">
        <w:rPr>
          <w:rFonts w:ascii="UICTFontTextStyleBody" w:hAnsi="UICTFontTextStyleBody" w:cs="Times New Roman"/>
          <w:sz w:val="26"/>
          <w:szCs w:val="26"/>
          <w:lang w:val="en-001" w:eastAsia="en-GB"/>
        </w:rPr>
        <w:t>. York: JRF. Available at: https://www.jrf.org.uk/ (Accessed: 12/03/2026).</w:t>
      </w:r>
    </w:p>
    <w:p w14:paraId="46D2084B"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0294EF94"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King’s Fund (2021) </w:t>
      </w:r>
      <w:r w:rsidRPr="00CE75E7">
        <w:rPr>
          <w:rFonts w:ascii="UICTFontTextStyleItalicBody" w:hAnsi="UICTFontTextStyleItalicBody" w:cs="Times New Roman"/>
          <w:i/>
          <w:iCs/>
          <w:sz w:val="26"/>
          <w:szCs w:val="26"/>
          <w:lang w:val="en-001" w:eastAsia="en-GB"/>
        </w:rPr>
        <w:t>COVID inequalities</w:t>
      </w:r>
      <w:r w:rsidRPr="00CE75E7">
        <w:rPr>
          <w:rFonts w:ascii="UICTFontTextStyleBody" w:hAnsi="UICTFontTextStyleBody" w:cs="Times New Roman"/>
          <w:sz w:val="26"/>
          <w:szCs w:val="26"/>
          <w:lang w:val="en-001" w:eastAsia="en-GB"/>
        </w:rPr>
        <w:t>. Available at: https://www.kingsfund.org.uk (Accessed: 22/03/2026).</w:t>
      </w:r>
    </w:p>
    <w:p w14:paraId="26B7BB70"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719E73C8"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Kings Fund (2022) </w:t>
      </w:r>
      <w:r w:rsidRPr="00CE75E7">
        <w:rPr>
          <w:rFonts w:ascii="UICTFontTextStyleItalicBody" w:hAnsi="UICTFontTextStyleItalicBody" w:cs="Times New Roman"/>
          <w:i/>
          <w:iCs/>
          <w:sz w:val="26"/>
          <w:szCs w:val="26"/>
          <w:lang w:val="en-001" w:eastAsia="en-GB"/>
        </w:rPr>
        <w:t>Health inequalities in England</w:t>
      </w:r>
      <w:r w:rsidRPr="00CE75E7">
        <w:rPr>
          <w:rFonts w:ascii="UICTFontTextStyleBody" w:hAnsi="UICTFontTextStyleBody" w:cs="Times New Roman"/>
          <w:sz w:val="26"/>
          <w:szCs w:val="26"/>
          <w:lang w:val="en-001" w:eastAsia="en-GB"/>
        </w:rPr>
        <w:t>. London: The King’s Fund. Available at: https://www.kingsfund.org.uk/ (Accessed: 14/03/2026).</w:t>
      </w:r>
    </w:p>
    <w:p w14:paraId="66CCA40F"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53BEBC93"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Lancet (2021) </w:t>
      </w:r>
      <w:r w:rsidRPr="00CE75E7">
        <w:rPr>
          <w:rFonts w:ascii="UICTFontTextStyleItalicBody" w:hAnsi="UICTFontTextStyleItalicBody" w:cs="Times New Roman"/>
          <w:i/>
          <w:iCs/>
          <w:sz w:val="26"/>
          <w:szCs w:val="26"/>
          <w:lang w:val="en-001" w:eastAsia="en-GB"/>
        </w:rPr>
        <w:t>COVID global health</w:t>
      </w:r>
      <w:r w:rsidRPr="00CE75E7">
        <w:rPr>
          <w:rFonts w:ascii="UICTFontTextStyleBody" w:hAnsi="UICTFontTextStyleBody" w:cs="Times New Roman"/>
          <w:sz w:val="26"/>
          <w:szCs w:val="26"/>
          <w:lang w:val="en-001" w:eastAsia="en-GB"/>
        </w:rPr>
        <w:t>. Available at: https://www.thelancet.com (Accessed: 22/03/2026).</w:t>
      </w:r>
    </w:p>
    <w:p w14:paraId="5755272C"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78CC9FAB"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Lopez Bernal, J. et al. (2021) </w:t>
      </w:r>
      <w:r w:rsidRPr="00CE75E7">
        <w:rPr>
          <w:rFonts w:ascii="UICTFontTextStyleItalicBody" w:hAnsi="UICTFontTextStyleItalicBody" w:cs="Times New Roman"/>
          <w:i/>
          <w:iCs/>
          <w:sz w:val="26"/>
          <w:szCs w:val="26"/>
          <w:lang w:val="en-001" w:eastAsia="en-GB"/>
        </w:rPr>
        <w:t>Effectiveness of COVID-19 vaccines</w:t>
      </w:r>
      <w:r w:rsidRPr="00CE75E7">
        <w:rPr>
          <w:rFonts w:ascii="UICTFontTextStyleBody" w:hAnsi="UICTFontTextStyleBody" w:cs="Times New Roman"/>
          <w:sz w:val="26"/>
          <w:szCs w:val="26"/>
          <w:lang w:val="en-001" w:eastAsia="en-GB"/>
        </w:rPr>
        <w:t>. Available at: https://doi.org/10.1056/NEJMoa2108891 (Accessed: 22/03/2026).</w:t>
      </w:r>
    </w:p>
    <w:p w14:paraId="5D165769"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3D242D63"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Marmot, M. et al. (2020) </w:t>
      </w:r>
      <w:r w:rsidRPr="00CE75E7">
        <w:rPr>
          <w:rFonts w:ascii="UICTFontTextStyleItalicBody" w:hAnsi="UICTFontTextStyleItalicBody" w:cs="Times New Roman"/>
          <w:i/>
          <w:iCs/>
          <w:sz w:val="26"/>
          <w:szCs w:val="26"/>
          <w:lang w:val="en-001" w:eastAsia="en-GB"/>
        </w:rPr>
        <w:t>Build Back Fairer</w:t>
      </w:r>
      <w:r w:rsidRPr="00CE75E7">
        <w:rPr>
          <w:rFonts w:ascii="UICTFontTextStyleBody" w:hAnsi="UICTFontTextStyleBody" w:cs="Times New Roman"/>
          <w:sz w:val="26"/>
          <w:szCs w:val="26"/>
          <w:lang w:val="en-001" w:eastAsia="en-GB"/>
        </w:rPr>
        <w:t>. Available at: https://www.health.org.uk (Accessed: 22/03/2026).</w:t>
      </w:r>
    </w:p>
    <w:p w14:paraId="2FEE0B6D"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5A3933FB"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Ministry of Housing (2021) </w:t>
      </w:r>
      <w:r w:rsidRPr="00CE75E7">
        <w:rPr>
          <w:rFonts w:ascii="UICTFontTextStyleItalicBody" w:hAnsi="UICTFontTextStyleItalicBody" w:cs="Times New Roman"/>
          <w:i/>
          <w:iCs/>
          <w:sz w:val="26"/>
          <w:szCs w:val="26"/>
          <w:lang w:val="en-001" w:eastAsia="en-GB"/>
        </w:rPr>
        <w:t>Housing accessibility report</w:t>
      </w:r>
      <w:r w:rsidRPr="00CE75E7">
        <w:rPr>
          <w:rFonts w:ascii="UICTFontTextStyleBody" w:hAnsi="UICTFontTextStyleBody" w:cs="Times New Roman"/>
          <w:sz w:val="26"/>
          <w:szCs w:val="26"/>
          <w:lang w:val="en-001" w:eastAsia="en-GB"/>
        </w:rPr>
        <w:t>. London: MHCLG. Available at: https://www.gov.uk/government/organisations/ministry-of-housing-communities-and-local-government (Accessed: 14/03/2024).</w:t>
      </w:r>
    </w:p>
    <w:p w14:paraId="5F8C06CA"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19ED4EB9"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NHS (2022) </w:t>
      </w:r>
      <w:r w:rsidRPr="00CE75E7">
        <w:rPr>
          <w:rFonts w:ascii="UICTFontTextStyleItalicBody" w:hAnsi="UICTFontTextStyleItalicBody" w:cs="Times New Roman"/>
          <w:i/>
          <w:iCs/>
          <w:sz w:val="26"/>
          <w:szCs w:val="26"/>
          <w:lang w:val="en-001" w:eastAsia="en-GB"/>
        </w:rPr>
        <w:t>COVID-19 services</w:t>
      </w:r>
      <w:r w:rsidRPr="00CE75E7">
        <w:rPr>
          <w:rFonts w:ascii="UICTFontTextStyleBody" w:hAnsi="UICTFontTextStyleBody" w:cs="Times New Roman"/>
          <w:sz w:val="26"/>
          <w:szCs w:val="26"/>
          <w:lang w:val="en-001" w:eastAsia="en-GB"/>
        </w:rPr>
        <w:t>. Available at: https://www.nhs.uk (Accessed: 22/03/2026).</w:t>
      </w:r>
    </w:p>
    <w:p w14:paraId="3FF1D2CB"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3B308971"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NHS Digital (2021) </w:t>
      </w:r>
      <w:r w:rsidRPr="00CE75E7">
        <w:rPr>
          <w:rFonts w:ascii="UICTFontTextStyleItalicBody" w:hAnsi="UICTFontTextStyleItalicBody" w:cs="Times New Roman"/>
          <w:i/>
          <w:iCs/>
          <w:sz w:val="26"/>
          <w:szCs w:val="26"/>
          <w:lang w:val="en-001" w:eastAsia="en-GB"/>
        </w:rPr>
        <w:t>Hospital Episode Statistics</w:t>
      </w:r>
      <w:r w:rsidRPr="00CE75E7">
        <w:rPr>
          <w:rFonts w:ascii="UICTFontTextStyleBody" w:hAnsi="UICTFontTextStyleBody" w:cs="Times New Roman"/>
          <w:sz w:val="26"/>
          <w:szCs w:val="26"/>
          <w:lang w:val="en-001" w:eastAsia="en-GB"/>
        </w:rPr>
        <w:t>. Available at: https://digital.nhs.uk (Accessed: 22/03/2026).</w:t>
      </w:r>
    </w:p>
    <w:p w14:paraId="501589C5"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65531C9C"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NHS England (2021) </w:t>
      </w:r>
      <w:r w:rsidRPr="00CE75E7">
        <w:rPr>
          <w:rFonts w:ascii="UICTFontTextStyleItalicBody" w:hAnsi="UICTFontTextStyleItalicBody" w:cs="Times New Roman"/>
          <w:i/>
          <w:iCs/>
          <w:sz w:val="26"/>
          <w:szCs w:val="26"/>
          <w:lang w:val="en-001" w:eastAsia="en-GB"/>
        </w:rPr>
        <w:t>COVID-19 vaccination programme</w:t>
      </w:r>
      <w:r w:rsidRPr="00CE75E7">
        <w:rPr>
          <w:rFonts w:ascii="UICTFontTextStyleBody" w:hAnsi="UICTFontTextStyleBody" w:cs="Times New Roman"/>
          <w:sz w:val="26"/>
          <w:szCs w:val="26"/>
          <w:lang w:val="en-001" w:eastAsia="en-GB"/>
        </w:rPr>
        <w:t>. Available at: https://www.england.nhs.uk (Accessed: 22/03/2026).</w:t>
      </w:r>
    </w:p>
    <w:p w14:paraId="407D88E7"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2AF9E5E7"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NHS England (2021) </w:t>
      </w:r>
      <w:r w:rsidRPr="00CE75E7">
        <w:rPr>
          <w:rFonts w:ascii="UICTFontTextStyleItalicBody" w:hAnsi="UICTFontTextStyleItalicBody" w:cs="Times New Roman"/>
          <w:i/>
          <w:iCs/>
          <w:sz w:val="26"/>
          <w:szCs w:val="26"/>
          <w:lang w:val="en-001" w:eastAsia="en-GB"/>
        </w:rPr>
        <w:t>NHS Long Term Plan</w:t>
      </w:r>
      <w:r w:rsidRPr="00CE75E7">
        <w:rPr>
          <w:rFonts w:ascii="UICTFontTextStyleBody" w:hAnsi="UICTFontTextStyleBody" w:cs="Times New Roman"/>
          <w:sz w:val="26"/>
          <w:szCs w:val="26"/>
          <w:lang w:val="en-001" w:eastAsia="en-GB"/>
        </w:rPr>
        <w:t>. London: NHS England. Available at: https://www.longtermplan.nhs.uk/ (Accessed: 14/03/2026).</w:t>
      </w:r>
    </w:p>
    <w:p w14:paraId="4FF59C8B"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1C83613B"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NHS England (2022) </w:t>
      </w:r>
      <w:r w:rsidRPr="00CE75E7">
        <w:rPr>
          <w:rFonts w:ascii="UICTFontTextStyleItalicBody" w:hAnsi="UICTFontTextStyleItalicBody" w:cs="Times New Roman"/>
          <w:i/>
          <w:iCs/>
          <w:sz w:val="26"/>
          <w:szCs w:val="26"/>
          <w:lang w:val="en-001" w:eastAsia="en-GB"/>
        </w:rPr>
        <w:t>Health inequalities improvement programme</w:t>
      </w:r>
      <w:r w:rsidRPr="00CE75E7">
        <w:rPr>
          <w:rFonts w:ascii="UICTFontTextStyleBody" w:hAnsi="UICTFontTextStyleBody" w:cs="Times New Roman"/>
          <w:sz w:val="26"/>
          <w:szCs w:val="26"/>
          <w:lang w:val="en-001" w:eastAsia="en-GB"/>
        </w:rPr>
        <w:t>. London: NHS England. Available at: https://www.england.nhs.uk/ (Accessed: 14/03/2026).</w:t>
      </w:r>
    </w:p>
    <w:p w14:paraId="7735DB03"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68200656"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NHS England (2023) </w:t>
      </w:r>
      <w:r w:rsidRPr="00CE75E7">
        <w:rPr>
          <w:rFonts w:ascii="UICTFontTextStyleItalicBody" w:hAnsi="UICTFontTextStyleItalicBody" w:cs="Times New Roman"/>
          <w:i/>
          <w:iCs/>
          <w:sz w:val="26"/>
          <w:szCs w:val="26"/>
          <w:lang w:val="en-001" w:eastAsia="en-GB"/>
        </w:rPr>
        <w:t>Core20PLUS5 approach to reducing inequalities</w:t>
      </w:r>
      <w:r w:rsidRPr="00CE75E7">
        <w:rPr>
          <w:rFonts w:ascii="UICTFontTextStyleBody" w:hAnsi="UICTFontTextStyleBody" w:cs="Times New Roman"/>
          <w:sz w:val="26"/>
          <w:szCs w:val="26"/>
          <w:lang w:val="en-001" w:eastAsia="en-GB"/>
        </w:rPr>
        <w:t>. London: NHS England. Available at: https://www.england.nhs.uk/ (Accessed: 15/03/2026).</w:t>
      </w:r>
    </w:p>
    <w:p w14:paraId="2FA00203"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2879EEBB"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NICE (2022) </w:t>
      </w:r>
      <w:r w:rsidRPr="00CE75E7">
        <w:rPr>
          <w:rFonts w:ascii="UICTFontTextStyleItalicBody" w:hAnsi="UICTFontTextStyleItalicBody" w:cs="Times New Roman"/>
          <w:i/>
          <w:iCs/>
          <w:sz w:val="26"/>
          <w:szCs w:val="26"/>
          <w:lang w:val="en-001" w:eastAsia="en-GB"/>
        </w:rPr>
        <w:t>Long COVID guideline</w:t>
      </w:r>
      <w:r w:rsidRPr="00CE75E7">
        <w:rPr>
          <w:rFonts w:ascii="UICTFontTextStyleBody" w:hAnsi="UICTFontTextStyleBody" w:cs="Times New Roman"/>
          <w:sz w:val="26"/>
          <w:szCs w:val="26"/>
          <w:lang w:val="en-001" w:eastAsia="en-GB"/>
        </w:rPr>
        <w:t>. Available at: https://www.nice.org.uk (Accessed: 22/03/2026).</w:t>
      </w:r>
    </w:p>
    <w:p w14:paraId="68C833E7"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637C190E"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Nuffield Trust (2021) </w:t>
      </w:r>
      <w:r w:rsidRPr="00CE75E7">
        <w:rPr>
          <w:rFonts w:ascii="UICTFontTextStyleItalicBody" w:hAnsi="UICTFontTextStyleItalicBody" w:cs="Times New Roman"/>
          <w:i/>
          <w:iCs/>
          <w:sz w:val="26"/>
          <w:szCs w:val="26"/>
          <w:lang w:val="en-001" w:eastAsia="en-GB"/>
        </w:rPr>
        <w:t>Access to healthcare for vulnerable groups</w:t>
      </w:r>
      <w:r w:rsidRPr="00CE75E7">
        <w:rPr>
          <w:rFonts w:ascii="UICTFontTextStyleBody" w:hAnsi="UICTFontTextStyleBody" w:cs="Times New Roman"/>
          <w:sz w:val="26"/>
          <w:szCs w:val="26"/>
          <w:lang w:val="en-001" w:eastAsia="en-GB"/>
        </w:rPr>
        <w:t>. London: Nuffield Trust. Available at: https://www.nuffieldtrust.org.uk/ (Accessed: 14/03/2026).</w:t>
      </w:r>
    </w:p>
    <w:p w14:paraId="2ADA1CC2"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0C8DFCD2"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Office for National Statistics (2020) </w:t>
      </w:r>
      <w:r w:rsidRPr="00CE75E7">
        <w:rPr>
          <w:rFonts w:ascii="UICTFontTextStyleItalicBody" w:hAnsi="UICTFontTextStyleItalicBody" w:cs="Times New Roman"/>
          <w:i/>
          <w:iCs/>
          <w:sz w:val="26"/>
          <w:szCs w:val="26"/>
          <w:lang w:val="en-001" w:eastAsia="en-GB"/>
        </w:rPr>
        <w:t>Disability and COVID-19 mortality</w:t>
      </w:r>
      <w:r w:rsidRPr="00CE75E7">
        <w:rPr>
          <w:rFonts w:ascii="UICTFontTextStyleBody" w:hAnsi="UICTFontTextStyleBody" w:cs="Times New Roman"/>
          <w:sz w:val="26"/>
          <w:szCs w:val="26"/>
          <w:lang w:val="en-001" w:eastAsia="en-GB"/>
        </w:rPr>
        <w:t>. Available at: https://www.ons.gov.uk (Accessed: 22/03/2026).</w:t>
      </w:r>
    </w:p>
    <w:p w14:paraId="3E28BC90"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3BD6A399"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Office for National Statistics (2021) </w:t>
      </w:r>
      <w:r w:rsidRPr="00CE75E7">
        <w:rPr>
          <w:rFonts w:ascii="UICTFontTextStyleItalicBody" w:hAnsi="UICTFontTextStyleItalicBody" w:cs="Times New Roman"/>
          <w:i/>
          <w:iCs/>
          <w:sz w:val="26"/>
          <w:szCs w:val="26"/>
          <w:lang w:val="en-001" w:eastAsia="en-GB"/>
        </w:rPr>
        <w:t>COVID-19 data</w:t>
      </w:r>
      <w:r w:rsidRPr="00CE75E7">
        <w:rPr>
          <w:rFonts w:ascii="UICTFontTextStyleBody" w:hAnsi="UICTFontTextStyleBody" w:cs="Times New Roman"/>
          <w:sz w:val="26"/>
          <w:szCs w:val="26"/>
          <w:lang w:val="en-001" w:eastAsia="en-GB"/>
        </w:rPr>
        <w:t>. Available at: https://www.ons.gov.uk (Accessed: 22/03/2026).</w:t>
      </w:r>
    </w:p>
    <w:p w14:paraId="344F02C5"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5629FF67"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Office for National Statistics (2022) </w:t>
      </w:r>
      <w:r w:rsidRPr="00CE75E7">
        <w:rPr>
          <w:rFonts w:ascii="UICTFontTextStyleItalicBody" w:hAnsi="UICTFontTextStyleItalicBody" w:cs="Times New Roman"/>
          <w:i/>
          <w:iCs/>
          <w:sz w:val="26"/>
          <w:szCs w:val="26"/>
          <w:lang w:val="en-001" w:eastAsia="en-GB"/>
        </w:rPr>
        <w:t>Health inequalities</w:t>
      </w:r>
      <w:r w:rsidRPr="00CE75E7">
        <w:rPr>
          <w:rFonts w:ascii="UICTFontTextStyleBody" w:hAnsi="UICTFontTextStyleBody" w:cs="Times New Roman"/>
          <w:sz w:val="26"/>
          <w:szCs w:val="26"/>
          <w:lang w:val="en-001" w:eastAsia="en-GB"/>
        </w:rPr>
        <w:t>. Available at: https://www.ons.gov.uk (Accessed: 22/03/2026).</w:t>
      </w:r>
    </w:p>
    <w:p w14:paraId="24380955"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14CABF79"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Office for National Statistics (2022) </w:t>
      </w:r>
      <w:r w:rsidRPr="00CE75E7">
        <w:rPr>
          <w:rFonts w:ascii="UICTFontTextStyleItalicBody" w:hAnsi="UICTFontTextStyleItalicBody" w:cs="Times New Roman"/>
          <w:i/>
          <w:iCs/>
          <w:sz w:val="26"/>
          <w:szCs w:val="26"/>
          <w:lang w:val="en-001" w:eastAsia="en-GB"/>
        </w:rPr>
        <w:t>Loneliness and disability</w:t>
      </w:r>
      <w:r w:rsidRPr="00CE75E7">
        <w:rPr>
          <w:rFonts w:ascii="UICTFontTextStyleBody" w:hAnsi="UICTFontTextStyleBody" w:cs="Times New Roman"/>
          <w:sz w:val="26"/>
          <w:szCs w:val="26"/>
          <w:lang w:val="en-001" w:eastAsia="en-GB"/>
        </w:rPr>
        <w:t>. London: ONS. Available at: https://www.ons.gov.uk/ (Accessed: 13/03/2026).</w:t>
      </w:r>
    </w:p>
    <w:p w14:paraId="41204446"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0DE7F791"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Office for National Statistics (2023) </w:t>
      </w:r>
      <w:r w:rsidRPr="00CE75E7">
        <w:rPr>
          <w:rFonts w:ascii="UICTFontTextStyleItalicBody" w:hAnsi="UICTFontTextStyleItalicBody" w:cs="Times New Roman"/>
          <w:i/>
          <w:iCs/>
          <w:sz w:val="26"/>
          <w:szCs w:val="26"/>
          <w:lang w:val="en-001" w:eastAsia="en-GB"/>
        </w:rPr>
        <w:t>Disability and health outcomes</w:t>
      </w:r>
      <w:r w:rsidRPr="00CE75E7">
        <w:rPr>
          <w:rFonts w:ascii="UICTFontTextStyleBody" w:hAnsi="UICTFontTextStyleBody" w:cs="Times New Roman"/>
          <w:sz w:val="26"/>
          <w:szCs w:val="26"/>
          <w:lang w:val="en-001" w:eastAsia="en-GB"/>
        </w:rPr>
        <w:t>. London: ONS. Available at: https://www.ons.gov.uk/ (Accessed: 14/03/2026).</w:t>
      </w:r>
    </w:p>
    <w:p w14:paraId="171129C1"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087B8DCF"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ONS (2022) </w:t>
      </w:r>
      <w:r w:rsidRPr="00CE75E7">
        <w:rPr>
          <w:rFonts w:ascii="UICTFontTextStyleItalicBody" w:hAnsi="UICTFontTextStyleItalicBody" w:cs="Times New Roman"/>
          <w:i/>
          <w:iCs/>
          <w:sz w:val="26"/>
          <w:szCs w:val="26"/>
          <w:lang w:val="en-001" w:eastAsia="en-GB"/>
        </w:rPr>
        <w:t>Health inequalities</w:t>
      </w:r>
      <w:r w:rsidRPr="00CE75E7">
        <w:rPr>
          <w:rFonts w:ascii="UICTFontTextStyleBody" w:hAnsi="UICTFontTextStyleBody" w:cs="Times New Roman"/>
          <w:sz w:val="26"/>
          <w:szCs w:val="26"/>
          <w:lang w:val="en-001" w:eastAsia="en-GB"/>
        </w:rPr>
        <w:t>. Available at: https://www.ons.gov.uk (Accessed: 22/03/2026).</w:t>
      </w:r>
    </w:p>
    <w:p w14:paraId="06FBF6A0"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0B3102FD"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Public Health England (2020) </w:t>
      </w:r>
      <w:r w:rsidRPr="00CE75E7">
        <w:rPr>
          <w:rFonts w:ascii="UICTFontTextStyleItalicBody" w:hAnsi="UICTFontTextStyleItalicBody" w:cs="Times New Roman"/>
          <w:i/>
          <w:iCs/>
          <w:sz w:val="26"/>
          <w:szCs w:val="26"/>
          <w:lang w:val="en-001" w:eastAsia="en-GB"/>
        </w:rPr>
        <w:t>COVID-19 disparities</w:t>
      </w:r>
      <w:r w:rsidRPr="00CE75E7">
        <w:rPr>
          <w:rFonts w:ascii="UICTFontTextStyleBody" w:hAnsi="UICTFontTextStyleBody" w:cs="Times New Roman"/>
          <w:sz w:val="26"/>
          <w:szCs w:val="26"/>
          <w:lang w:val="en-001" w:eastAsia="en-GB"/>
        </w:rPr>
        <w:t>. Available at: https://www.gov.uk (Accessed: 22/03/2026).</w:t>
      </w:r>
    </w:p>
    <w:p w14:paraId="724C537D"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752BC95C"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Public Health England (2021) </w:t>
      </w:r>
      <w:r w:rsidRPr="00CE75E7">
        <w:rPr>
          <w:rFonts w:ascii="UICTFontTextStyleItalicBody" w:hAnsi="UICTFontTextStyleItalicBody" w:cs="Times New Roman"/>
          <w:i/>
          <w:iCs/>
          <w:sz w:val="26"/>
          <w:szCs w:val="26"/>
          <w:lang w:val="en-001" w:eastAsia="en-GB"/>
        </w:rPr>
        <w:t>Health inequalities dashboard</w:t>
      </w:r>
      <w:r w:rsidRPr="00CE75E7">
        <w:rPr>
          <w:rFonts w:ascii="UICTFontTextStyleBody" w:hAnsi="UICTFontTextStyleBody" w:cs="Times New Roman"/>
          <w:sz w:val="26"/>
          <w:szCs w:val="26"/>
          <w:lang w:val="en-001" w:eastAsia="en-GB"/>
        </w:rPr>
        <w:t>. London: PHE. Available at: https://www.gov.uk/government/organisations/public-health-england (Accessed: 17/03/2026).</w:t>
      </w:r>
    </w:p>
    <w:p w14:paraId="2BD8BE4B"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3508FE11"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RECOVERY Collaborative Group (2021) </w:t>
      </w:r>
      <w:r w:rsidRPr="00CE75E7">
        <w:rPr>
          <w:rFonts w:ascii="UICTFontTextStyleItalicBody" w:hAnsi="UICTFontTextStyleItalicBody" w:cs="Times New Roman"/>
          <w:i/>
          <w:iCs/>
          <w:sz w:val="26"/>
          <w:szCs w:val="26"/>
          <w:lang w:val="en-001" w:eastAsia="en-GB"/>
        </w:rPr>
        <w:t>Dexamethasone trial</w:t>
      </w:r>
      <w:r w:rsidRPr="00CE75E7">
        <w:rPr>
          <w:rFonts w:ascii="UICTFontTextStyleBody" w:hAnsi="UICTFontTextStyleBody" w:cs="Times New Roman"/>
          <w:sz w:val="26"/>
          <w:szCs w:val="26"/>
          <w:lang w:val="en-001" w:eastAsia="en-GB"/>
        </w:rPr>
        <w:t>. Available at: https://doi.org/10.1056/NEJMoa2021436 (Accessed: 22/03/2026).</w:t>
      </w:r>
    </w:p>
    <w:p w14:paraId="35079C35"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0000626B"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Scope (2021) </w:t>
      </w:r>
      <w:r w:rsidRPr="00CE75E7">
        <w:rPr>
          <w:rFonts w:ascii="UICTFontTextStyleItalicBody" w:hAnsi="UICTFontTextStyleItalicBody" w:cs="Times New Roman"/>
          <w:i/>
          <w:iCs/>
          <w:sz w:val="26"/>
          <w:szCs w:val="26"/>
          <w:lang w:val="en-001" w:eastAsia="en-GB"/>
        </w:rPr>
        <w:t>Disability and COVID-19</w:t>
      </w:r>
      <w:r w:rsidRPr="00CE75E7">
        <w:rPr>
          <w:rFonts w:ascii="UICTFontTextStyleBody" w:hAnsi="UICTFontTextStyleBody" w:cs="Times New Roman"/>
          <w:sz w:val="26"/>
          <w:szCs w:val="26"/>
          <w:lang w:val="en-001" w:eastAsia="en-GB"/>
        </w:rPr>
        <w:t>. Available at: https://www.scope.org.uk (Accessed: 22/03/2026).</w:t>
      </w:r>
    </w:p>
    <w:p w14:paraId="29CC4916"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1D1C9CE6"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Scope (2023) </w:t>
      </w:r>
      <w:r w:rsidRPr="00CE75E7">
        <w:rPr>
          <w:rFonts w:ascii="UICTFontTextStyleItalicBody" w:hAnsi="UICTFontTextStyleItalicBody" w:cs="Times New Roman"/>
          <w:i/>
          <w:iCs/>
          <w:sz w:val="26"/>
          <w:szCs w:val="26"/>
          <w:lang w:val="en-001" w:eastAsia="en-GB"/>
        </w:rPr>
        <w:t>Disability facts and figures UK</w:t>
      </w:r>
      <w:r w:rsidRPr="00CE75E7">
        <w:rPr>
          <w:rFonts w:ascii="UICTFontTextStyleBody" w:hAnsi="UICTFontTextStyleBody" w:cs="Times New Roman"/>
          <w:sz w:val="26"/>
          <w:szCs w:val="26"/>
          <w:lang w:val="en-001" w:eastAsia="en-GB"/>
        </w:rPr>
        <w:t>. London: Scope. Available at: https://www.scope.org.uk/ (Accessed: 14/03/2026).</w:t>
      </w:r>
    </w:p>
    <w:p w14:paraId="6DBBE4E4"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5C48E7A7"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UK Government (2023) </w:t>
      </w:r>
      <w:r w:rsidRPr="00CE75E7">
        <w:rPr>
          <w:rFonts w:ascii="UICTFontTextStyleItalicBody" w:hAnsi="UICTFontTextStyleItalicBody" w:cs="Times New Roman"/>
          <w:i/>
          <w:iCs/>
          <w:sz w:val="26"/>
          <w:szCs w:val="26"/>
          <w:lang w:val="en-001" w:eastAsia="en-GB"/>
        </w:rPr>
        <w:t>Coronavirus statistics</w:t>
      </w:r>
      <w:r w:rsidRPr="00CE75E7">
        <w:rPr>
          <w:rFonts w:ascii="UICTFontTextStyleBody" w:hAnsi="UICTFontTextStyleBody" w:cs="Times New Roman"/>
          <w:sz w:val="26"/>
          <w:szCs w:val="26"/>
          <w:lang w:val="en-001" w:eastAsia="en-GB"/>
        </w:rPr>
        <w:t>. Available at: https://coronavirus.data.gov.uk (Accessed: 22/03/2026).</w:t>
      </w:r>
    </w:p>
    <w:p w14:paraId="73EBD000"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38978424"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lastRenderedPageBreak/>
        <w:t xml:space="preserve">UK Health Security Agency (2023) </w:t>
      </w:r>
      <w:r w:rsidRPr="00CE75E7">
        <w:rPr>
          <w:rFonts w:ascii="UICTFontTextStyleItalicBody" w:hAnsi="UICTFontTextStyleItalicBody" w:cs="Times New Roman"/>
          <w:i/>
          <w:iCs/>
          <w:sz w:val="26"/>
          <w:szCs w:val="26"/>
          <w:lang w:val="en-001" w:eastAsia="en-GB"/>
        </w:rPr>
        <w:t>COVID-19 surveillance</w:t>
      </w:r>
      <w:r w:rsidRPr="00CE75E7">
        <w:rPr>
          <w:rFonts w:ascii="UICTFontTextStyleBody" w:hAnsi="UICTFontTextStyleBody" w:cs="Times New Roman"/>
          <w:sz w:val="26"/>
          <w:szCs w:val="26"/>
          <w:lang w:val="en-001" w:eastAsia="en-GB"/>
        </w:rPr>
        <w:t>. Available at: https://www.gov.uk (Accessed: 22/03/2026).</w:t>
      </w:r>
    </w:p>
    <w:p w14:paraId="27B52163"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6ACE914E"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Watts, G. (2020) </w:t>
      </w:r>
      <w:r w:rsidRPr="00CE75E7">
        <w:rPr>
          <w:rFonts w:ascii="UICTFontTextStyleItalicBody" w:hAnsi="UICTFontTextStyleItalicBody" w:cs="Times New Roman"/>
          <w:i/>
          <w:iCs/>
          <w:sz w:val="26"/>
          <w:szCs w:val="26"/>
          <w:lang w:val="en-001" w:eastAsia="en-GB"/>
        </w:rPr>
        <w:t>COVID-19 and digital exclusion</w:t>
      </w:r>
      <w:r w:rsidRPr="00CE75E7">
        <w:rPr>
          <w:rFonts w:ascii="UICTFontTextStyleBody" w:hAnsi="UICTFontTextStyleBody" w:cs="Times New Roman"/>
          <w:sz w:val="26"/>
          <w:szCs w:val="26"/>
          <w:lang w:val="en-001" w:eastAsia="en-GB"/>
        </w:rPr>
        <w:t>. Available at: https://doi.org/10.1016/S0140-6736(20)31393-3 (Accessed: 22/03/2026).</w:t>
      </w:r>
    </w:p>
    <w:p w14:paraId="11A93BF9"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246E82D2"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Williamson, E. et al. (2020) </w:t>
      </w:r>
      <w:r w:rsidRPr="00CE75E7">
        <w:rPr>
          <w:rFonts w:ascii="UICTFontTextStyleItalicBody" w:hAnsi="UICTFontTextStyleItalicBody" w:cs="Times New Roman"/>
          <w:i/>
          <w:iCs/>
          <w:sz w:val="26"/>
          <w:szCs w:val="26"/>
          <w:lang w:val="en-001" w:eastAsia="en-GB"/>
        </w:rPr>
        <w:t>Risk factors for COVID-19 death</w:t>
      </w:r>
      <w:r w:rsidRPr="00CE75E7">
        <w:rPr>
          <w:rFonts w:ascii="UICTFontTextStyleBody" w:hAnsi="UICTFontTextStyleBody" w:cs="Times New Roman"/>
          <w:sz w:val="26"/>
          <w:szCs w:val="26"/>
          <w:lang w:val="en-001" w:eastAsia="en-GB"/>
        </w:rPr>
        <w:t>. Available at: https://doi.org/10.1038/s41586-020-2521-4 (Accessed: 22/03/2026).</w:t>
      </w:r>
    </w:p>
    <w:p w14:paraId="3E9D7114"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3907EE59"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World Health Organization (2021) </w:t>
      </w:r>
      <w:r w:rsidRPr="00CE75E7">
        <w:rPr>
          <w:rFonts w:ascii="UICTFontTextStyleItalicBody" w:hAnsi="UICTFontTextStyleItalicBody" w:cs="Times New Roman"/>
          <w:i/>
          <w:iCs/>
          <w:sz w:val="26"/>
          <w:szCs w:val="26"/>
          <w:lang w:val="en-001" w:eastAsia="en-GB"/>
        </w:rPr>
        <w:t>Coronavirus overview</w:t>
      </w:r>
      <w:r w:rsidRPr="00CE75E7">
        <w:rPr>
          <w:rFonts w:ascii="UICTFontTextStyleBody" w:hAnsi="UICTFontTextStyleBody" w:cs="Times New Roman"/>
          <w:sz w:val="26"/>
          <w:szCs w:val="26"/>
          <w:lang w:val="en-001" w:eastAsia="en-GB"/>
        </w:rPr>
        <w:t>. Available at: https://www.who.int (Accessed: 22/03/2026).</w:t>
      </w:r>
    </w:p>
    <w:p w14:paraId="004F9D42"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0950A70D"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World Health Organization (2023) </w:t>
      </w:r>
      <w:r w:rsidRPr="00CE75E7">
        <w:rPr>
          <w:rFonts w:ascii="UICTFontTextStyleItalicBody" w:hAnsi="UICTFontTextStyleItalicBody" w:cs="Times New Roman"/>
          <w:i/>
          <w:iCs/>
          <w:sz w:val="26"/>
          <w:szCs w:val="26"/>
          <w:lang w:val="en-001" w:eastAsia="en-GB"/>
        </w:rPr>
        <w:t>COVID-19 dashboard</w:t>
      </w:r>
      <w:r w:rsidRPr="00CE75E7">
        <w:rPr>
          <w:rFonts w:ascii="UICTFontTextStyleBody" w:hAnsi="UICTFontTextStyleBody" w:cs="Times New Roman"/>
          <w:sz w:val="26"/>
          <w:szCs w:val="26"/>
          <w:lang w:val="en-001" w:eastAsia="en-GB"/>
        </w:rPr>
        <w:t>. Available at: https://covid19.who.int (Accessed: 22/03/2026).</w:t>
      </w:r>
    </w:p>
    <w:p w14:paraId="7625486E" w14:textId="77777777" w:rsidR="00CE75E7" w:rsidRPr="00CE75E7" w:rsidRDefault="00CE75E7" w:rsidP="00CE75E7">
      <w:pPr>
        <w:spacing w:after="0" w:line="240" w:lineRule="auto"/>
        <w:rPr>
          <w:rFonts w:ascii=".AppleSystemUIFont" w:hAnsi=".AppleSystemUIFont" w:cs="Times New Roman"/>
          <w:sz w:val="26"/>
          <w:szCs w:val="26"/>
          <w:lang w:val="en-001" w:eastAsia="en-GB"/>
        </w:rPr>
      </w:pPr>
    </w:p>
    <w:p w14:paraId="0F58A0B6" w14:textId="77777777" w:rsidR="00CE75E7" w:rsidRPr="00CE75E7" w:rsidRDefault="00CE75E7" w:rsidP="00CE75E7">
      <w:pPr>
        <w:spacing w:after="0" w:line="240" w:lineRule="auto"/>
        <w:rPr>
          <w:rFonts w:ascii=".AppleSystemUIFont" w:hAnsi=".AppleSystemUIFont" w:cs="Times New Roman"/>
          <w:sz w:val="26"/>
          <w:szCs w:val="26"/>
          <w:lang w:val="en-001" w:eastAsia="en-GB"/>
        </w:rPr>
      </w:pPr>
      <w:r w:rsidRPr="00CE75E7">
        <w:rPr>
          <w:rFonts w:ascii="UICTFontTextStyleBody" w:hAnsi="UICTFontTextStyleBody" w:cs="Times New Roman"/>
          <w:sz w:val="26"/>
          <w:szCs w:val="26"/>
          <w:lang w:val="en-001" w:eastAsia="en-GB"/>
        </w:rPr>
        <w:t xml:space="preserve">Wright, J. et al. (2020) </w:t>
      </w:r>
      <w:r w:rsidRPr="00CE75E7">
        <w:rPr>
          <w:rFonts w:ascii="UICTFontTextStyleItalicBody" w:hAnsi="UICTFontTextStyleItalicBody" w:cs="Times New Roman"/>
          <w:i/>
          <w:iCs/>
          <w:sz w:val="26"/>
          <w:szCs w:val="26"/>
          <w:lang w:val="en-001" w:eastAsia="en-GB"/>
        </w:rPr>
        <w:t>Health needs assessment</w:t>
      </w:r>
      <w:r w:rsidRPr="00CE75E7">
        <w:rPr>
          <w:rFonts w:ascii="UICTFontTextStyleBody" w:hAnsi="UICTFontTextStyleBody" w:cs="Times New Roman"/>
          <w:sz w:val="26"/>
          <w:szCs w:val="26"/>
          <w:lang w:val="en-001" w:eastAsia="en-GB"/>
        </w:rPr>
        <w:t>. Available at: https://doi.org/10.1136/bmj.m476 (Accessed: 22/03/2026).</w:t>
      </w:r>
    </w:p>
    <w:p w14:paraId="30F29DDE" w14:textId="77777777" w:rsidR="001B4039" w:rsidRDefault="001B4039" w:rsidP="00D062D0">
      <w:pPr>
        <w:spacing w:before="100" w:beforeAutospacing="1" w:after="100" w:afterAutospacing="1" w:line="360" w:lineRule="auto"/>
        <w:rPr>
          <w:rFonts w:ascii="Arial" w:eastAsiaTheme="majorEastAsia" w:hAnsi="Arial" w:cs="Arial"/>
          <w:lang w:eastAsia="en-GB"/>
        </w:rPr>
      </w:pPr>
    </w:p>
    <w:p w14:paraId="5C13B76E" w14:textId="318B3141" w:rsidR="57D6D52A" w:rsidRPr="00EA33C2" w:rsidRDefault="57D6D52A" w:rsidP="00D062D0">
      <w:pPr>
        <w:spacing w:line="360" w:lineRule="auto"/>
        <w:rPr>
          <w:rFonts w:ascii="Arial" w:eastAsiaTheme="majorEastAsia" w:hAnsi="Arial" w:cs="Arial"/>
        </w:rPr>
      </w:pPr>
    </w:p>
    <w:sectPr w:rsidR="57D6D52A" w:rsidRPr="00EA33C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370E1" w14:textId="77777777" w:rsidR="00CC033D" w:rsidRDefault="00CC033D" w:rsidP="0037184C">
      <w:pPr>
        <w:spacing w:after="0" w:line="240" w:lineRule="auto"/>
      </w:pPr>
      <w:r>
        <w:separator/>
      </w:r>
    </w:p>
  </w:endnote>
  <w:endnote w:type="continuationSeparator" w:id="0">
    <w:p w14:paraId="4AB96781" w14:textId="77777777" w:rsidR="00CC033D" w:rsidRDefault="00CC033D" w:rsidP="00371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325AD" w14:textId="77777777" w:rsidR="00CC033D" w:rsidRDefault="00CC033D" w:rsidP="0037184C">
      <w:pPr>
        <w:spacing w:after="0" w:line="240" w:lineRule="auto"/>
      </w:pPr>
      <w:r>
        <w:separator/>
      </w:r>
    </w:p>
  </w:footnote>
  <w:footnote w:type="continuationSeparator" w:id="0">
    <w:p w14:paraId="79BC5442" w14:textId="77777777" w:rsidR="00CC033D" w:rsidRDefault="00CC033D" w:rsidP="0037184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yys7q7x+LoEfYf" int2:id="Cixio3Ep">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5260CA"/>
    <w:rsid w:val="00053B0D"/>
    <w:rsid w:val="00054352"/>
    <w:rsid w:val="00057D16"/>
    <w:rsid w:val="000A2283"/>
    <w:rsid w:val="000B6E9D"/>
    <w:rsid w:val="000C6919"/>
    <w:rsid w:val="0011302E"/>
    <w:rsid w:val="00114EDE"/>
    <w:rsid w:val="00123E87"/>
    <w:rsid w:val="0012602A"/>
    <w:rsid w:val="00127E06"/>
    <w:rsid w:val="00137A8B"/>
    <w:rsid w:val="00144D61"/>
    <w:rsid w:val="0014639D"/>
    <w:rsid w:val="001A4294"/>
    <w:rsid w:val="001B4039"/>
    <w:rsid w:val="001D25A4"/>
    <w:rsid w:val="001E3D27"/>
    <w:rsid w:val="001E547B"/>
    <w:rsid w:val="001F74D1"/>
    <w:rsid w:val="002115A5"/>
    <w:rsid w:val="002128B4"/>
    <w:rsid w:val="0029332F"/>
    <w:rsid w:val="002A749C"/>
    <w:rsid w:val="002D26FC"/>
    <w:rsid w:val="002D4B69"/>
    <w:rsid w:val="00333B54"/>
    <w:rsid w:val="00337D6A"/>
    <w:rsid w:val="00351F80"/>
    <w:rsid w:val="0037184C"/>
    <w:rsid w:val="003851A0"/>
    <w:rsid w:val="003B0316"/>
    <w:rsid w:val="003C2E55"/>
    <w:rsid w:val="004041DD"/>
    <w:rsid w:val="00443480"/>
    <w:rsid w:val="00451FEB"/>
    <w:rsid w:val="004527C3"/>
    <w:rsid w:val="00473A69"/>
    <w:rsid w:val="004E253B"/>
    <w:rsid w:val="004F35E8"/>
    <w:rsid w:val="0053767F"/>
    <w:rsid w:val="005447B8"/>
    <w:rsid w:val="005B324A"/>
    <w:rsid w:val="005E69B6"/>
    <w:rsid w:val="005E731D"/>
    <w:rsid w:val="005F3A6E"/>
    <w:rsid w:val="00611D5E"/>
    <w:rsid w:val="00653C6C"/>
    <w:rsid w:val="00663400"/>
    <w:rsid w:val="0066577E"/>
    <w:rsid w:val="00670E40"/>
    <w:rsid w:val="0067486B"/>
    <w:rsid w:val="006C3E8C"/>
    <w:rsid w:val="006C6C22"/>
    <w:rsid w:val="006E248B"/>
    <w:rsid w:val="00701A3C"/>
    <w:rsid w:val="00714FF3"/>
    <w:rsid w:val="00717316"/>
    <w:rsid w:val="00726442"/>
    <w:rsid w:val="00737BA7"/>
    <w:rsid w:val="00755AB4"/>
    <w:rsid w:val="0079789A"/>
    <w:rsid w:val="007C2953"/>
    <w:rsid w:val="007D4818"/>
    <w:rsid w:val="007E177D"/>
    <w:rsid w:val="00821339"/>
    <w:rsid w:val="008238AF"/>
    <w:rsid w:val="00835C91"/>
    <w:rsid w:val="00846828"/>
    <w:rsid w:val="008536DD"/>
    <w:rsid w:val="00855795"/>
    <w:rsid w:val="00872400"/>
    <w:rsid w:val="00886D4C"/>
    <w:rsid w:val="008B1B17"/>
    <w:rsid w:val="008B50CB"/>
    <w:rsid w:val="00935D2F"/>
    <w:rsid w:val="009528F7"/>
    <w:rsid w:val="0095714B"/>
    <w:rsid w:val="00972F22"/>
    <w:rsid w:val="00981F17"/>
    <w:rsid w:val="00985D64"/>
    <w:rsid w:val="00990F4C"/>
    <w:rsid w:val="009978B0"/>
    <w:rsid w:val="009B153D"/>
    <w:rsid w:val="009F2B6E"/>
    <w:rsid w:val="009F63EB"/>
    <w:rsid w:val="00A04F5D"/>
    <w:rsid w:val="00A070AB"/>
    <w:rsid w:val="00A54014"/>
    <w:rsid w:val="00A557A4"/>
    <w:rsid w:val="00A577B6"/>
    <w:rsid w:val="00A749E2"/>
    <w:rsid w:val="00A81B34"/>
    <w:rsid w:val="00A9509A"/>
    <w:rsid w:val="00AE4707"/>
    <w:rsid w:val="00AF0380"/>
    <w:rsid w:val="00AF384D"/>
    <w:rsid w:val="00AF4B38"/>
    <w:rsid w:val="00B42CB3"/>
    <w:rsid w:val="00B44718"/>
    <w:rsid w:val="00B47434"/>
    <w:rsid w:val="00B736F5"/>
    <w:rsid w:val="00BA0A60"/>
    <w:rsid w:val="00BA4BCE"/>
    <w:rsid w:val="00BE3DAB"/>
    <w:rsid w:val="00C6614A"/>
    <w:rsid w:val="00C865DB"/>
    <w:rsid w:val="00CA30FE"/>
    <w:rsid w:val="00CA6A31"/>
    <w:rsid w:val="00CB269C"/>
    <w:rsid w:val="00CC033D"/>
    <w:rsid w:val="00CC20C9"/>
    <w:rsid w:val="00CE75E7"/>
    <w:rsid w:val="00D062D0"/>
    <w:rsid w:val="00D13B8C"/>
    <w:rsid w:val="00D47890"/>
    <w:rsid w:val="00D517BB"/>
    <w:rsid w:val="00D55785"/>
    <w:rsid w:val="00D574A3"/>
    <w:rsid w:val="00D96961"/>
    <w:rsid w:val="00DB5AF8"/>
    <w:rsid w:val="00DC1688"/>
    <w:rsid w:val="00DD4992"/>
    <w:rsid w:val="00E269DA"/>
    <w:rsid w:val="00E55C78"/>
    <w:rsid w:val="00E6646C"/>
    <w:rsid w:val="00E955E6"/>
    <w:rsid w:val="00EA33C2"/>
    <w:rsid w:val="00EB525C"/>
    <w:rsid w:val="00EC05C9"/>
    <w:rsid w:val="00EC6D42"/>
    <w:rsid w:val="00ED3F93"/>
    <w:rsid w:val="00EE3F47"/>
    <w:rsid w:val="00EF4678"/>
    <w:rsid w:val="00F02FDD"/>
    <w:rsid w:val="00F202E1"/>
    <w:rsid w:val="00F2094C"/>
    <w:rsid w:val="00F20A7B"/>
    <w:rsid w:val="00F2160B"/>
    <w:rsid w:val="00F35F4D"/>
    <w:rsid w:val="00F451C7"/>
    <w:rsid w:val="00F73819"/>
    <w:rsid w:val="00F9786D"/>
    <w:rsid w:val="00FB0BA7"/>
    <w:rsid w:val="00FB7ED2"/>
    <w:rsid w:val="00FD2659"/>
    <w:rsid w:val="02659CD4"/>
    <w:rsid w:val="02B28EAD"/>
    <w:rsid w:val="0A0519BE"/>
    <w:rsid w:val="0CC1EBDE"/>
    <w:rsid w:val="0D33940C"/>
    <w:rsid w:val="0F0F257E"/>
    <w:rsid w:val="0FF47396"/>
    <w:rsid w:val="114FA9F2"/>
    <w:rsid w:val="142B956F"/>
    <w:rsid w:val="15948445"/>
    <w:rsid w:val="164EAFF1"/>
    <w:rsid w:val="1A194FF5"/>
    <w:rsid w:val="1AADBDF3"/>
    <w:rsid w:val="1B564751"/>
    <w:rsid w:val="1B8BFA10"/>
    <w:rsid w:val="1BA98048"/>
    <w:rsid w:val="1EA8A098"/>
    <w:rsid w:val="1F3F30C8"/>
    <w:rsid w:val="215E3F02"/>
    <w:rsid w:val="23AD3458"/>
    <w:rsid w:val="252BBF7B"/>
    <w:rsid w:val="270602C5"/>
    <w:rsid w:val="28637F4C"/>
    <w:rsid w:val="28FA1153"/>
    <w:rsid w:val="2AA140E7"/>
    <w:rsid w:val="2BB87F4A"/>
    <w:rsid w:val="2BE968F2"/>
    <w:rsid w:val="2CE3C72A"/>
    <w:rsid w:val="3500508B"/>
    <w:rsid w:val="37364999"/>
    <w:rsid w:val="3BA17734"/>
    <w:rsid w:val="3D12E750"/>
    <w:rsid w:val="3E5201F9"/>
    <w:rsid w:val="3F559231"/>
    <w:rsid w:val="40870DF4"/>
    <w:rsid w:val="43EFF529"/>
    <w:rsid w:val="4471340A"/>
    <w:rsid w:val="44CA0535"/>
    <w:rsid w:val="454B40A9"/>
    <w:rsid w:val="466ABF13"/>
    <w:rsid w:val="480744B4"/>
    <w:rsid w:val="48686F71"/>
    <w:rsid w:val="4F250BFD"/>
    <w:rsid w:val="4F287D3D"/>
    <w:rsid w:val="51BB7D0D"/>
    <w:rsid w:val="5482190F"/>
    <w:rsid w:val="57D6D52A"/>
    <w:rsid w:val="5940B32B"/>
    <w:rsid w:val="5BF8D3D0"/>
    <w:rsid w:val="5CAE71D0"/>
    <w:rsid w:val="5DA24FDC"/>
    <w:rsid w:val="5E15166B"/>
    <w:rsid w:val="6224951C"/>
    <w:rsid w:val="62BAF1A9"/>
    <w:rsid w:val="63002E61"/>
    <w:rsid w:val="632BA6C4"/>
    <w:rsid w:val="64ACC0CC"/>
    <w:rsid w:val="6549564D"/>
    <w:rsid w:val="654B212B"/>
    <w:rsid w:val="65C8252D"/>
    <w:rsid w:val="6A3AA3ED"/>
    <w:rsid w:val="6A954BF6"/>
    <w:rsid w:val="6C7A49A3"/>
    <w:rsid w:val="6D97E474"/>
    <w:rsid w:val="712157DD"/>
    <w:rsid w:val="715A0356"/>
    <w:rsid w:val="74C66E49"/>
    <w:rsid w:val="76604547"/>
    <w:rsid w:val="77AFF215"/>
    <w:rsid w:val="79C30BC8"/>
    <w:rsid w:val="79C5FEB1"/>
    <w:rsid w:val="7A705E09"/>
    <w:rsid w:val="7B2953BB"/>
    <w:rsid w:val="7C5260CA"/>
    <w:rsid w:val="7D5906A1"/>
    <w:rsid w:val="7D5D48E4"/>
    <w:rsid w:val="7D66F268"/>
    <w:rsid w:val="7D876B4A"/>
    <w:rsid w:val="7E916E6D"/>
    <w:rsid w:val="7ED286E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260CA"/>
  <w15:chartTrackingRefBased/>
  <w15:docId w15:val="{D801185C-82E2-E143-8BDF-BF3F31F77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36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536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536DD"/>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36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36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36DD"/>
    <w:rPr>
      <w:rFonts w:eastAsiaTheme="majorEastAsia" w:cstheme="majorBidi"/>
      <w:color w:val="0F4761" w:themeColor="accent1" w:themeShade="BF"/>
      <w:sz w:val="28"/>
      <w:szCs w:val="28"/>
    </w:rPr>
  </w:style>
  <w:style w:type="character" w:customStyle="1" w:styleId="s1">
    <w:name w:val="s1"/>
    <w:basedOn w:val="DefaultParagraphFont"/>
    <w:rsid w:val="008536DD"/>
  </w:style>
  <w:style w:type="paragraph" w:customStyle="1" w:styleId="p2">
    <w:name w:val="p2"/>
    <w:basedOn w:val="Normal"/>
    <w:rsid w:val="008536DD"/>
    <w:pPr>
      <w:spacing w:before="100" w:beforeAutospacing="1" w:after="100" w:afterAutospacing="1" w:line="240" w:lineRule="auto"/>
    </w:pPr>
    <w:rPr>
      <w:rFonts w:ascii="Times New Roman" w:hAnsi="Times New Roman" w:cs="Times New Roman"/>
      <w:lang w:val="en-001" w:eastAsia="en-GB"/>
    </w:rPr>
  </w:style>
  <w:style w:type="character" w:customStyle="1" w:styleId="s2">
    <w:name w:val="s2"/>
    <w:basedOn w:val="DefaultParagraphFont"/>
    <w:rsid w:val="008536DD"/>
  </w:style>
  <w:style w:type="paragraph" w:customStyle="1" w:styleId="p3">
    <w:name w:val="p3"/>
    <w:basedOn w:val="Normal"/>
    <w:rsid w:val="008536DD"/>
    <w:pPr>
      <w:spacing w:before="100" w:beforeAutospacing="1" w:after="100" w:afterAutospacing="1" w:line="240" w:lineRule="auto"/>
    </w:pPr>
    <w:rPr>
      <w:rFonts w:ascii="Times New Roman" w:hAnsi="Times New Roman" w:cs="Times New Roman"/>
      <w:lang w:val="en-001" w:eastAsia="en-GB"/>
    </w:rPr>
  </w:style>
  <w:style w:type="character" w:customStyle="1" w:styleId="s3">
    <w:name w:val="s3"/>
    <w:basedOn w:val="DefaultParagraphFont"/>
    <w:rsid w:val="00D47890"/>
  </w:style>
  <w:style w:type="character" w:styleId="Hyperlink">
    <w:name w:val="Hyperlink"/>
    <w:basedOn w:val="DefaultParagraphFont"/>
    <w:uiPriority w:val="99"/>
    <w:semiHidden/>
    <w:unhideWhenUsed/>
    <w:rsid w:val="00D47890"/>
    <w:rPr>
      <w:color w:val="0000FF"/>
      <w:u w:val="single"/>
    </w:rPr>
  </w:style>
  <w:style w:type="paragraph" w:customStyle="1" w:styleId="p1">
    <w:name w:val="p1"/>
    <w:basedOn w:val="Normal"/>
    <w:rsid w:val="00717316"/>
    <w:pPr>
      <w:spacing w:after="0" w:line="240" w:lineRule="auto"/>
    </w:pPr>
    <w:rPr>
      <w:rFonts w:ascii=".AppleSystemUIFont" w:hAnsi=".AppleSystemUIFont" w:cs="Times New Roman"/>
      <w:sz w:val="26"/>
      <w:szCs w:val="26"/>
      <w:lang w:val="en-001" w:eastAsia="en-GB"/>
    </w:rPr>
  </w:style>
  <w:style w:type="character" w:customStyle="1" w:styleId="apple-converted-space">
    <w:name w:val="apple-converted-space"/>
    <w:basedOn w:val="DefaultParagraphFont"/>
    <w:rsid w:val="00717316"/>
  </w:style>
  <w:style w:type="paragraph" w:styleId="Header">
    <w:name w:val="header"/>
    <w:basedOn w:val="Normal"/>
    <w:link w:val="HeaderChar"/>
    <w:uiPriority w:val="99"/>
    <w:unhideWhenUsed/>
    <w:rsid w:val="003718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84C"/>
  </w:style>
  <w:style w:type="paragraph" w:styleId="Footer">
    <w:name w:val="footer"/>
    <w:basedOn w:val="Normal"/>
    <w:link w:val="FooterChar"/>
    <w:uiPriority w:val="99"/>
    <w:unhideWhenUsed/>
    <w:rsid w:val="003718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8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2094</TotalTime>
  <Pages>14</Pages>
  <Words>3783</Words>
  <Characters>21564</Characters>
  <Application>Microsoft Office Word</Application>
  <DocSecurity>0</DocSecurity>
  <Lines>179</Lines>
  <Paragraphs>50</Paragraphs>
  <ScaleCrop>false</ScaleCrop>
  <Company/>
  <LinksUpToDate>false</LinksUpToDate>
  <CharactersWithSpaces>25297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Carina Gomes (2222912)</dc:creator>
  <cp:keywords/>
  <dc:description/>
  <cp:lastModifiedBy>Carina Gomes (2222912)</cp:lastModifiedBy>
  <cp:revision>57</cp:revision>
  <dcterms:created xsi:type="dcterms:W3CDTF">2026-03-18T13:11:00Z</dcterms:created>
  <dcterms:modified xsi:type="dcterms:W3CDTF">2026-03-23T09:23:00Z</dcterms:modified>
</cp:coreProperties>
</file>