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6E9AEA" w14:textId="77777777" w:rsidR="00276C92" w:rsidRDefault="00000000">
      <w:pPr>
        <w:spacing w:before="480" w:after="240"/>
        <w:jc w:val="center"/>
      </w:pPr>
      <w:r>
        <w:rPr>
          <w:b/>
          <w:bCs/>
          <w:color w:val="666666"/>
        </w:rPr>
        <w:t>LCDB</w:t>
      </w:r>
      <w:proofErr w:type="gramStart"/>
      <w:r>
        <w:rPr>
          <w:b/>
          <w:bCs/>
          <w:color w:val="666666"/>
        </w:rPr>
        <w:t>7007  ·</w:t>
      </w:r>
      <w:proofErr w:type="gramEnd"/>
      <w:r>
        <w:rPr>
          <w:b/>
          <w:bCs/>
          <w:color w:val="666666"/>
        </w:rPr>
        <w:t xml:space="preserve">  Research Principles and Philosophy</w:t>
      </w:r>
    </w:p>
    <w:p w14:paraId="5039B01D" w14:textId="77777777" w:rsidR="00276C92" w:rsidRDefault="00000000">
      <w:pPr>
        <w:spacing w:after="200"/>
        <w:jc w:val="center"/>
      </w:pPr>
      <w:r>
        <w:rPr>
          <w:b/>
          <w:bCs/>
          <w:color w:val="1C2B4A"/>
          <w:sz w:val="52"/>
          <w:szCs w:val="52"/>
        </w:rPr>
        <w:t>Research Limitations in Doctoral Research</w:t>
      </w:r>
    </w:p>
    <w:p w14:paraId="50262FB6" w14:textId="0DAE95BF" w:rsidR="00276C92" w:rsidRDefault="00000000">
      <w:pPr>
        <w:spacing w:after="200"/>
        <w:jc w:val="center"/>
      </w:pPr>
      <w:r>
        <w:rPr>
          <w:color w:val="1C2B4A"/>
          <w:sz w:val="36"/>
          <w:szCs w:val="36"/>
        </w:rPr>
        <w:t xml:space="preserve"> Answer Book</w:t>
      </w:r>
    </w:p>
    <w:p w14:paraId="64013786" w14:textId="77777777" w:rsidR="00276C92" w:rsidRDefault="00000000">
      <w:pPr>
        <w:spacing w:after="480"/>
        <w:jc w:val="center"/>
      </w:pPr>
      <w:r>
        <w:rPr>
          <w:b/>
          <w:bCs/>
          <w:color w:val="8B0000"/>
          <w:sz w:val="28"/>
          <w:szCs w:val="28"/>
        </w:rPr>
        <w:t>NOT FOR DISTRIBUTION TO STUDENTS</w:t>
      </w:r>
    </w:p>
    <w:p w14:paraId="1DBC0ACA" w14:textId="77777777" w:rsidR="00276C92" w:rsidRDefault="00000000">
      <w:pPr>
        <w:spacing w:after="480"/>
        <w:jc w:val="center"/>
      </w:pPr>
      <w:r>
        <w:rPr>
          <w:color w:val="666666"/>
        </w:rPr>
        <w:t xml:space="preserve">Dr Caroline </w:t>
      </w:r>
      <w:proofErr w:type="gramStart"/>
      <w:r>
        <w:rPr>
          <w:color w:val="666666"/>
        </w:rPr>
        <w:t>Jawad  |</w:t>
      </w:r>
      <w:proofErr w:type="gramEnd"/>
      <w:r>
        <w:rPr>
          <w:color w:val="666666"/>
        </w:rPr>
        <w:t xml:space="preserve">  University of Wales Trinity Saint </w:t>
      </w:r>
      <w:proofErr w:type="gramStart"/>
      <w:r>
        <w:rPr>
          <w:color w:val="666666"/>
        </w:rPr>
        <w:t>David  |</w:t>
      </w:r>
      <w:proofErr w:type="gramEnd"/>
      <w:r>
        <w:rPr>
          <w:color w:val="666666"/>
        </w:rPr>
        <w:t xml:space="preserve">  Swansea Business Campus</w:t>
      </w:r>
    </w:p>
    <w:p w14:paraId="51F6AB91" w14:textId="6CC80BF3" w:rsidR="00276C92" w:rsidRDefault="00000000">
      <w:pPr>
        <w:spacing w:after="120"/>
      </w:pPr>
      <w:r>
        <w:rPr>
          <w:color w:val="111111"/>
        </w:rPr>
        <w:t>This answer book provides model answers, key points to listen for, common errors to address, and facilitation notes for each activity. Answers shown in green are model or exemplar responses. Red notes flag common student errors and facilitation priorities. All answers are framed for qualitative/interpretivist/social constructionist DBA research</w:t>
      </w:r>
      <w:r w:rsidR="00E24EFA">
        <w:rPr>
          <w:color w:val="111111"/>
        </w:rPr>
        <w:t xml:space="preserve"> - </w:t>
      </w:r>
      <w:r>
        <w:rPr>
          <w:color w:val="111111"/>
        </w:rPr>
        <w:t>adjust prompting for quantitative or mixed-methods students as noted.</w:t>
      </w:r>
    </w:p>
    <w:p w14:paraId="7F20BEC0" w14:textId="77777777" w:rsidR="00276C92" w:rsidRDefault="00000000">
      <w:r>
        <w:br w:type="page"/>
      </w:r>
    </w:p>
    <w:p w14:paraId="2642CD3A" w14:textId="149BDA3F" w:rsidR="00276C92" w:rsidRDefault="00000000">
      <w:pPr>
        <w:pStyle w:val="Heading1"/>
        <w:pBdr>
          <w:bottom w:val="single" w:sz="4" w:space="4" w:color="C9A84C"/>
        </w:pBdr>
      </w:pPr>
      <w:r>
        <w:lastRenderedPageBreak/>
        <w:t xml:space="preserve">Section </w:t>
      </w:r>
      <w:proofErr w:type="gramStart"/>
      <w:r>
        <w:t>1  ·</w:t>
      </w:r>
      <w:proofErr w:type="gramEnd"/>
      <w:r>
        <w:t xml:space="preserve">  Scope and Limitations</w:t>
      </w:r>
      <w:r w:rsidR="00E24EFA">
        <w:t xml:space="preserve"> - </w:t>
      </w:r>
      <w:r>
        <w:t>Answer Guidance</w:t>
      </w:r>
    </w:p>
    <w:p w14:paraId="6BC7FF1D" w14:textId="21496E63" w:rsidR="00276C92" w:rsidRDefault="00000000">
      <w:pPr>
        <w:pStyle w:val="Heading2"/>
      </w:pPr>
      <w:r>
        <w:t>Conceptual table</w:t>
      </w:r>
      <w:r w:rsidR="00E24EFA">
        <w:t xml:space="preserve"> - </w:t>
      </w:r>
      <w:r>
        <w:t>expected student understanding</w:t>
      </w:r>
    </w:p>
    <w:tbl>
      <w:tblPr>
        <w:tblStyle w:val="a"/>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400"/>
        <w:gridCol w:w="6960"/>
      </w:tblGrid>
      <w:tr w:rsidR="00276C92" w14:paraId="062009FE" w14:textId="77777777">
        <w:tc>
          <w:tcPr>
            <w:tcW w:w="2400" w:type="dxa"/>
            <w:tcBorders>
              <w:top w:val="single" w:sz="4" w:space="0" w:color="CCCCCC"/>
              <w:left w:val="single" w:sz="4" w:space="0" w:color="CCCCCC"/>
              <w:bottom w:val="single" w:sz="4" w:space="0" w:color="CCCCCC"/>
              <w:right w:val="single" w:sz="4" w:space="0" w:color="CCCCCC"/>
            </w:tcBorders>
            <w:shd w:val="clear" w:color="auto" w:fill="1C2B4A"/>
            <w:tcMar>
              <w:top w:w="80" w:type="dxa"/>
              <w:left w:w="120" w:type="dxa"/>
              <w:bottom w:w="80" w:type="dxa"/>
              <w:right w:w="120" w:type="dxa"/>
            </w:tcMar>
          </w:tcPr>
          <w:p w14:paraId="7292DB97" w14:textId="77777777" w:rsidR="00276C92" w:rsidRDefault="00000000">
            <w:r>
              <w:rPr>
                <w:b/>
                <w:bCs/>
                <w:color w:val="FFFFFF"/>
                <w:sz w:val="20"/>
                <w:szCs w:val="20"/>
              </w:rPr>
              <w:t>Concept</w:t>
            </w:r>
          </w:p>
        </w:tc>
        <w:tc>
          <w:tcPr>
            <w:tcW w:w="6960" w:type="dxa"/>
            <w:tcBorders>
              <w:top w:val="single" w:sz="4" w:space="0" w:color="CCCCCC"/>
              <w:left w:val="single" w:sz="4" w:space="0" w:color="CCCCCC"/>
              <w:bottom w:val="single" w:sz="4" w:space="0" w:color="CCCCCC"/>
              <w:right w:val="single" w:sz="4" w:space="0" w:color="CCCCCC"/>
            </w:tcBorders>
            <w:shd w:val="clear" w:color="auto" w:fill="1C2B4A"/>
            <w:tcMar>
              <w:top w:w="80" w:type="dxa"/>
              <w:left w:w="120" w:type="dxa"/>
              <w:bottom w:w="80" w:type="dxa"/>
              <w:right w:w="120" w:type="dxa"/>
            </w:tcMar>
          </w:tcPr>
          <w:p w14:paraId="06FF2AF7" w14:textId="77777777" w:rsidR="00276C92" w:rsidRDefault="00000000">
            <w:r>
              <w:rPr>
                <w:b/>
                <w:bCs/>
                <w:color w:val="FFFFFF"/>
                <w:sz w:val="20"/>
                <w:szCs w:val="20"/>
              </w:rPr>
              <w:t>What a strong student answer includes</w:t>
            </w:r>
          </w:p>
        </w:tc>
      </w:tr>
      <w:tr w:rsidR="00276C92" w14:paraId="34F3AF0E" w14:textId="77777777">
        <w:tc>
          <w:tcPr>
            <w:tcW w:w="24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162C1AF6" w14:textId="77777777" w:rsidR="00276C92" w:rsidRDefault="00000000">
            <w:r>
              <w:rPr>
                <w:b/>
                <w:bCs/>
                <w:color w:val="111111"/>
                <w:sz w:val="21"/>
                <w:szCs w:val="21"/>
              </w:rPr>
              <w:t>Scope / delimitations</w:t>
            </w:r>
          </w:p>
        </w:tc>
        <w:tc>
          <w:tcPr>
            <w:tcW w:w="69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512FFFF" w14:textId="79F7EE2E" w:rsidR="00276C92" w:rsidRDefault="00000000">
            <w:r>
              <w:rPr>
                <w:color w:val="111111"/>
                <w:sz w:val="21"/>
                <w:szCs w:val="21"/>
              </w:rPr>
              <w:t xml:space="preserve">Sector, geography, </w:t>
            </w:r>
            <w:proofErr w:type="gramStart"/>
            <w:r>
              <w:rPr>
                <w:color w:val="111111"/>
                <w:sz w:val="21"/>
                <w:szCs w:val="21"/>
              </w:rPr>
              <w:t>time period</w:t>
            </w:r>
            <w:proofErr w:type="gramEnd"/>
            <w:r>
              <w:rPr>
                <w:color w:val="111111"/>
                <w:sz w:val="21"/>
                <w:szCs w:val="21"/>
              </w:rPr>
              <w:t>, methodology, participant group</w:t>
            </w:r>
            <w:r w:rsidR="00E24EFA">
              <w:rPr>
                <w:color w:val="111111"/>
                <w:sz w:val="21"/>
                <w:szCs w:val="21"/>
              </w:rPr>
              <w:t xml:space="preserve"> - </w:t>
            </w:r>
            <w:r>
              <w:rPr>
                <w:color w:val="111111"/>
                <w:sz w:val="21"/>
                <w:szCs w:val="21"/>
              </w:rPr>
              <w:t>framed as deliberate choices that make the study feasible. Not apology.</w:t>
            </w:r>
          </w:p>
        </w:tc>
      </w:tr>
      <w:tr w:rsidR="00276C92" w14:paraId="261E9106" w14:textId="77777777">
        <w:tc>
          <w:tcPr>
            <w:tcW w:w="24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038F88A0" w14:textId="77777777" w:rsidR="00276C92" w:rsidRDefault="00000000">
            <w:r>
              <w:rPr>
                <w:b/>
                <w:bCs/>
                <w:color w:val="111111"/>
                <w:sz w:val="21"/>
                <w:szCs w:val="21"/>
              </w:rPr>
              <w:t>Limitations</w:t>
            </w:r>
          </w:p>
        </w:tc>
        <w:tc>
          <w:tcPr>
            <w:tcW w:w="69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479221D" w14:textId="77777777" w:rsidR="00276C92" w:rsidRDefault="00000000">
            <w:r>
              <w:rPr>
                <w:color w:val="111111"/>
                <w:sz w:val="21"/>
                <w:szCs w:val="21"/>
              </w:rPr>
              <w:t>Constraints arising from those choices or from access, positionality, or context. Acknowledged with scholarly language and a management strategy.</w:t>
            </w:r>
          </w:p>
        </w:tc>
      </w:tr>
      <w:tr w:rsidR="00276C92" w14:paraId="720C661E" w14:textId="77777777">
        <w:tc>
          <w:tcPr>
            <w:tcW w:w="24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7DAE4886" w14:textId="77777777" w:rsidR="00276C92" w:rsidRDefault="00000000">
            <w:r>
              <w:rPr>
                <w:b/>
                <w:bCs/>
                <w:color w:val="111111"/>
                <w:sz w:val="21"/>
                <w:szCs w:val="21"/>
              </w:rPr>
              <w:t>Trustworthiness</w:t>
            </w:r>
          </w:p>
        </w:tc>
        <w:tc>
          <w:tcPr>
            <w:tcW w:w="69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2214979" w14:textId="77777777" w:rsidR="00276C92" w:rsidRDefault="00000000">
            <w:r>
              <w:rPr>
                <w:color w:val="111111"/>
                <w:sz w:val="21"/>
                <w:szCs w:val="21"/>
              </w:rPr>
              <w:t>Correctly attributes the four criteria to Lincoln &amp; Guba (1985). Does not use validity/reliability language for qualitative work.</w:t>
            </w:r>
          </w:p>
        </w:tc>
      </w:tr>
    </w:tbl>
    <w:p w14:paraId="60B691D2" w14:textId="77777777" w:rsidR="00276C92" w:rsidRDefault="00276C92">
      <w:pPr>
        <w:spacing w:after="80"/>
      </w:pPr>
    </w:p>
    <w:p w14:paraId="5705081E" w14:textId="1A23E29D" w:rsidR="00276C92" w:rsidRDefault="00000000">
      <w:pPr>
        <w:spacing w:after="120"/>
        <w:ind w:left="240"/>
      </w:pPr>
      <w:r>
        <w:rPr>
          <w:b/>
          <w:bCs/>
          <w:color w:val="8B0000"/>
          <w:sz w:val="20"/>
          <w:szCs w:val="20"/>
        </w:rPr>
        <w:t xml:space="preserve"> note: </w:t>
      </w:r>
      <w:r>
        <w:rPr>
          <w:color w:val="8B0000"/>
          <w:sz w:val="20"/>
          <w:szCs w:val="20"/>
        </w:rPr>
        <w:t xml:space="preserve">The most common error at this stage: students conflate scope and </w:t>
      </w:r>
      <w:proofErr w:type="gramStart"/>
      <w:r>
        <w:rPr>
          <w:color w:val="8B0000"/>
          <w:sz w:val="20"/>
          <w:szCs w:val="20"/>
        </w:rPr>
        <w:t>limitations, or</w:t>
      </w:r>
      <w:proofErr w:type="gramEnd"/>
      <w:r>
        <w:rPr>
          <w:color w:val="8B0000"/>
          <w:sz w:val="20"/>
          <w:szCs w:val="20"/>
        </w:rPr>
        <w:t xml:space="preserve"> treat scope as a limitation. If this arises, reinforce that scope = choice; limitation = constraint arising from that choice or from outside the researcher's control.</w:t>
      </w:r>
    </w:p>
    <w:p w14:paraId="77155723" w14:textId="77777777" w:rsidR="00276C92" w:rsidRDefault="00276C92">
      <w:pPr>
        <w:spacing w:after="80"/>
      </w:pPr>
    </w:p>
    <w:p w14:paraId="08BCDDAB" w14:textId="42D8B4D4" w:rsidR="00276C92" w:rsidRDefault="00000000">
      <w:pPr>
        <w:pStyle w:val="Heading2"/>
      </w:pPr>
      <w:r>
        <w:t>Activity 1A</w:t>
      </w:r>
      <w:r w:rsidR="00E24EFA">
        <w:t xml:space="preserve"> - </w:t>
      </w:r>
      <w:r>
        <w:t>Model answer guidance</w:t>
      </w:r>
    </w:p>
    <w:p w14:paraId="509097A7" w14:textId="5DC989C6" w:rsidR="00276C92" w:rsidRDefault="00000000">
      <w:pPr>
        <w:spacing w:before="200" w:after="80"/>
      </w:pPr>
      <w:r>
        <w:rPr>
          <w:b/>
          <w:bCs/>
          <w:color w:val="1C2B4A"/>
        </w:rPr>
        <w:t>Task 1</w:t>
      </w:r>
      <w:r w:rsidR="00E24EFA">
        <w:rPr>
          <w:b/>
          <w:bCs/>
          <w:color w:val="1C2B4A"/>
        </w:rPr>
        <w:t xml:space="preserve"> - </w:t>
      </w:r>
      <w:r>
        <w:rPr>
          <w:b/>
          <w:bCs/>
          <w:color w:val="1C2B4A"/>
        </w:rPr>
        <w:t>Delimitations: what to listen for</w:t>
      </w:r>
    </w:p>
    <w:p w14:paraId="5616B3CA" w14:textId="7014FE35" w:rsidR="00276C92" w:rsidRDefault="00000000">
      <w:pPr>
        <w:spacing w:after="120"/>
      </w:pPr>
      <w:r>
        <w:rPr>
          <w:color w:val="111111"/>
        </w:rPr>
        <w:t>Strong answers will include justified, specific scope choices</w:t>
      </w:r>
      <w:r w:rsidR="00E24EFA">
        <w:rPr>
          <w:color w:val="111111"/>
        </w:rPr>
        <w:t xml:space="preserve"> - </w:t>
      </w:r>
      <w:r>
        <w:rPr>
          <w:color w:val="111111"/>
        </w:rPr>
        <w:t>not vague generalities. Examples of strong responses:</w:t>
      </w:r>
    </w:p>
    <w:p w14:paraId="3FFC2938" w14:textId="77777777" w:rsidR="00276C92" w:rsidRDefault="00000000">
      <w:pPr>
        <w:numPr>
          <w:ilvl w:val="0"/>
          <w:numId w:val="1"/>
        </w:numPr>
        <w:pBdr>
          <w:top w:val="nil"/>
          <w:left w:val="nil"/>
          <w:bottom w:val="nil"/>
          <w:right w:val="nil"/>
          <w:between w:val="nil"/>
        </w:pBdr>
        <w:spacing w:after="80"/>
      </w:pPr>
      <w:r>
        <w:rPr>
          <w:color w:val="1A5C2A"/>
        </w:rPr>
        <w:t>'I am focusing on the Nigerian banking sector because this is where the governance gap identified in my literature review is most acute.'</w:t>
      </w:r>
    </w:p>
    <w:p w14:paraId="47C62535" w14:textId="77777777" w:rsidR="00276C92" w:rsidRDefault="00000000">
      <w:pPr>
        <w:numPr>
          <w:ilvl w:val="0"/>
          <w:numId w:val="1"/>
        </w:numPr>
        <w:pBdr>
          <w:top w:val="nil"/>
          <w:left w:val="nil"/>
          <w:bottom w:val="nil"/>
          <w:right w:val="nil"/>
          <w:between w:val="nil"/>
        </w:pBdr>
        <w:spacing w:after="80"/>
      </w:pPr>
      <w:r>
        <w:rPr>
          <w:color w:val="1A5C2A"/>
        </w:rPr>
        <w:t>'I am limiting my sample to senior executives rather than all employees because my research question concerns strategic decision-making.'</w:t>
      </w:r>
    </w:p>
    <w:p w14:paraId="178E3042" w14:textId="77777777" w:rsidR="00276C92" w:rsidRDefault="00000000">
      <w:pPr>
        <w:numPr>
          <w:ilvl w:val="0"/>
          <w:numId w:val="1"/>
        </w:numPr>
        <w:pBdr>
          <w:top w:val="nil"/>
          <w:left w:val="nil"/>
          <w:bottom w:val="nil"/>
          <w:right w:val="nil"/>
          <w:between w:val="nil"/>
        </w:pBdr>
        <w:spacing w:after="80"/>
      </w:pPr>
      <w:r>
        <w:rPr>
          <w:color w:val="1A5C2A"/>
        </w:rPr>
        <w:t>'I am using a cross-sectional design covering 2020–2023 because this captures the post-COVID governance reforms relevant to my study.'</w:t>
      </w:r>
    </w:p>
    <w:p w14:paraId="44DE0AD3" w14:textId="77777777" w:rsidR="00276C92" w:rsidRDefault="00276C92">
      <w:pPr>
        <w:spacing w:after="80"/>
      </w:pPr>
    </w:p>
    <w:p w14:paraId="155218FF" w14:textId="0CD813FB" w:rsidR="00276C92" w:rsidRDefault="00000000">
      <w:pPr>
        <w:spacing w:after="120"/>
        <w:ind w:left="240"/>
      </w:pPr>
      <w:r>
        <w:rPr>
          <w:b/>
          <w:bCs/>
          <w:color w:val="8B0000"/>
          <w:sz w:val="20"/>
          <w:szCs w:val="20"/>
        </w:rPr>
        <w:t xml:space="preserve"> note: </w:t>
      </w:r>
      <w:r>
        <w:rPr>
          <w:color w:val="8B0000"/>
          <w:sz w:val="20"/>
          <w:szCs w:val="20"/>
        </w:rPr>
        <w:t>Weak answers: 'I am only studying one sector because it was easier to access.' Challenge students to re-frame access decisions as methodological rationale</w:t>
      </w:r>
      <w:r w:rsidR="00E24EFA">
        <w:rPr>
          <w:color w:val="8B0000"/>
          <w:sz w:val="20"/>
          <w:szCs w:val="20"/>
        </w:rPr>
        <w:t xml:space="preserve"> - </w:t>
      </w:r>
      <w:r>
        <w:rPr>
          <w:color w:val="8B0000"/>
          <w:sz w:val="20"/>
          <w:szCs w:val="20"/>
        </w:rPr>
        <w:t>what does studying this specific sector enable?</w:t>
      </w:r>
    </w:p>
    <w:p w14:paraId="0995A809" w14:textId="77777777" w:rsidR="00276C92" w:rsidRDefault="00276C92">
      <w:pPr>
        <w:spacing w:after="80"/>
      </w:pPr>
    </w:p>
    <w:p w14:paraId="4D5C19FD" w14:textId="3BE72C7B" w:rsidR="00276C92" w:rsidRDefault="00000000">
      <w:pPr>
        <w:spacing w:before="200" w:after="80"/>
      </w:pPr>
      <w:r>
        <w:rPr>
          <w:b/>
          <w:bCs/>
          <w:color w:val="1C2B4A"/>
        </w:rPr>
        <w:t>Task 2</w:t>
      </w:r>
      <w:r w:rsidR="00E24EFA">
        <w:rPr>
          <w:b/>
          <w:bCs/>
          <w:color w:val="1C2B4A"/>
        </w:rPr>
        <w:t xml:space="preserve"> - </w:t>
      </w:r>
      <w:r>
        <w:rPr>
          <w:b/>
          <w:bCs/>
          <w:color w:val="1C2B4A"/>
        </w:rPr>
        <w:t>Limitations: what to listen for</w:t>
      </w:r>
    </w:p>
    <w:p w14:paraId="615DEC01" w14:textId="77777777" w:rsidR="00276C92" w:rsidRDefault="00000000">
      <w:pPr>
        <w:spacing w:after="120"/>
      </w:pPr>
      <w:r>
        <w:rPr>
          <w:color w:val="111111"/>
        </w:rPr>
        <w:t>Strong answers correctly match limitation type to the constraint. Model responses by type:</w:t>
      </w:r>
    </w:p>
    <w:p w14:paraId="6B33CE2F" w14:textId="23E64670" w:rsidR="00276C92" w:rsidRDefault="00000000">
      <w:pPr>
        <w:numPr>
          <w:ilvl w:val="0"/>
          <w:numId w:val="1"/>
        </w:numPr>
        <w:pBdr>
          <w:top w:val="nil"/>
          <w:left w:val="nil"/>
          <w:bottom w:val="nil"/>
          <w:right w:val="nil"/>
          <w:between w:val="nil"/>
        </w:pBdr>
        <w:spacing w:after="80"/>
      </w:pPr>
      <w:r>
        <w:rPr>
          <w:color w:val="1A5C2A"/>
        </w:rPr>
        <w:t>Methodology: 'Semi-structured interviews produce perspectival data</w:t>
      </w:r>
      <w:r w:rsidR="00E24EFA">
        <w:rPr>
          <w:color w:val="1A5C2A"/>
        </w:rPr>
        <w:t xml:space="preserve"> - </w:t>
      </w:r>
      <w:r>
        <w:rPr>
          <w:color w:val="1A5C2A"/>
        </w:rPr>
        <w:t>participant accounts reflect their construction of events, not objective facts (Lincoln &amp; Guba, 1985).'</w:t>
      </w:r>
    </w:p>
    <w:p w14:paraId="3D79C986" w14:textId="77777777" w:rsidR="00276C92" w:rsidRDefault="00000000">
      <w:pPr>
        <w:numPr>
          <w:ilvl w:val="0"/>
          <w:numId w:val="1"/>
        </w:numPr>
        <w:pBdr>
          <w:top w:val="nil"/>
          <w:left w:val="nil"/>
          <w:bottom w:val="nil"/>
          <w:right w:val="nil"/>
          <w:between w:val="nil"/>
        </w:pBdr>
        <w:spacing w:after="80"/>
      </w:pPr>
      <w:r>
        <w:rPr>
          <w:color w:val="1A5C2A"/>
        </w:rPr>
        <w:t>Access/sampling: 'Reliance on gatekeepers may result in a sample that reflects organisationally approved narratives rather than candid perspectives (</w:t>
      </w:r>
      <w:proofErr w:type="spellStart"/>
      <w:r>
        <w:rPr>
          <w:color w:val="1A5C2A"/>
        </w:rPr>
        <w:t>Aguinis</w:t>
      </w:r>
      <w:proofErr w:type="spellEnd"/>
      <w:r>
        <w:rPr>
          <w:color w:val="1A5C2A"/>
        </w:rPr>
        <w:t xml:space="preserve"> &amp; </w:t>
      </w:r>
      <w:proofErr w:type="spellStart"/>
      <w:r>
        <w:rPr>
          <w:color w:val="1A5C2A"/>
        </w:rPr>
        <w:t>Solarino</w:t>
      </w:r>
      <w:proofErr w:type="spellEnd"/>
      <w:r>
        <w:rPr>
          <w:color w:val="1A5C2A"/>
        </w:rPr>
        <w:t>, 2019).'</w:t>
      </w:r>
    </w:p>
    <w:p w14:paraId="0434FB9D" w14:textId="77777777" w:rsidR="00276C92" w:rsidRDefault="00000000">
      <w:pPr>
        <w:numPr>
          <w:ilvl w:val="0"/>
          <w:numId w:val="1"/>
        </w:numPr>
        <w:pBdr>
          <w:top w:val="nil"/>
          <w:left w:val="nil"/>
          <w:bottom w:val="nil"/>
          <w:right w:val="nil"/>
          <w:between w:val="nil"/>
        </w:pBdr>
        <w:spacing w:after="80"/>
      </w:pPr>
      <w:r>
        <w:rPr>
          <w:color w:val="1A5C2A"/>
        </w:rPr>
        <w:t>Positionality: 'As a practitioner-researcher in the sector studied, my prior assumptions about leadership practice may shape both interview probing and analytical interpretation (Crotty, 1998).'</w:t>
      </w:r>
    </w:p>
    <w:p w14:paraId="7FA57904" w14:textId="77777777" w:rsidR="00276C92" w:rsidRDefault="00000000">
      <w:pPr>
        <w:numPr>
          <w:ilvl w:val="0"/>
          <w:numId w:val="1"/>
        </w:numPr>
        <w:pBdr>
          <w:top w:val="nil"/>
          <w:left w:val="nil"/>
          <w:bottom w:val="nil"/>
          <w:right w:val="nil"/>
          <w:between w:val="nil"/>
        </w:pBdr>
        <w:spacing w:after="80"/>
      </w:pPr>
      <w:r>
        <w:rPr>
          <w:color w:val="1A5C2A"/>
        </w:rPr>
        <w:t>Temporal: 'A cross-sectional design captures perceptions at a single point in time and cannot account for changes in governance practice before or after the data collection period.'</w:t>
      </w:r>
    </w:p>
    <w:p w14:paraId="0A209D7F" w14:textId="77777777" w:rsidR="00276C92" w:rsidRDefault="00276C92">
      <w:pPr>
        <w:spacing w:after="80"/>
      </w:pPr>
    </w:p>
    <w:p w14:paraId="2046BB2C" w14:textId="7E80C27E" w:rsidR="00276C92" w:rsidRDefault="00000000">
      <w:pPr>
        <w:spacing w:after="120"/>
        <w:ind w:left="240"/>
      </w:pPr>
      <w:r>
        <w:rPr>
          <w:b/>
          <w:bCs/>
          <w:color w:val="8B0000"/>
          <w:sz w:val="20"/>
          <w:szCs w:val="20"/>
        </w:rPr>
        <w:lastRenderedPageBreak/>
        <w:t xml:space="preserve"> note: </w:t>
      </w:r>
      <w:r>
        <w:rPr>
          <w:color w:val="8B0000"/>
          <w:sz w:val="20"/>
          <w:szCs w:val="20"/>
        </w:rPr>
        <w:t>Common error: students write 'I couldn't get more participants' as a limitation without framing it with scholarship. Push for: what is the methodological term for this constraint, and what does the literature say about managing it?</w:t>
      </w:r>
    </w:p>
    <w:p w14:paraId="54875D00" w14:textId="77777777" w:rsidR="00276C92" w:rsidRDefault="00276C92">
      <w:pPr>
        <w:spacing w:after="80"/>
      </w:pPr>
    </w:p>
    <w:p w14:paraId="6807B6EB" w14:textId="433B8172" w:rsidR="00276C92" w:rsidRDefault="00000000">
      <w:pPr>
        <w:spacing w:before="200" w:after="80"/>
      </w:pPr>
      <w:r>
        <w:rPr>
          <w:b/>
          <w:bCs/>
          <w:color w:val="1C2B4A"/>
        </w:rPr>
        <w:t>Task 3</w:t>
      </w:r>
      <w:r w:rsidR="00E24EFA">
        <w:rPr>
          <w:b/>
          <w:bCs/>
          <w:color w:val="1C2B4A"/>
        </w:rPr>
        <w:t xml:space="preserve"> - </w:t>
      </w:r>
      <w:r>
        <w:rPr>
          <w:b/>
          <w:bCs/>
          <w:color w:val="1C2B4A"/>
        </w:rPr>
        <w:t>Reflection: what to listen for</w:t>
      </w:r>
    </w:p>
    <w:p w14:paraId="0B01411F" w14:textId="77777777" w:rsidR="00276C92" w:rsidRDefault="00000000">
      <w:pPr>
        <w:spacing w:after="120"/>
      </w:pPr>
      <w:r>
        <w:rPr>
          <w:color w:val="111111"/>
        </w:rPr>
        <w:t>Strong answers demonstrate understanding that paradigm determines which limitations are foregrounded. Key distinctions:</w:t>
      </w:r>
    </w:p>
    <w:p w14:paraId="4A2BFD61" w14:textId="77777777" w:rsidR="00276C92" w:rsidRDefault="00000000">
      <w:pPr>
        <w:numPr>
          <w:ilvl w:val="0"/>
          <w:numId w:val="1"/>
        </w:numPr>
        <w:pBdr>
          <w:top w:val="nil"/>
          <w:left w:val="nil"/>
          <w:bottom w:val="nil"/>
          <w:right w:val="nil"/>
          <w:between w:val="nil"/>
        </w:pBdr>
        <w:spacing w:after="80"/>
      </w:pPr>
      <w:r>
        <w:rPr>
          <w:color w:val="1A5C2A"/>
        </w:rPr>
        <w:t>Interpretivist/social constructionist students: should foreground positionality, transferability, and the co-constructed nature of data.</w:t>
      </w:r>
    </w:p>
    <w:p w14:paraId="14A45825" w14:textId="77777777" w:rsidR="00276C92" w:rsidRDefault="00000000">
      <w:pPr>
        <w:numPr>
          <w:ilvl w:val="0"/>
          <w:numId w:val="1"/>
        </w:numPr>
        <w:pBdr>
          <w:top w:val="nil"/>
          <w:left w:val="nil"/>
          <w:bottom w:val="nil"/>
          <w:right w:val="nil"/>
          <w:between w:val="nil"/>
        </w:pBdr>
        <w:spacing w:after="80"/>
      </w:pPr>
      <w:r>
        <w:rPr>
          <w:color w:val="1A5C2A"/>
        </w:rPr>
        <w:t>Quantitative students: should foreground sampling constraints, generalisation limits, and measurement validity.</w:t>
      </w:r>
    </w:p>
    <w:p w14:paraId="7FD6381D" w14:textId="77777777" w:rsidR="00276C92" w:rsidRDefault="00000000">
      <w:pPr>
        <w:numPr>
          <w:ilvl w:val="0"/>
          <w:numId w:val="1"/>
        </w:numPr>
        <w:pBdr>
          <w:top w:val="nil"/>
          <w:left w:val="nil"/>
          <w:bottom w:val="nil"/>
          <w:right w:val="nil"/>
          <w:between w:val="nil"/>
        </w:pBdr>
        <w:spacing w:after="80"/>
      </w:pPr>
      <w:r>
        <w:rPr>
          <w:color w:val="1A5C2A"/>
        </w:rPr>
        <w:t>Mixed methods students: should address both sets and acknowledge integration challenges.</w:t>
      </w:r>
    </w:p>
    <w:p w14:paraId="5833A4F9" w14:textId="77777777" w:rsidR="00276C92" w:rsidRDefault="00276C92">
      <w:pPr>
        <w:spacing w:after="80"/>
      </w:pPr>
    </w:p>
    <w:p w14:paraId="504CC8C9" w14:textId="2CB26245" w:rsidR="00276C92" w:rsidRDefault="00000000">
      <w:pPr>
        <w:spacing w:after="120"/>
        <w:ind w:left="240"/>
      </w:pPr>
      <w:r>
        <w:rPr>
          <w:b/>
          <w:bCs/>
          <w:color w:val="8B0000"/>
          <w:sz w:val="20"/>
          <w:szCs w:val="20"/>
        </w:rPr>
        <w:t xml:space="preserve"> note: </w:t>
      </w:r>
      <w:r>
        <w:rPr>
          <w:color w:val="8B0000"/>
          <w:sz w:val="20"/>
          <w:szCs w:val="20"/>
        </w:rPr>
        <w:t>If students struggle: ask 'What does your paradigm say about what counts as knowledge?' The answer to that question determines which limitations are most significant.</w:t>
      </w:r>
    </w:p>
    <w:p w14:paraId="2CBFA92D" w14:textId="77777777" w:rsidR="00276C92" w:rsidRDefault="00000000">
      <w:r>
        <w:br w:type="page"/>
      </w:r>
    </w:p>
    <w:p w14:paraId="4FC9FB3D" w14:textId="5A800CA6" w:rsidR="00276C92" w:rsidRDefault="00000000">
      <w:pPr>
        <w:pStyle w:val="Heading1"/>
        <w:pBdr>
          <w:bottom w:val="single" w:sz="4" w:space="4" w:color="C9A84C"/>
        </w:pBdr>
      </w:pPr>
      <w:r>
        <w:lastRenderedPageBreak/>
        <w:t xml:space="preserve">Section </w:t>
      </w:r>
      <w:proofErr w:type="gramStart"/>
      <w:r>
        <w:t>2  ·</w:t>
      </w:r>
      <w:proofErr w:type="gramEnd"/>
      <w:r>
        <w:t xml:space="preserve">  Trustworthiness</w:t>
      </w:r>
      <w:r w:rsidR="00E24EFA">
        <w:t xml:space="preserve"> - </w:t>
      </w:r>
      <w:r>
        <w:t>Answer Guidance</w:t>
      </w:r>
    </w:p>
    <w:p w14:paraId="12B82F7A" w14:textId="20D32C8F" w:rsidR="00276C92" w:rsidRDefault="00000000">
      <w:pPr>
        <w:pStyle w:val="Heading2"/>
      </w:pPr>
      <w:r>
        <w:t>Trustworthiness table</w:t>
      </w:r>
      <w:r w:rsidR="00E24EFA">
        <w:t xml:space="preserve"> - </w:t>
      </w:r>
      <w:r>
        <w:t>expected understanding</w:t>
      </w:r>
    </w:p>
    <w:tbl>
      <w:tblPr>
        <w:tblStyle w:val="a0"/>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200"/>
        <w:gridCol w:w="7160"/>
      </w:tblGrid>
      <w:tr w:rsidR="00276C92" w14:paraId="1AC4734B" w14:textId="77777777">
        <w:tc>
          <w:tcPr>
            <w:tcW w:w="2200" w:type="dxa"/>
            <w:tcBorders>
              <w:top w:val="single" w:sz="4" w:space="0" w:color="CCCCCC"/>
              <w:left w:val="single" w:sz="4" w:space="0" w:color="CCCCCC"/>
              <w:bottom w:val="single" w:sz="4" w:space="0" w:color="CCCCCC"/>
              <w:right w:val="single" w:sz="4" w:space="0" w:color="CCCCCC"/>
            </w:tcBorders>
            <w:shd w:val="clear" w:color="auto" w:fill="1C2B4A"/>
            <w:tcMar>
              <w:top w:w="80" w:type="dxa"/>
              <w:left w:w="120" w:type="dxa"/>
              <w:bottom w:w="80" w:type="dxa"/>
              <w:right w:w="120" w:type="dxa"/>
            </w:tcMar>
          </w:tcPr>
          <w:p w14:paraId="3F020668" w14:textId="77777777" w:rsidR="00276C92" w:rsidRDefault="00000000">
            <w:r>
              <w:rPr>
                <w:b/>
                <w:bCs/>
                <w:color w:val="FFFFFF"/>
                <w:sz w:val="20"/>
                <w:szCs w:val="20"/>
              </w:rPr>
              <w:t>Criterion</w:t>
            </w:r>
          </w:p>
        </w:tc>
        <w:tc>
          <w:tcPr>
            <w:tcW w:w="7160" w:type="dxa"/>
            <w:tcBorders>
              <w:top w:val="single" w:sz="4" w:space="0" w:color="CCCCCC"/>
              <w:left w:val="single" w:sz="4" w:space="0" w:color="CCCCCC"/>
              <w:bottom w:val="single" w:sz="4" w:space="0" w:color="CCCCCC"/>
              <w:right w:val="single" w:sz="4" w:space="0" w:color="CCCCCC"/>
            </w:tcBorders>
            <w:shd w:val="clear" w:color="auto" w:fill="1C2B4A"/>
            <w:tcMar>
              <w:top w:w="80" w:type="dxa"/>
              <w:left w:w="120" w:type="dxa"/>
              <w:bottom w:w="80" w:type="dxa"/>
              <w:right w:w="120" w:type="dxa"/>
            </w:tcMar>
          </w:tcPr>
          <w:p w14:paraId="4BBC8844" w14:textId="77777777" w:rsidR="00276C92" w:rsidRDefault="00000000">
            <w:r>
              <w:rPr>
                <w:b/>
                <w:bCs/>
                <w:color w:val="FFFFFF"/>
                <w:sz w:val="20"/>
                <w:szCs w:val="20"/>
              </w:rPr>
              <w:t>Strong student understanding</w:t>
            </w:r>
          </w:p>
        </w:tc>
      </w:tr>
      <w:tr w:rsidR="00276C92" w14:paraId="630C326A" w14:textId="77777777">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7D87CEDF" w14:textId="77777777" w:rsidR="00276C92" w:rsidRDefault="00000000">
            <w:r>
              <w:rPr>
                <w:b/>
                <w:bCs/>
                <w:color w:val="111111"/>
                <w:sz w:val="21"/>
                <w:szCs w:val="21"/>
              </w:rPr>
              <w:t>Credibility</w:t>
            </w:r>
          </w:p>
        </w:tc>
        <w:tc>
          <w:tcPr>
            <w:tcW w:w="71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5E183DEA" w14:textId="0A8A1B10" w:rsidR="00276C92" w:rsidRDefault="00000000">
            <w:r>
              <w:rPr>
                <w:color w:val="111111"/>
                <w:sz w:val="21"/>
                <w:szCs w:val="21"/>
              </w:rPr>
              <w:t>Names specific strategies</w:t>
            </w:r>
            <w:r w:rsidR="00E24EFA">
              <w:rPr>
                <w:color w:val="111111"/>
                <w:sz w:val="21"/>
                <w:szCs w:val="21"/>
              </w:rPr>
              <w:t xml:space="preserve"> - </w:t>
            </w:r>
            <w:r>
              <w:rPr>
                <w:color w:val="111111"/>
                <w:sz w:val="21"/>
                <w:szCs w:val="21"/>
              </w:rPr>
              <w:t>not just 'triangulation' as a buzzword. Explains what the strategy does epistemologically, not just procedurally.</w:t>
            </w:r>
          </w:p>
        </w:tc>
      </w:tr>
      <w:tr w:rsidR="00276C92" w14:paraId="7E65F990" w14:textId="77777777">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65F708BD" w14:textId="77777777" w:rsidR="00276C92" w:rsidRDefault="00000000">
            <w:r>
              <w:rPr>
                <w:b/>
                <w:bCs/>
                <w:color w:val="111111"/>
                <w:sz w:val="21"/>
                <w:szCs w:val="21"/>
              </w:rPr>
              <w:t>Transferability</w:t>
            </w:r>
          </w:p>
        </w:tc>
        <w:tc>
          <w:tcPr>
            <w:tcW w:w="71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51171AA5" w14:textId="77777777" w:rsidR="00276C92" w:rsidRDefault="00000000">
            <w:r>
              <w:rPr>
                <w:color w:val="111111"/>
                <w:sz w:val="21"/>
                <w:szCs w:val="21"/>
              </w:rPr>
              <w:t>Does NOT say 'my findings can be generalised.' Uses thick description and reader responsibility language.</w:t>
            </w:r>
          </w:p>
        </w:tc>
      </w:tr>
      <w:tr w:rsidR="00276C92" w14:paraId="0CF36754" w14:textId="77777777">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9241069" w14:textId="77777777" w:rsidR="00276C92" w:rsidRDefault="00000000">
            <w:r>
              <w:rPr>
                <w:b/>
                <w:bCs/>
                <w:color w:val="111111"/>
                <w:sz w:val="21"/>
                <w:szCs w:val="21"/>
              </w:rPr>
              <w:t>Dependability</w:t>
            </w:r>
          </w:p>
        </w:tc>
        <w:tc>
          <w:tcPr>
            <w:tcW w:w="71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679652CD" w14:textId="10CA57FC" w:rsidR="00276C92" w:rsidRDefault="00000000">
            <w:r>
              <w:rPr>
                <w:color w:val="111111"/>
                <w:sz w:val="21"/>
                <w:szCs w:val="21"/>
              </w:rPr>
              <w:t xml:space="preserve">Can describe what an audit trail </w:t>
            </w:r>
            <w:proofErr w:type="gramStart"/>
            <w:r>
              <w:rPr>
                <w:color w:val="111111"/>
                <w:sz w:val="21"/>
                <w:szCs w:val="21"/>
              </w:rPr>
              <w:t>actually contains</w:t>
            </w:r>
            <w:proofErr w:type="gramEnd"/>
            <w:r w:rsidR="00E24EFA">
              <w:rPr>
                <w:color w:val="111111"/>
                <w:sz w:val="21"/>
                <w:szCs w:val="21"/>
              </w:rPr>
              <w:t xml:space="preserve"> - </w:t>
            </w:r>
            <w:r>
              <w:rPr>
                <w:color w:val="111111"/>
                <w:sz w:val="21"/>
                <w:szCs w:val="21"/>
              </w:rPr>
              <w:t>not just that they will 'keep records.'</w:t>
            </w:r>
          </w:p>
        </w:tc>
      </w:tr>
      <w:tr w:rsidR="00276C92" w14:paraId="71CE96F7" w14:textId="77777777">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70CFC7B9" w14:textId="77777777" w:rsidR="00276C92" w:rsidRDefault="00000000">
            <w:r>
              <w:rPr>
                <w:b/>
                <w:bCs/>
                <w:color w:val="111111"/>
                <w:sz w:val="21"/>
                <w:szCs w:val="21"/>
              </w:rPr>
              <w:t>Confirmability</w:t>
            </w:r>
          </w:p>
        </w:tc>
        <w:tc>
          <w:tcPr>
            <w:tcW w:w="71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6E2DE59C" w14:textId="77791B91" w:rsidR="00276C92" w:rsidRDefault="00000000">
            <w:r>
              <w:rPr>
                <w:color w:val="111111"/>
                <w:sz w:val="21"/>
                <w:szCs w:val="21"/>
              </w:rPr>
              <w:t>Links reflexivity journal to this criterion</w:t>
            </w:r>
            <w:r w:rsidR="00E24EFA">
              <w:rPr>
                <w:color w:val="111111"/>
                <w:sz w:val="21"/>
                <w:szCs w:val="21"/>
              </w:rPr>
              <w:t xml:space="preserve"> - </w:t>
            </w:r>
            <w:r>
              <w:rPr>
                <w:color w:val="111111"/>
                <w:sz w:val="21"/>
                <w:szCs w:val="21"/>
              </w:rPr>
              <w:t>understands that confirmability is about data-driven rather than researcher-driven findings.</w:t>
            </w:r>
          </w:p>
        </w:tc>
      </w:tr>
    </w:tbl>
    <w:p w14:paraId="1D828754" w14:textId="77777777" w:rsidR="00276C92" w:rsidRDefault="00276C92">
      <w:pPr>
        <w:spacing w:after="80"/>
      </w:pPr>
    </w:p>
    <w:p w14:paraId="338E7643" w14:textId="7B8701CF" w:rsidR="00276C92" w:rsidRDefault="00000000">
      <w:pPr>
        <w:pStyle w:val="Heading2"/>
      </w:pPr>
      <w:r>
        <w:t>Activity 2A</w:t>
      </w:r>
      <w:r w:rsidR="00E24EFA">
        <w:t xml:space="preserve"> - </w:t>
      </w:r>
      <w:r>
        <w:t>Model answer guidance</w:t>
      </w:r>
    </w:p>
    <w:p w14:paraId="7B5BAC85" w14:textId="6889B2B3" w:rsidR="00276C92" w:rsidRDefault="00000000">
      <w:pPr>
        <w:spacing w:before="200" w:after="80"/>
      </w:pPr>
      <w:r>
        <w:rPr>
          <w:b/>
          <w:bCs/>
          <w:color w:val="1C2B4A"/>
        </w:rPr>
        <w:t>Task 1</w:t>
      </w:r>
      <w:r w:rsidR="00E24EFA">
        <w:rPr>
          <w:b/>
          <w:bCs/>
          <w:color w:val="1C2B4A"/>
        </w:rPr>
        <w:t xml:space="preserve"> - </w:t>
      </w:r>
      <w:r>
        <w:rPr>
          <w:b/>
          <w:bCs/>
          <w:color w:val="1C2B4A"/>
        </w:rPr>
        <w:t>Credibility: model responses</w:t>
      </w:r>
    </w:p>
    <w:p w14:paraId="06F675C3" w14:textId="77777777" w:rsidR="00276C92" w:rsidRDefault="00000000">
      <w:pPr>
        <w:spacing w:after="120"/>
      </w:pPr>
      <w:r>
        <w:rPr>
          <w:color w:val="111111"/>
        </w:rPr>
        <w:t>Examples of strong, specific credibility strategy justifications:</w:t>
      </w:r>
    </w:p>
    <w:p w14:paraId="38106EAA" w14:textId="77777777" w:rsidR="00276C92" w:rsidRDefault="00000000">
      <w:pPr>
        <w:numPr>
          <w:ilvl w:val="0"/>
          <w:numId w:val="1"/>
        </w:numPr>
        <w:pBdr>
          <w:top w:val="nil"/>
          <w:left w:val="nil"/>
          <w:bottom w:val="nil"/>
          <w:right w:val="nil"/>
          <w:between w:val="nil"/>
        </w:pBdr>
        <w:spacing w:after="80"/>
      </w:pPr>
      <w:r>
        <w:rPr>
          <w:color w:val="1A5C2A"/>
        </w:rPr>
        <w:t>'Member checking is most appropriate for my study because my participants are senior executives who may attribute meanings to events that differ from my theoretical interpretation. Returning transcripts and draft findings enables me to test whether my analytical abstractions reflect their accounts (Lincoln &amp; Guba, 1985).'</w:t>
      </w:r>
    </w:p>
    <w:p w14:paraId="69724BC4" w14:textId="77777777" w:rsidR="00276C92" w:rsidRDefault="00000000">
      <w:pPr>
        <w:numPr>
          <w:ilvl w:val="0"/>
          <w:numId w:val="1"/>
        </w:numPr>
        <w:pBdr>
          <w:top w:val="nil"/>
          <w:left w:val="nil"/>
          <w:bottom w:val="nil"/>
          <w:right w:val="nil"/>
          <w:between w:val="nil"/>
        </w:pBdr>
        <w:spacing w:after="80"/>
      </w:pPr>
      <w:r>
        <w:rPr>
          <w:color w:val="1A5C2A"/>
        </w:rPr>
        <w:t>'Prolonged engagement is most appropriate because my ethnographic design requires sustained organisational access. Building trust over six months will reduce the Hawthorne effect and elicit more candid data.'</w:t>
      </w:r>
    </w:p>
    <w:p w14:paraId="60D1A080" w14:textId="77777777" w:rsidR="00276C92" w:rsidRDefault="00276C92">
      <w:pPr>
        <w:spacing w:after="80"/>
      </w:pPr>
    </w:p>
    <w:p w14:paraId="650749D4" w14:textId="6ACB0499" w:rsidR="00276C92" w:rsidRDefault="00000000">
      <w:pPr>
        <w:spacing w:after="120"/>
        <w:ind w:left="240"/>
      </w:pPr>
      <w:r>
        <w:rPr>
          <w:b/>
          <w:bCs/>
          <w:color w:val="8B0000"/>
          <w:sz w:val="20"/>
          <w:szCs w:val="20"/>
        </w:rPr>
        <w:t xml:space="preserve"> note: </w:t>
      </w:r>
      <w:r>
        <w:rPr>
          <w:color w:val="8B0000"/>
          <w:sz w:val="20"/>
          <w:szCs w:val="20"/>
        </w:rPr>
        <w:t>Watch for students who list all six strategies. A doctoral-level answer selects and justifies</w:t>
      </w:r>
      <w:r w:rsidR="00E24EFA">
        <w:rPr>
          <w:color w:val="8B0000"/>
          <w:sz w:val="20"/>
          <w:szCs w:val="20"/>
        </w:rPr>
        <w:t xml:space="preserve"> - </w:t>
      </w:r>
      <w:r>
        <w:rPr>
          <w:color w:val="8B0000"/>
          <w:sz w:val="20"/>
          <w:szCs w:val="20"/>
        </w:rPr>
        <w:t>it does not produce a checklist. If this happens, ask: 'Which is MOST important for your specific study, and why?'</w:t>
      </w:r>
    </w:p>
    <w:p w14:paraId="63A84977" w14:textId="77777777" w:rsidR="00276C92" w:rsidRDefault="00276C92">
      <w:pPr>
        <w:spacing w:after="80"/>
      </w:pPr>
    </w:p>
    <w:p w14:paraId="4A17594F" w14:textId="0002F8E9" w:rsidR="00276C92" w:rsidRDefault="00000000">
      <w:pPr>
        <w:spacing w:before="200" w:after="80"/>
      </w:pPr>
      <w:r>
        <w:rPr>
          <w:b/>
          <w:bCs/>
          <w:color w:val="1C2B4A"/>
        </w:rPr>
        <w:t>Task 2</w:t>
      </w:r>
      <w:r w:rsidR="00E24EFA">
        <w:rPr>
          <w:b/>
          <w:bCs/>
          <w:color w:val="1C2B4A"/>
        </w:rPr>
        <w:t xml:space="preserve"> - </w:t>
      </w:r>
      <w:r>
        <w:rPr>
          <w:b/>
          <w:bCs/>
          <w:color w:val="1C2B4A"/>
        </w:rPr>
        <w:t>Transferability statement: model response</w:t>
      </w:r>
    </w:p>
    <w:p w14:paraId="7CCA07EF" w14:textId="77777777" w:rsidR="00276C92" w:rsidRDefault="00000000">
      <w:pPr>
        <w:spacing w:after="100"/>
        <w:ind w:left="240"/>
      </w:pPr>
      <w:r>
        <w:rPr>
          <w:color w:val="1A5C2A"/>
        </w:rPr>
        <w:t>'This study does not seek statistical generalisation to a wider population; the findings are context-specific to the Nigerian banking sector between 2020 and 2023. In line with Lincoln &amp; Guba (1985), transferability is the responsibility of the reader: thick contextual description of the organisational setting, participant roles and governance context will enable readers to assess the relevance of these findings to their own situations.'</w:t>
      </w:r>
    </w:p>
    <w:p w14:paraId="6D9F4CAA" w14:textId="77777777" w:rsidR="00276C92" w:rsidRDefault="00276C92">
      <w:pPr>
        <w:spacing w:after="80"/>
      </w:pPr>
    </w:p>
    <w:p w14:paraId="134D04E1" w14:textId="48F3ACCA" w:rsidR="00276C92" w:rsidRDefault="00000000">
      <w:pPr>
        <w:spacing w:after="120"/>
        <w:ind w:left="240"/>
      </w:pPr>
      <w:r>
        <w:rPr>
          <w:b/>
          <w:bCs/>
          <w:color w:val="8B0000"/>
          <w:sz w:val="20"/>
          <w:szCs w:val="20"/>
        </w:rPr>
        <w:t xml:space="preserve"> note: </w:t>
      </w:r>
      <w:r>
        <w:rPr>
          <w:color w:val="8B0000"/>
          <w:sz w:val="20"/>
          <w:szCs w:val="20"/>
        </w:rPr>
        <w:t>The most common error: writing 'this study is limited because it cannot be generalised.' This uses the wrong framework entirely. If a student writes this, use it as a teachable moment</w:t>
      </w:r>
      <w:r w:rsidR="00E24EFA">
        <w:rPr>
          <w:color w:val="8B0000"/>
          <w:sz w:val="20"/>
          <w:szCs w:val="20"/>
        </w:rPr>
        <w:t xml:space="preserve"> - </w:t>
      </w:r>
      <w:r>
        <w:rPr>
          <w:color w:val="8B0000"/>
          <w:sz w:val="20"/>
          <w:szCs w:val="20"/>
        </w:rPr>
        <w:t>explain that they have just told the examiner they are applying positivist criteria to interpretivist research.</w:t>
      </w:r>
    </w:p>
    <w:p w14:paraId="0CC0ED9B" w14:textId="77777777" w:rsidR="00276C92" w:rsidRDefault="00276C92">
      <w:pPr>
        <w:spacing w:after="80"/>
      </w:pPr>
    </w:p>
    <w:p w14:paraId="6067F9D2" w14:textId="5F3F7318" w:rsidR="00276C92" w:rsidRDefault="00000000">
      <w:pPr>
        <w:spacing w:before="200" w:after="80"/>
      </w:pPr>
      <w:r>
        <w:rPr>
          <w:b/>
          <w:bCs/>
          <w:color w:val="1C2B4A"/>
        </w:rPr>
        <w:t>Task 3</w:t>
      </w:r>
      <w:r w:rsidR="00E24EFA">
        <w:rPr>
          <w:b/>
          <w:bCs/>
          <w:color w:val="1C2B4A"/>
        </w:rPr>
        <w:t xml:space="preserve"> - </w:t>
      </w:r>
      <w:r>
        <w:rPr>
          <w:b/>
          <w:bCs/>
          <w:color w:val="1C2B4A"/>
        </w:rPr>
        <w:t>Audit trail: facilitation note</w:t>
      </w:r>
    </w:p>
    <w:p w14:paraId="0FE7D511" w14:textId="17E31269" w:rsidR="00276C92" w:rsidRDefault="00000000">
      <w:pPr>
        <w:spacing w:after="120"/>
        <w:ind w:left="240"/>
      </w:pPr>
      <w:r>
        <w:rPr>
          <w:b/>
          <w:bCs/>
          <w:color w:val="8B0000"/>
          <w:sz w:val="20"/>
          <w:szCs w:val="20"/>
        </w:rPr>
        <w:t xml:space="preserve"> note: </w:t>
      </w:r>
      <w:r>
        <w:rPr>
          <w:color w:val="8B0000"/>
          <w:sz w:val="20"/>
          <w:szCs w:val="20"/>
        </w:rPr>
        <w:t>Students frequently underestimate what an audit trail requires. It is not just keeping interview recordings. Push for: decision log, reflexivity journal, analytical memos, code-to-theme mapping, pilot documentation, member checking correspondence. Each element should be traceable.</w:t>
      </w:r>
    </w:p>
    <w:p w14:paraId="4BE5B69B" w14:textId="77777777" w:rsidR="00276C92" w:rsidRDefault="00276C92">
      <w:pPr>
        <w:spacing w:after="80"/>
      </w:pPr>
    </w:p>
    <w:p w14:paraId="469B3272" w14:textId="4EB75502" w:rsidR="00276C92" w:rsidRDefault="00000000">
      <w:pPr>
        <w:spacing w:before="200" w:after="80"/>
      </w:pPr>
      <w:r>
        <w:rPr>
          <w:b/>
          <w:bCs/>
          <w:color w:val="1C2B4A"/>
        </w:rPr>
        <w:t>Task 4</w:t>
      </w:r>
      <w:r w:rsidR="00E24EFA">
        <w:rPr>
          <w:b/>
          <w:bCs/>
          <w:color w:val="1C2B4A"/>
        </w:rPr>
        <w:t xml:space="preserve"> - </w:t>
      </w:r>
      <w:r>
        <w:rPr>
          <w:b/>
          <w:bCs/>
          <w:color w:val="1C2B4A"/>
        </w:rPr>
        <w:t>Reflection on trustworthiness as management: what to listen for</w:t>
      </w:r>
    </w:p>
    <w:p w14:paraId="4AEB2CF5" w14:textId="77777777" w:rsidR="00276C92" w:rsidRDefault="00000000">
      <w:pPr>
        <w:spacing w:after="120"/>
      </w:pPr>
      <w:r>
        <w:rPr>
          <w:color w:val="111111"/>
        </w:rPr>
        <w:t>Strong answers will make the link between trustworthiness and examiner expectations explicit. A doctoral student should be able to say:</w:t>
      </w:r>
    </w:p>
    <w:p w14:paraId="3B28A246" w14:textId="770922C8" w:rsidR="00276C92" w:rsidRDefault="00000000">
      <w:pPr>
        <w:spacing w:after="100"/>
        <w:ind w:left="240"/>
      </w:pPr>
      <w:r>
        <w:rPr>
          <w:color w:val="1A5C2A"/>
        </w:rPr>
        <w:t>'By structuring my methodology chapter around Lincoln &amp; Guba's (1985) four criteria rather than generic 'validity' language, I demonstrate that I understand the epistemological basis of qualitative rigour. Each criterion becomes not just an acknowledgement of limitation but a demonstration of how I managed it</w:t>
      </w:r>
      <w:r w:rsidR="00E24EFA">
        <w:rPr>
          <w:color w:val="1A5C2A"/>
        </w:rPr>
        <w:t xml:space="preserve"> - </w:t>
      </w:r>
      <w:r>
        <w:rPr>
          <w:color w:val="1A5C2A"/>
        </w:rPr>
        <w:t>which is what the examiner is looking for.'</w:t>
      </w:r>
    </w:p>
    <w:p w14:paraId="20E62728" w14:textId="77777777" w:rsidR="00276C92" w:rsidRDefault="00000000">
      <w:r>
        <w:br w:type="page"/>
      </w:r>
    </w:p>
    <w:p w14:paraId="3878E733" w14:textId="6C5879AB" w:rsidR="00276C92" w:rsidRDefault="00000000">
      <w:pPr>
        <w:pStyle w:val="Heading1"/>
        <w:pBdr>
          <w:bottom w:val="single" w:sz="4" w:space="4" w:color="C9A84C"/>
        </w:pBdr>
      </w:pPr>
      <w:r>
        <w:lastRenderedPageBreak/>
        <w:t xml:space="preserve">Section </w:t>
      </w:r>
      <w:proofErr w:type="gramStart"/>
      <w:r>
        <w:t>3  ·</w:t>
      </w:r>
      <w:proofErr w:type="gramEnd"/>
      <w:r>
        <w:t xml:space="preserve">  Reflexivity and Positionality</w:t>
      </w:r>
      <w:r w:rsidR="00E24EFA">
        <w:t xml:space="preserve"> - </w:t>
      </w:r>
      <w:r>
        <w:t>Answer Guidance</w:t>
      </w:r>
    </w:p>
    <w:p w14:paraId="114A55D0" w14:textId="5DE40084" w:rsidR="00276C92" w:rsidRDefault="00000000">
      <w:pPr>
        <w:pStyle w:val="Heading2"/>
      </w:pPr>
      <w:r>
        <w:t>Insider / outsider table</w:t>
      </w:r>
      <w:r w:rsidR="00E24EFA">
        <w:t xml:space="preserve"> - </w:t>
      </w:r>
      <w:r>
        <w:t>common DBA profiles</w:t>
      </w:r>
    </w:p>
    <w:tbl>
      <w:tblPr>
        <w:tblStyle w:val="a1"/>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600"/>
        <w:gridCol w:w="3600"/>
        <w:gridCol w:w="4160"/>
      </w:tblGrid>
      <w:tr w:rsidR="00276C92" w14:paraId="173D9323" w14:textId="77777777">
        <w:tc>
          <w:tcPr>
            <w:tcW w:w="1600" w:type="dxa"/>
            <w:tcBorders>
              <w:top w:val="single" w:sz="4" w:space="0" w:color="CCCCCC"/>
              <w:left w:val="single" w:sz="4" w:space="0" w:color="CCCCCC"/>
              <w:bottom w:val="single" w:sz="4" w:space="0" w:color="CCCCCC"/>
              <w:right w:val="single" w:sz="4" w:space="0" w:color="CCCCCC"/>
            </w:tcBorders>
            <w:shd w:val="clear" w:color="auto" w:fill="1C2B4A"/>
            <w:tcMar>
              <w:top w:w="80" w:type="dxa"/>
              <w:left w:w="120" w:type="dxa"/>
              <w:bottom w:w="80" w:type="dxa"/>
              <w:right w:w="120" w:type="dxa"/>
            </w:tcMar>
          </w:tcPr>
          <w:p w14:paraId="6BCACE92" w14:textId="77777777" w:rsidR="00276C92" w:rsidRDefault="00000000">
            <w:r>
              <w:rPr>
                <w:b/>
                <w:bCs/>
                <w:color w:val="FFFFFF"/>
                <w:sz w:val="20"/>
                <w:szCs w:val="20"/>
              </w:rPr>
              <w:t>Profile</w:t>
            </w:r>
          </w:p>
        </w:tc>
        <w:tc>
          <w:tcPr>
            <w:tcW w:w="3600" w:type="dxa"/>
            <w:tcBorders>
              <w:top w:val="single" w:sz="4" w:space="0" w:color="CCCCCC"/>
              <w:left w:val="single" w:sz="4" w:space="0" w:color="CCCCCC"/>
              <w:bottom w:val="single" w:sz="4" w:space="0" w:color="CCCCCC"/>
              <w:right w:val="single" w:sz="4" w:space="0" w:color="CCCCCC"/>
            </w:tcBorders>
            <w:shd w:val="clear" w:color="auto" w:fill="1C2B4A"/>
            <w:tcMar>
              <w:top w:w="80" w:type="dxa"/>
              <w:left w:w="120" w:type="dxa"/>
              <w:bottom w:w="80" w:type="dxa"/>
              <w:right w:w="120" w:type="dxa"/>
            </w:tcMar>
          </w:tcPr>
          <w:p w14:paraId="5E63B837" w14:textId="77777777" w:rsidR="00276C92" w:rsidRDefault="00000000">
            <w:r>
              <w:rPr>
                <w:b/>
                <w:bCs/>
                <w:color w:val="FFFFFF"/>
                <w:sz w:val="20"/>
                <w:szCs w:val="20"/>
              </w:rPr>
              <w:t>Common DBA configuration</w:t>
            </w:r>
          </w:p>
        </w:tc>
        <w:tc>
          <w:tcPr>
            <w:tcW w:w="4160" w:type="dxa"/>
            <w:tcBorders>
              <w:top w:val="single" w:sz="4" w:space="0" w:color="CCCCCC"/>
              <w:left w:val="single" w:sz="4" w:space="0" w:color="CCCCCC"/>
              <w:bottom w:val="single" w:sz="4" w:space="0" w:color="CCCCCC"/>
              <w:right w:val="single" w:sz="4" w:space="0" w:color="CCCCCC"/>
            </w:tcBorders>
            <w:shd w:val="clear" w:color="auto" w:fill="1C2B4A"/>
            <w:tcMar>
              <w:top w:w="80" w:type="dxa"/>
              <w:left w:w="120" w:type="dxa"/>
              <w:bottom w:w="80" w:type="dxa"/>
              <w:right w:w="120" w:type="dxa"/>
            </w:tcMar>
          </w:tcPr>
          <w:p w14:paraId="329EF584" w14:textId="77777777" w:rsidR="00276C92" w:rsidRDefault="00000000">
            <w:r>
              <w:rPr>
                <w:b/>
                <w:bCs/>
                <w:color w:val="FFFFFF"/>
                <w:sz w:val="20"/>
                <w:szCs w:val="20"/>
              </w:rPr>
              <w:t>Limitation to foreground</w:t>
            </w:r>
          </w:p>
        </w:tc>
      </w:tr>
      <w:tr w:rsidR="00276C92" w14:paraId="43B60F62" w14:textId="77777777">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0425273" w14:textId="77777777" w:rsidR="00276C92" w:rsidRDefault="00000000">
            <w:r>
              <w:rPr>
                <w:b/>
                <w:bCs/>
                <w:color w:val="111111"/>
                <w:sz w:val="21"/>
                <w:szCs w:val="21"/>
              </w:rPr>
              <w:t>Insider</w:t>
            </w:r>
          </w:p>
        </w:tc>
        <w:tc>
          <w:tcPr>
            <w:tcW w:w="36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7B61CA1C" w14:textId="77777777" w:rsidR="00276C92" w:rsidRDefault="00000000">
            <w:r>
              <w:rPr>
                <w:color w:val="111111"/>
                <w:sz w:val="21"/>
                <w:szCs w:val="21"/>
              </w:rPr>
              <w:t>Manager researching their own organisation or sector</w:t>
            </w:r>
          </w:p>
        </w:tc>
        <w:tc>
          <w:tcPr>
            <w:tcW w:w="41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7193872F" w14:textId="77777777" w:rsidR="00276C92" w:rsidRDefault="00000000">
            <w:r>
              <w:rPr>
                <w:color w:val="111111"/>
                <w:sz w:val="21"/>
                <w:szCs w:val="21"/>
              </w:rPr>
              <w:t>Dual-role tension; 'going native'; participant candour; analytic proximity</w:t>
            </w:r>
          </w:p>
        </w:tc>
      </w:tr>
      <w:tr w:rsidR="00276C92" w14:paraId="60D1F9EB" w14:textId="77777777">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A78FF70" w14:textId="77777777" w:rsidR="00276C92" w:rsidRDefault="00000000">
            <w:r>
              <w:rPr>
                <w:b/>
                <w:bCs/>
                <w:color w:val="111111"/>
                <w:sz w:val="21"/>
                <w:szCs w:val="21"/>
              </w:rPr>
              <w:t>Outsider</w:t>
            </w:r>
          </w:p>
        </w:tc>
        <w:tc>
          <w:tcPr>
            <w:tcW w:w="36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4EEC478D" w14:textId="77777777" w:rsidR="00276C92" w:rsidRDefault="00000000">
            <w:r>
              <w:rPr>
                <w:color w:val="111111"/>
                <w:sz w:val="21"/>
                <w:szCs w:val="21"/>
              </w:rPr>
              <w:t>Researcher studying a culture or country different from their own</w:t>
            </w:r>
          </w:p>
        </w:tc>
        <w:tc>
          <w:tcPr>
            <w:tcW w:w="41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5981BA39" w14:textId="77777777" w:rsidR="00276C92" w:rsidRDefault="00000000">
            <w:r>
              <w:rPr>
                <w:color w:val="111111"/>
                <w:sz w:val="21"/>
                <w:szCs w:val="21"/>
              </w:rPr>
              <w:t>Trust-building time; cultural misinterpretation; power differentials</w:t>
            </w:r>
          </w:p>
        </w:tc>
      </w:tr>
      <w:tr w:rsidR="00276C92" w14:paraId="07BC866B" w14:textId="77777777">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726D84B5" w14:textId="77777777" w:rsidR="00276C92" w:rsidRDefault="00000000">
            <w:r>
              <w:rPr>
                <w:b/>
                <w:bCs/>
                <w:color w:val="111111"/>
                <w:sz w:val="21"/>
                <w:szCs w:val="21"/>
              </w:rPr>
              <w:t>Hybrid</w:t>
            </w:r>
          </w:p>
        </w:tc>
        <w:tc>
          <w:tcPr>
            <w:tcW w:w="36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6E8919DF" w14:textId="77777777" w:rsidR="00276C92" w:rsidRDefault="00000000">
            <w:r>
              <w:rPr>
                <w:color w:val="111111"/>
                <w:sz w:val="21"/>
                <w:szCs w:val="21"/>
              </w:rPr>
              <w:t>Practitioner-academic studying a related but not identical context</w:t>
            </w:r>
          </w:p>
        </w:tc>
        <w:tc>
          <w:tcPr>
            <w:tcW w:w="41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1CB2859D" w14:textId="77777777" w:rsidR="00276C92" w:rsidRDefault="00000000">
            <w:proofErr w:type="gramStart"/>
            <w:r>
              <w:rPr>
                <w:color w:val="111111"/>
                <w:sz w:val="21"/>
                <w:szCs w:val="21"/>
              </w:rPr>
              <w:t>Both of the above</w:t>
            </w:r>
            <w:proofErr w:type="gramEnd"/>
            <w:r>
              <w:rPr>
                <w:color w:val="111111"/>
                <w:sz w:val="21"/>
                <w:szCs w:val="21"/>
              </w:rPr>
              <w:t>; requires the most sustained reflexive documentation</w:t>
            </w:r>
          </w:p>
        </w:tc>
      </w:tr>
    </w:tbl>
    <w:p w14:paraId="667D7B0E" w14:textId="77777777" w:rsidR="00276C92" w:rsidRDefault="00276C92">
      <w:pPr>
        <w:spacing w:after="80"/>
      </w:pPr>
    </w:p>
    <w:p w14:paraId="76E6AD29" w14:textId="5BB8C5DB" w:rsidR="00276C92" w:rsidRDefault="00000000">
      <w:pPr>
        <w:spacing w:after="120"/>
        <w:ind w:left="240"/>
      </w:pPr>
      <w:r>
        <w:rPr>
          <w:b/>
          <w:bCs/>
          <w:color w:val="8B0000"/>
          <w:sz w:val="20"/>
          <w:szCs w:val="20"/>
        </w:rPr>
        <w:t xml:space="preserve"> note: </w:t>
      </w:r>
      <w:r>
        <w:rPr>
          <w:color w:val="8B0000"/>
          <w:sz w:val="20"/>
          <w:szCs w:val="20"/>
        </w:rPr>
        <w:t>Most DBA students will be hybrid. This is the most complex position and the one most likely to be examined. The viva question 'How did you manage your dual role?' requires a specific answer citing specific strategies</w:t>
      </w:r>
      <w:r w:rsidR="00E24EFA">
        <w:rPr>
          <w:color w:val="8B0000"/>
          <w:sz w:val="20"/>
          <w:szCs w:val="20"/>
        </w:rPr>
        <w:t xml:space="preserve"> - </w:t>
      </w:r>
      <w:r>
        <w:rPr>
          <w:color w:val="8B0000"/>
          <w:sz w:val="20"/>
          <w:szCs w:val="20"/>
        </w:rPr>
        <w:t>not 'I tried to be objective.'</w:t>
      </w:r>
    </w:p>
    <w:p w14:paraId="0A8DFF60" w14:textId="77777777" w:rsidR="00276C92" w:rsidRDefault="00276C92">
      <w:pPr>
        <w:spacing w:after="80"/>
      </w:pPr>
    </w:p>
    <w:p w14:paraId="048AB48F" w14:textId="2A11CCCE" w:rsidR="00276C92" w:rsidRDefault="00000000">
      <w:pPr>
        <w:pStyle w:val="Heading2"/>
      </w:pPr>
      <w:r>
        <w:t>Activity 3A</w:t>
      </w:r>
      <w:r w:rsidR="00E24EFA">
        <w:t xml:space="preserve"> - </w:t>
      </w:r>
      <w:r>
        <w:t>Model answer guidance</w:t>
      </w:r>
    </w:p>
    <w:p w14:paraId="583D8BA5" w14:textId="57246010" w:rsidR="00276C92" w:rsidRDefault="00000000">
      <w:pPr>
        <w:spacing w:before="200" w:after="80"/>
      </w:pPr>
      <w:r>
        <w:rPr>
          <w:b/>
          <w:bCs/>
          <w:color w:val="1C2B4A"/>
        </w:rPr>
        <w:t>Task 2</w:t>
      </w:r>
      <w:r w:rsidR="00E24EFA">
        <w:rPr>
          <w:b/>
          <w:bCs/>
          <w:color w:val="1C2B4A"/>
        </w:rPr>
        <w:t xml:space="preserve"> - </w:t>
      </w:r>
      <w:r>
        <w:rPr>
          <w:b/>
          <w:bCs/>
          <w:color w:val="1C2B4A"/>
        </w:rPr>
        <w:t>Positionality statement: what a strong answer contains</w:t>
      </w:r>
    </w:p>
    <w:p w14:paraId="4C230D89" w14:textId="77777777" w:rsidR="00276C92" w:rsidRDefault="00000000">
      <w:pPr>
        <w:spacing w:after="120"/>
      </w:pPr>
      <w:r>
        <w:rPr>
          <w:color w:val="111111"/>
        </w:rPr>
        <w:t xml:space="preserve">A doctoral-level positionality statement should include </w:t>
      </w:r>
      <w:proofErr w:type="gramStart"/>
      <w:r>
        <w:rPr>
          <w:color w:val="111111"/>
        </w:rPr>
        <w:t>all of</w:t>
      </w:r>
      <w:proofErr w:type="gramEnd"/>
      <w:r>
        <w:rPr>
          <w:color w:val="111111"/>
        </w:rPr>
        <w:t xml:space="preserve"> the following:</w:t>
      </w:r>
    </w:p>
    <w:p w14:paraId="77CB1D61" w14:textId="77777777" w:rsidR="00276C92" w:rsidRDefault="00000000">
      <w:pPr>
        <w:numPr>
          <w:ilvl w:val="0"/>
          <w:numId w:val="1"/>
        </w:numPr>
        <w:pBdr>
          <w:top w:val="nil"/>
          <w:left w:val="nil"/>
          <w:bottom w:val="nil"/>
          <w:right w:val="nil"/>
          <w:between w:val="nil"/>
        </w:pBdr>
        <w:spacing w:after="80"/>
      </w:pPr>
      <w:r>
        <w:rPr>
          <w:color w:val="1A5C2A"/>
        </w:rPr>
        <w:t>Clear statement of who the researcher is in relation to the study context.</w:t>
      </w:r>
    </w:p>
    <w:p w14:paraId="4632FF8F" w14:textId="77777777" w:rsidR="00276C92" w:rsidRDefault="00000000">
      <w:pPr>
        <w:numPr>
          <w:ilvl w:val="0"/>
          <w:numId w:val="1"/>
        </w:numPr>
        <w:pBdr>
          <w:top w:val="nil"/>
          <w:left w:val="nil"/>
          <w:bottom w:val="nil"/>
          <w:right w:val="nil"/>
          <w:between w:val="nil"/>
        </w:pBdr>
        <w:spacing w:after="80"/>
      </w:pPr>
      <w:r>
        <w:rPr>
          <w:color w:val="1A5C2A"/>
        </w:rPr>
        <w:t>Acknowledgement of prior assumptions, values or theoretical commitments that may shape interpretation.</w:t>
      </w:r>
    </w:p>
    <w:p w14:paraId="2D82EB64" w14:textId="192B7ED6" w:rsidR="00276C92" w:rsidRDefault="00000000">
      <w:pPr>
        <w:numPr>
          <w:ilvl w:val="0"/>
          <w:numId w:val="1"/>
        </w:numPr>
        <w:pBdr>
          <w:top w:val="nil"/>
          <w:left w:val="nil"/>
          <w:bottom w:val="nil"/>
          <w:right w:val="nil"/>
          <w:between w:val="nil"/>
        </w:pBdr>
        <w:spacing w:after="80"/>
      </w:pPr>
      <w:r>
        <w:rPr>
          <w:color w:val="1A5C2A"/>
        </w:rPr>
        <w:t>Identification of how this position could influence data collection</w:t>
      </w:r>
      <w:r w:rsidR="00E24EFA">
        <w:rPr>
          <w:color w:val="1A5C2A"/>
        </w:rPr>
        <w:t xml:space="preserve"> - </w:t>
      </w:r>
      <w:r>
        <w:rPr>
          <w:color w:val="1A5C2A"/>
        </w:rPr>
        <w:t>what participants may or may not disclose.</w:t>
      </w:r>
    </w:p>
    <w:p w14:paraId="128D1806" w14:textId="001EDC64" w:rsidR="00276C92" w:rsidRDefault="00000000">
      <w:pPr>
        <w:numPr>
          <w:ilvl w:val="0"/>
          <w:numId w:val="1"/>
        </w:numPr>
        <w:pBdr>
          <w:top w:val="nil"/>
          <w:left w:val="nil"/>
          <w:bottom w:val="nil"/>
          <w:right w:val="nil"/>
          <w:between w:val="nil"/>
        </w:pBdr>
        <w:spacing w:after="80"/>
      </w:pPr>
      <w:r>
        <w:rPr>
          <w:color w:val="1A5C2A"/>
        </w:rPr>
        <w:t>Named management strategies with citations</w:t>
      </w:r>
      <w:r w:rsidR="00E24EFA">
        <w:rPr>
          <w:color w:val="1A5C2A"/>
        </w:rPr>
        <w:t xml:space="preserve"> - </w:t>
      </w:r>
      <w:r>
        <w:rPr>
          <w:color w:val="1A5C2A"/>
        </w:rPr>
        <w:t>not generic assurances of objectivity.</w:t>
      </w:r>
    </w:p>
    <w:p w14:paraId="49DF569A" w14:textId="157ED824" w:rsidR="00276C92" w:rsidRDefault="00000000">
      <w:pPr>
        <w:numPr>
          <w:ilvl w:val="0"/>
          <w:numId w:val="1"/>
        </w:numPr>
        <w:pBdr>
          <w:top w:val="nil"/>
          <w:left w:val="nil"/>
          <w:bottom w:val="nil"/>
          <w:right w:val="nil"/>
          <w:between w:val="nil"/>
        </w:pBdr>
        <w:spacing w:after="80"/>
      </w:pPr>
      <w:r>
        <w:rPr>
          <w:color w:val="1A5C2A"/>
        </w:rPr>
        <w:t>Acknowledgement that complete neutrality is not possible or desirable</w:t>
      </w:r>
      <w:r w:rsidR="00E24EFA">
        <w:rPr>
          <w:color w:val="1A5C2A"/>
        </w:rPr>
        <w:t xml:space="preserve"> - </w:t>
      </w:r>
      <w:r>
        <w:rPr>
          <w:color w:val="1A5C2A"/>
        </w:rPr>
        <w:t>the goal is transparency, not elimination.</w:t>
      </w:r>
    </w:p>
    <w:p w14:paraId="180A232C" w14:textId="77777777" w:rsidR="00276C92" w:rsidRDefault="00276C92">
      <w:pPr>
        <w:spacing w:after="80"/>
      </w:pPr>
    </w:p>
    <w:p w14:paraId="57F3FE90" w14:textId="4FB5F95A" w:rsidR="00276C92" w:rsidRDefault="00000000">
      <w:pPr>
        <w:spacing w:after="100"/>
        <w:ind w:left="240"/>
      </w:pPr>
      <w:r>
        <w:rPr>
          <w:color w:val="1A5C2A"/>
        </w:rPr>
        <w:t>Example: 'As a practitioner with fifteen years' experience in Nigerian corporate governance, I bring contextual knowledge that enabled access and informed interview probing. However, this familiarity also risks analytical proximity</w:t>
      </w:r>
      <w:r w:rsidR="00E24EFA">
        <w:rPr>
          <w:color w:val="1A5C2A"/>
        </w:rPr>
        <w:t xml:space="preserve"> - </w:t>
      </w:r>
      <w:r>
        <w:rPr>
          <w:color w:val="1A5C2A"/>
        </w:rPr>
        <w:t>a tendency to interpret participant accounts through my own professional lens rather than the theoretical framework of the study. I managed this through a reflexivity journal maintained throughout data collection and analysis (Crotty, 1998), peer debriefing with my Director of Studies, and member checking with three participants at the analytical stage (Lincoln &amp; Guba, 1985). I acknowledge that residual influence on interpretation cannot be fully eliminated; what I can demonstrate is that it was systematically managed and documented.'</w:t>
      </w:r>
    </w:p>
    <w:p w14:paraId="4679C144" w14:textId="77777777" w:rsidR="00276C92" w:rsidRDefault="00276C92">
      <w:pPr>
        <w:spacing w:after="80"/>
      </w:pPr>
    </w:p>
    <w:p w14:paraId="47F81735" w14:textId="00217EF7" w:rsidR="00276C92" w:rsidRDefault="00000000">
      <w:pPr>
        <w:spacing w:after="120"/>
        <w:ind w:left="240"/>
      </w:pPr>
      <w:r>
        <w:rPr>
          <w:b/>
          <w:bCs/>
          <w:color w:val="8B0000"/>
          <w:sz w:val="20"/>
          <w:szCs w:val="20"/>
        </w:rPr>
        <w:t xml:space="preserve"> note: </w:t>
      </w:r>
      <w:r>
        <w:rPr>
          <w:color w:val="8B0000"/>
          <w:sz w:val="20"/>
          <w:szCs w:val="20"/>
        </w:rPr>
        <w:t>Common error: students write 'I am aware I may have some bias.' This is not a positionality statement. It is an acknowledgement without a management strategy or a scholarly frame. Challenge with: 'What specific strategies did you use? What does the literature say about managing this?'</w:t>
      </w:r>
    </w:p>
    <w:p w14:paraId="139F2D5D" w14:textId="77777777" w:rsidR="00276C92" w:rsidRDefault="00276C92">
      <w:pPr>
        <w:spacing w:after="80"/>
      </w:pPr>
    </w:p>
    <w:p w14:paraId="5C9C0BD8" w14:textId="10E18751" w:rsidR="00276C92" w:rsidRDefault="00000000">
      <w:pPr>
        <w:spacing w:before="200" w:after="80"/>
      </w:pPr>
      <w:r>
        <w:rPr>
          <w:b/>
          <w:bCs/>
          <w:color w:val="1C2B4A"/>
        </w:rPr>
        <w:t>Task 3</w:t>
      </w:r>
      <w:r w:rsidR="00E24EFA">
        <w:rPr>
          <w:b/>
          <w:bCs/>
          <w:color w:val="1C2B4A"/>
        </w:rPr>
        <w:t xml:space="preserve"> - </w:t>
      </w:r>
      <w:r>
        <w:rPr>
          <w:b/>
          <w:bCs/>
          <w:color w:val="1C2B4A"/>
        </w:rPr>
        <w:t>Limitations from positionality: model responses</w:t>
      </w:r>
    </w:p>
    <w:tbl>
      <w:tblPr>
        <w:tblStyle w:val="a2"/>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00"/>
        <w:gridCol w:w="6560"/>
      </w:tblGrid>
      <w:tr w:rsidR="00276C92" w14:paraId="3F87AB16" w14:textId="77777777">
        <w:tc>
          <w:tcPr>
            <w:tcW w:w="2800" w:type="dxa"/>
            <w:tcBorders>
              <w:top w:val="single" w:sz="4" w:space="0" w:color="CCCCCC"/>
              <w:left w:val="single" w:sz="4" w:space="0" w:color="CCCCCC"/>
              <w:bottom w:val="single" w:sz="4" w:space="0" w:color="CCCCCC"/>
              <w:right w:val="single" w:sz="4" w:space="0" w:color="CCCCCC"/>
            </w:tcBorders>
            <w:shd w:val="clear" w:color="auto" w:fill="1C2B4A"/>
            <w:tcMar>
              <w:top w:w="80" w:type="dxa"/>
              <w:left w:w="120" w:type="dxa"/>
              <w:bottom w:w="80" w:type="dxa"/>
              <w:right w:w="120" w:type="dxa"/>
            </w:tcMar>
          </w:tcPr>
          <w:p w14:paraId="697F4D1C" w14:textId="77777777" w:rsidR="00276C92" w:rsidRDefault="00000000">
            <w:r>
              <w:rPr>
                <w:b/>
                <w:bCs/>
                <w:color w:val="FFFFFF"/>
                <w:sz w:val="20"/>
                <w:szCs w:val="20"/>
              </w:rPr>
              <w:t>Limitation</w:t>
            </w:r>
          </w:p>
        </w:tc>
        <w:tc>
          <w:tcPr>
            <w:tcW w:w="6560" w:type="dxa"/>
            <w:tcBorders>
              <w:top w:val="single" w:sz="4" w:space="0" w:color="CCCCCC"/>
              <w:left w:val="single" w:sz="4" w:space="0" w:color="CCCCCC"/>
              <w:bottom w:val="single" w:sz="4" w:space="0" w:color="CCCCCC"/>
              <w:right w:val="single" w:sz="4" w:space="0" w:color="CCCCCC"/>
            </w:tcBorders>
            <w:shd w:val="clear" w:color="auto" w:fill="1C2B4A"/>
            <w:tcMar>
              <w:top w:w="80" w:type="dxa"/>
              <w:left w:w="120" w:type="dxa"/>
              <w:bottom w:w="80" w:type="dxa"/>
              <w:right w:w="120" w:type="dxa"/>
            </w:tcMar>
          </w:tcPr>
          <w:p w14:paraId="53BE1DBD" w14:textId="77777777" w:rsidR="00276C92" w:rsidRDefault="00000000">
            <w:r>
              <w:rPr>
                <w:b/>
                <w:bCs/>
                <w:color w:val="FFFFFF"/>
                <w:sz w:val="20"/>
                <w:szCs w:val="20"/>
              </w:rPr>
              <w:t>Strong management response</w:t>
            </w:r>
          </w:p>
        </w:tc>
      </w:tr>
      <w:tr w:rsidR="00276C92" w14:paraId="67B03AEA" w14:textId="77777777">
        <w:tc>
          <w:tcPr>
            <w:tcW w:w="2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52BB3326" w14:textId="77777777" w:rsidR="00276C92" w:rsidRDefault="00000000">
            <w:r>
              <w:rPr>
                <w:b/>
                <w:bCs/>
                <w:color w:val="111111"/>
                <w:sz w:val="21"/>
                <w:szCs w:val="21"/>
              </w:rPr>
              <w:lastRenderedPageBreak/>
              <w:t>Participants in my organisation may moderate candour because of my senior role.</w:t>
            </w:r>
          </w:p>
        </w:tc>
        <w:tc>
          <w:tcPr>
            <w:tcW w:w="6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72A60F92" w14:textId="1FAE35F6" w:rsidR="00276C92" w:rsidRDefault="00000000">
            <w:r>
              <w:rPr>
                <w:color w:val="111111"/>
                <w:sz w:val="21"/>
                <w:szCs w:val="21"/>
              </w:rPr>
              <w:t>'Power dynamics were managed through explicit assurance of anonymity and the use of an external interview venue. Buchanan &amp; Bryman (2009) note that power asymmetries shape interview data</w:t>
            </w:r>
            <w:r w:rsidR="00E24EFA">
              <w:rPr>
                <w:color w:val="111111"/>
                <w:sz w:val="21"/>
                <w:szCs w:val="21"/>
              </w:rPr>
              <w:t xml:space="preserve"> - </w:t>
            </w:r>
            <w:r>
              <w:rPr>
                <w:color w:val="111111"/>
                <w:sz w:val="21"/>
                <w:szCs w:val="21"/>
              </w:rPr>
              <w:t>I document this as a residual limitation affecting confirmability.'</w:t>
            </w:r>
          </w:p>
        </w:tc>
      </w:tr>
      <w:tr w:rsidR="00276C92" w14:paraId="090DD62C" w14:textId="77777777">
        <w:tc>
          <w:tcPr>
            <w:tcW w:w="2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6ED10BFB" w14:textId="77777777" w:rsidR="00276C92" w:rsidRDefault="00000000">
            <w:r>
              <w:rPr>
                <w:b/>
                <w:bCs/>
                <w:color w:val="111111"/>
                <w:sz w:val="21"/>
                <w:szCs w:val="21"/>
              </w:rPr>
              <w:t>My cultural assumptions as a Western-educated researcher may impose interpretive frameworks on non-Western participants.</w:t>
            </w:r>
          </w:p>
        </w:tc>
        <w:tc>
          <w:tcPr>
            <w:tcW w:w="6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64C58861" w14:textId="77777777" w:rsidR="00276C92" w:rsidRDefault="00000000">
            <w:r>
              <w:rPr>
                <w:color w:val="111111"/>
                <w:sz w:val="21"/>
                <w:szCs w:val="21"/>
              </w:rPr>
              <w:t xml:space="preserve">'I employed a reflexivity journal to document and interrogate </w:t>
            </w:r>
            <w:proofErr w:type="gramStart"/>
            <w:r>
              <w:rPr>
                <w:color w:val="111111"/>
                <w:sz w:val="21"/>
                <w:szCs w:val="21"/>
              </w:rPr>
              <w:t>culturally-embedded</w:t>
            </w:r>
            <w:proofErr w:type="gramEnd"/>
            <w:r>
              <w:rPr>
                <w:color w:val="111111"/>
                <w:sz w:val="21"/>
                <w:szCs w:val="21"/>
              </w:rPr>
              <w:t xml:space="preserve"> assumptions (Crotty, 1998) and used member checking to verify that my interpretations resonated with participants' own meaning-making.'</w:t>
            </w:r>
          </w:p>
        </w:tc>
      </w:tr>
      <w:tr w:rsidR="00276C92" w14:paraId="03B43114" w14:textId="77777777">
        <w:tc>
          <w:tcPr>
            <w:tcW w:w="2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72DDFCCB" w14:textId="77777777" w:rsidR="00276C92" w:rsidRDefault="00000000">
            <w:r>
              <w:rPr>
                <w:b/>
                <w:bCs/>
                <w:color w:val="111111"/>
                <w:sz w:val="21"/>
                <w:szCs w:val="21"/>
              </w:rPr>
              <w:t>I may have unconsciously selected data supporting my practitioner-held hypotheses.</w:t>
            </w:r>
          </w:p>
        </w:tc>
        <w:tc>
          <w:tcPr>
            <w:tcW w:w="6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4937FB65" w14:textId="608DF098" w:rsidR="00276C92" w:rsidRDefault="00000000">
            <w:r>
              <w:rPr>
                <w:color w:val="111111"/>
                <w:sz w:val="21"/>
                <w:szCs w:val="21"/>
              </w:rPr>
              <w:t>'Negative case analysis was employed throughout</w:t>
            </w:r>
            <w:r w:rsidR="00E24EFA">
              <w:rPr>
                <w:color w:val="111111"/>
                <w:sz w:val="21"/>
                <w:szCs w:val="21"/>
              </w:rPr>
              <w:t xml:space="preserve"> - </w:t>
            </w:r>
            <w:r>
              <w:rPr>
                <w:color w:val="111111"/>
                <w:sz w:val="21"/>
                <w:szCs w:val="21"/>
              </w:rPr>
              <w:t>I actively sought interview data that challenged emerging themes and documented how my interpretation shifted as a result (Lincoln &amp; Guba, 1985).'</w:t>
            </w:r>
          </w:p>
        </w:tc>
      </w:tr>
    </w:tbl>
    <w:p w14:paraId="32CB8882" w14:textId="77777777" w:rsidR="00276C92" w:rsidRDefault="00000000">
      <w:r>
        <w:br w:type="page"/>
      </w:r>
    </w:p>
    <w:p w14:paraId="4540BE90" w14:textId="6DCF585B" w:rsidR="00276C92" w:rsidRDefault="00000000">
      <w:pPr>
        <w:pStyle w:val="Heading1"/>
        <w:pBdr>
          <w:bottom w:val="single" w:sz="4" w:space="4" w:color="C9A84C"/>
        </w:pBdr>
      </w:pPr>
      <w:r>
        <w:lastRenderedPageBreak/>
        <w:t xml:space="preserve">Section </w:t>
      </w:r>
      <w:proofErr w:type="gramStart"/>
      <w:r>
        <w:t>4  ·</w:t>
      </w:r>
      <w:proofErr w:type="gramEnd"/>
      <w:r>
        <w:t xml:space="preserve">  Sampling and Transferability</w:t>
      </w:r>
      <w:r w:rsidR="00E24EFA">
        <w:t xml:space="preserve"> - </w:t>
      </w:r>
      <w:r>
        <w:t>Answer Guidance</w:t>
      </w:r>
    </w:p>
    <w:p w14:paraId="5FDB8442" w14:textId="77777777" w:rsidR="00276C92" w:rsidRDefault="00000000">
      <w:pPr>
        <w:pStyle w:val="Heading2"/>
      </w:pPr>
      <w:r>
        <w:t xml:space="preserve">Saturation: the </w:t>
      </w:r>
      <w:proofErr w:type="gramStart"/>
      <w:r>
        <w:t>most commonly mishandled</w:t>
      </w:r>
      <w:proofErr w:type="gramEnd"/>
      <w:r>
        <w:t xml:space="preserve"> concept</w:t>
      </w:r>
    </w:p>
    <w:p w14:paraId="036DD20A" w14:textId="77777777" w:rsidR="00276C92" w:rsidRDefault="00000000">
      <w:pPr>
        <w:spacing w:after="120"/>
      </w:pPr>
      <w:r>
        <w:rPr>
          <w:color w:val="111111"/>
        </w:rPr>
        <w:t>Students routinely confuse data saturation with rich data saturation, and many default to citing a 'recommended' sample size without understanding saturation logic. This is the area where doctoral candidates most commonly receive viva feedback.</w:t>
      </w:r>
    </w:p>
    <w:p w14:paraId="271F78FD" w14:textId="77777777" w:rsidR="00276C92" w:rsidRDefault="00276C92">
      <w:pPr>
        <w:spacing w:after="80"/>
      </w:pPr>
    </w:p>
    <w:tbl>
      <w:tblPr>
        <w:tblStyle w:val="a3"/>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000"/>
        <w:gridCol w:w="6360"/>
      </w:tblGrid>
      <w:tr w:rsidR="00276C92" w14:paraId="6C375224" w14:textId="77777777">
        <w:tc>
          <w:tcPr>
            <w:tcW w:w="3000" w:type="dxa"/>
            <w:tcBorders>
              <w:top w:val="single" w:sz="4" w:space="0" w:color="CCCCCC"/>
              <w:left w:val="single" w:sz="4" w:space="0" w:color="CCCCCC"/>
              <w:bottom w:val="single" w:sz="4" w:space="0" w:color="CCCCCC"/>
              <w:right w:val="single" w:sz="4" w:space="0" w:color="CCCCCC"/>
            </w:tcBorders>
            <w:shd w:val="clear" w:color="auto" w:fill="1C2B4A"/>
            <w:tcMar>
              <w:top w:w="80" w:type="dxa"/>
              <w:left w:w="120" w:type="dxa"/>
              <w:bottom w:w="80" w:type="dxa"/>
              <w:right w:w="120" w:type="dxa"/>
            </w:tcMar>
          </w:tcPr>
          <w:p w14:paraId="7D7153F4" w14:textId="77777777" w:rsidR="00276C92" w:rsidRDefault="00000000">
            <w:r>
              <w:rPr>
                <w:b/>
                <w:bCs/>
                <w:color w:val="FFFFFF"/>
                <w:sz w:val="20"/>
                <w:szCs w:val="20"/>
              </w:rPr>
              <w:t>What students say</w:t>
            </w:r>
          </w:p>
        </w:tc>
        <w:tc>
          <w:tcPr>
            <w:tcW w:w="6360" w:type="dxa"/>
            <w:tcBorders>
              <w:top w:val="single" w:sz="4" w:space="0" w:color="CCCCCC"/>
              <w:left w:val="single" w:sz="4" w:space="0" w:color="CCCCCC"/>
              <w:bottom w:val="single" w:sz="4" w:space="0" w:color="CCCCCC"/>
              <w:right w:val="single" w:sz="4" w:space="0" w:color="CCCCCC"/>
            </w:tcBorders>
            <w:shd w:val="clear" w:color="auto" w:fill="1C2B4A"/>
            <w:tcMar>
              <w:top w:w="80" w:type="dxa"/>
              <w:left w:w="120" w:type="dxa"/>
              <w:bottom w:w="80" w:type="dxa"/>
              <w:right w:w="120" w:type="dxa"/>
            </w:tcMar>
          </w:tcPr>
          <w:p w14:paraId="7FAEB3DE" w14:textId="77777777" w:rsidR="00276C92" w:rsidRDefault="00000000">
            <w:r>
              <w:rPr>
                <w:b/>
                <w:bCs/>
                <w:color w:val="FFFFFF"/>
                <w:sz w:val="20"/>
                <w:szCs w:val="20"/>
              </w:rPr>
              <w:t>What they should say</w:t>
            </w:r>
          </w:p>
        </w:tc>
      </w:tr>
      <w:tr w:rsidR="00276C92" w14:paraId="6685A1A6" w14:textId="77777777">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1573115" w14:textId="77777777" w:rsidR="00276C92" w:rsidRDefault="00000000">
            <w:r>
              <w:rPr>
                <w:b/>
                <w:bCs/>
                <w:color w:val="111111"/>
                <w:sz w:val="21"/>
                <w:szCs w:val="21"/>
              </w:rPr>
              <w:t>'I interviewed 12 people because that is the standard for qualitative research.'</w:t>
            </w:r>
          </w:p>
        </w:tc>
        <w:tc>
          <w:tcPr>
            <w:tcW w:w="63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902ABCD" w14:textId="1158E96D" w:rsidR="00276C92" w:rsidRDefault="00000000">
            <w:r>
              <w:rPr>
                <w:color w:val="111111"/>
                <w:sz w:val="21"/>
                <w:szCs w:val="21"/>
              </w:rPr>
              <w:t>'I continued interviewing until theoretical saturation was reached</w:t>
            </w:r>
            <w:r w:rsidR="00E24EFA">
              <w:rPr>
                <w:color w:val="111111"/>
                <w:sz w:val="21"/>
                <w:szCs w:val="21"/>
              </w:rPr>
              <w:t xml:space="preserve"> - </w:t>
            </w:r>
            <w:r>
              <w:rPr>
                <w:color w:val="111111"/>
                <w:sz w:val="21"/>
                <w:szCs w:val="21"/>
              </w:rPr>
              <w:t>the point at which no new categories or analytical insights were emerging from the data (Fusch &amp; Ness, 2015; Glaser &amp; Strauss, 1967). This occurred after 12 interviews; rich data saturation</w:t>
            </w:r>
            <w:r w:rsidR="00E24EFA">
              <w:rPr>
                <w:color w:val="111111"/>
                <w:sz w:val="21"/>
                <w:szCs w:val="21"/>
              </w:rPr>
              <w:t xml:space="preserve"> - </w:t>
            </w:r>
            <w:r>
              <w:rPr>
                <w:color w:val="111111"/>
                <w:sz w:val="21"/>
                <w:szCs w:val="21"/>
              </w:rPr>
              <w:t>sufficient depth per participant to build meaningful theoretical insight</w:t>
            </w:r>
            <w:r w:rsidR="00E24EFA">
              <w:rPr>
                <w:color w:val="111111"/>
                <w:sz w:val="21"/>
                <w:szCs w:val="21"/>
              </w:rPr>
              <w:t xml:space="preserve"> - </w:t>
            </w:r>
            <w:r>
              <w:rPr>
                <w:color w:val="111111"/>
                <w:sz w:val="21"/>
                <w:szCs w:val="21"/>
              </w:rPr>
              <w:t>had been achieved.'</w:t>
            </w:r>
          </w:p>
        </w:tc>
      </w:tr>
      <w:tr w:rsidR="00276C92" w14:paraId="7CF2B7C8" w14:textId="77777777">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F9756C4" w14:textId="77777777" w:rsidR="00276C92" w:rsidRDefault="00000000">
            <w:r>
              <w:rPr>
                <w:b/>
                <w:bCs/>
                <w:color w:val="111111"/>
                <w:sz w:val="21"/>
                <w:szCs w:val="21"/>
              </w:rPr>
              <w:t>'My sample is small so my findings may not apply.'</w:t>
            </w:r>
          </w:p>
        </w:tc>
        <w:tc>
          <w:tcPr>
            <w:tcW w:w="63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5BE86189" w14:textId="6AF620DD" w:rsidR="00276C92" w:rsidRDefault="00000000">
            <w:r>
              <w:rPr>
                <w:color w:val="111111"/>
                <w:sz w:val="21"/>
                <w:szCs w:val="21"/>
              </w:rPr>
              <w:t>'The appropriate criterion is transferability, not generalisation. I provide thick contextual description to enable readers to assess applicability to their own context (Lincoln &amp; Guba, 1985). The depth of engagement per participant</w:t>
            </w:r>
            <w:r w:rsidR="00E24EFA">
              <w:rPr>
                <w:color w:val="111111"/>
                <w:sz w:val="21"/>
                <w:szCs w:val="21"/>
              </w:rPr>
              <w:t xml:space="preserve"> - </w:t>
            </w:r>
            <w:r>
              <w:rPr>
                <w:color w:val="111111"/>
                <w:sz w:val="21"/>
                <w:szCs w:val="21"/>
              </w:rPr>
              <w:t>interviews of 60-90 minutes, with follow-up member checking</w:t>
            </w:r>
            <w:r w:rsidR="00E24EFA">
              <w:rPr>
                <w:color w:val="111111"/>
                <w:sz w:val="21"/>
                <w:szCs w:val="21"/>
              </w:rPr>
              <w:t xml:space="preserve"> - </w:t>
            </w:r>
            <w:r>
              <w:rPr>
                <w:color w:val="111111"/>
                <w:sz w:val="21"/>
                <w:szCs w:val="21"/>
              </w:rPr>
              <w:t>strengthens the analytic credibility of the findings.'</w:t>
            </w:r>
          </w:p>
        </w:tc>
      </w:tr>
    </w:tbl>
    <w:p w14:paraId="06816CE5" w14:textId="77777777" w:rsidR="00276C92" w:rsidRDefault="00276C92">
      <w:pPr>
        <w:spacing w:after="80"/>
      </w:pPr>
    </w:p>
    <w:p w14:paraId="2E3B3CC6" w14:textId="6164F37D" w:rsidR="00276C92" w:rsidRDefault="00000000">
      <w:pPr>
        <w:spacing w:after="120"/>
        <w:ind w:left="240"/>
      </w:pPr>
      <w:r>
        <w:rPr>
          <w:b/>
          <w:bCs/>
          <w:color w:val="8B0000"/>
          <w:sz w:val="20"/>
          <w:szCs w:val="20"/>
        </w:rPr>
        <w:t xml:space="preserve"> note: </w:t>
      </w:r>
      <w:r>
        <w:rPr>
          <w:color w:val="8B0000"/>
          <w:sz w:val="20"/>
          <w:szCs w:val="20"/>
        </w:rPr>
        <w:t>Viva preparation: if a student cannot explain WHY they stopped where they did, and can only cite a number, they will struggle in the viva. The answer must be: 'I stopped because no new theoretical insight was emerging</w:t>
      </w:r>
      <w:r w:rsidR="00E24EFA">
        <w:rPr>
          <w:color w:val="8B0000"/>
          <w:sz w:val="20"/>
          <w:szCs w:val="20"/>
        </w:rPr>
        <w:t xml:space="preserve"> - </w:t>
      </w:r>
      <w:r>
        <w:rPr>
          <w:color w:val="8B0000"/>
          <w:sz w:val="20"/>
          <w:szCs w:val="20"/>
        </w:rPr>
        <w:t>not because I reached a pre-set number.'</w:t>
      </w:r>
    </w:p>
    <w:p w14:paraId="31973885" w14:textId="77777777" w:rsidR="00276C92" w:rsidRDefault="00276C92">
      <w:pPr>
        <w:spacing w:after="80"/>
      </w:pPr>
    </w:p>
    <w:p w14:paraId="11600FD3" w14:textId="727F931C" w:rsidR="00276C92" w:rsidRDefault="00000000">
      <w:pPr>
        <w:pStyle w:val="Heading2"/>
      </w:pPr>
      <w:r>
        <w:t>Activity 4A</w:t>
      </w:r>
      <w:r w:rsidR="00E24EFA">
        <w:t xml:space="preserve"> - </w:t>
      </w:r>
      <w:r>
        <w:t>Model answer guidance</w:t>
      </w:r>
    </w:p>
    <w:p w14:paraId="2D4BCC66" w14:textId="3D80EBC4" w:rsidR="00276C92" w:rsidRDefault="00000000">
      <w:pPr>
        <w:spacing w:before="200" w:after="80"/>
      </w:pPr>
      <w:r>
        <w:rPr>
          <w:b/>
          <w:bCs/>
          <w:color w:val="1C2B4A"/>
        </w:rPr>
        <w:t>Tasks 1 and 2</w:t>
      </w:r>
      <w:r w:rsidR="00E24EFA">
        <w:rPr>
          <w:b/>
          <w:bCs/>
          <w:color w:val="1C2B4A"/>
        </w:rPr>
        <w:t xml:space="preserve"> - </w:t>
      </w:r>
      <w:r>
        <w:rPr>
          <w:b/>
          <w:bCs/>
          <w:color w:val="1C2B4A"/>
        </w:rPr>
        <w:t>Sample and strategy: what to listen for</w:t>
      </w:r>
    </w:p>
    <w:p w14:paraId="4FED281D" w14:textId="07DDEED7" w:rsidR="00276C92" w:rsidRDefault="00000000">
      <w:pPr>
        <w:spacing w:after="120"/>
      </w:pPr>
      <w:r>
        <w:rPr>
          <w:color w:val="111111"/>
        </w:rPr>
        <w:t>Strong answers name the sampling strategy correctly and justify it with reference to the research question</w:t>
      </w:r>
      <w:r w:rsidR="00E24EFA">
        <w:rPr>
          <w:color w:val="111111"/>
        </w:rPr>
        <w:t xml:space="preserve"> - </w:t>
      </w:r>
      <w:r>
        <w:rPr>
          <w:color w:val="111111"/>
        </w:rPr>
        <w:t>not convenience. Examples:</w:t>
      </w:r>
    </w:p>
    <w:p w14:paraId="5828D02D" w14:textId="77777777" w:rsidR="00276C92" w:rsidRDefault="00000000">
      <w:pPr>
        <w:numPr>
          <w:ilvl w:val="0"/>
          <w:numId w:val="1"/>
        </w:numPr>
        <w:pBdr>
          <w:top w:val="nil"/>
          <w:left w:val="nil"/>
          <w:bottom w:val="nil"/>
          <w:right w:val="nil"/>
          <w:between w:val="nil"/>
        </w:pBdr>
        <w:spacing w:after="80"/>
      </w:pPr>
      <w:r>
        <w:rPr>
          <w:color w:val="1A5C2A"/>
        </w:rPr>
        <w:t>'I am using maximum variation sampling to capture the range of governance practices across family-owned, state-owned and private Nigerian firms. This enables analytical comparison across organisational types rather than depth within one.'</w:t>
      </w:r>
    </w:p>
    <w:p w14:paraId="30C740EA" w14:textId="77777777" w:rsidR="00276C92" w:rsidRDefault="00000000">
      <w:pPr>
        <w:numPr>
          <w:ilvl w:val="0"/>
          <w:numId w:val="1"/>
        </w:numPr>
        <w:pBdr>
          <w:top w:val="nil"/>
          <w:left w:val="nil"/>
          <w:bottom w:val="nil"/>
          <w:right w:val="nil"/>
          <w:between w:val="nil"/>
        </w:pBdr>
        <w:spacing w:after="80"/>
      </w:pPr>
      <w:r>
        <w:rPr>
          <w:color w:val="1A5C2A"/>
        </w:rPr>
        <w:t>'I am using criterion-based purposive sampling, selecting only executives with board responsibility for at least five years. This ensures participants have the strategic experience relevant to my research question.'</w:t>
      </w:r>
    </w:p>
    <w:p w14:paraId="6712206E" w14:textId="77777777" w:rsidR="00276C92" w:rsidRDefault="00276C92">
      <w:pPr>
        <w:spacing w:after="80"/>
      </w:pPr>
    </w:p>
    <w:p w14:paraId="3D730A7B" w14:textId="32303C7B" w:rsidR="00276C92" w:rsidRDefault="00000000">
      <w:pPr>
        <w:spacing w:after="120"/>
        <w:ind w:left="240"/>
      </w:pPr>
      <w:r>
        <w:rPr>
          <w:b/>
          <w:bCs/>
          <w:color w:val="8B0000"/>
          <w:sz w:val="20"/>
          <w:szCs w:val="20"/>
        </w:rPr>
        <w:t xml:space="preserve"> note: </w:t>
      </w:r>
      <w:r>
        <w:rPr>
          <w:color w:val="8B0000"/>
          <w:sz w:val="20"/>
          <w:szCs w:val="20"/>
        </w:rPr>
        <w:t xml:space="preserve">Common error: 'I am using purposive sampling because it is appropriate for qualitative research.' This is circular. Challenge: purposive compared to what, and why is this </w:t>
      </w:r>
      <w:proofErr w:type="gramStart"/>
      <w:r>
        <w:rPr>
          <w:color w:val="8B0000"/>
          <w:sz w:val="20"/>
          <w:szCs w:val="20"/>
        </w:rPr>
        <w:t>particular purposive</w:t>
      </w:r>
      <w:proofErr w:type="gramEnd"/>
      <w:r>
        <w:rPr>
          <w:color w:val="8B0000"/>
          <w:sz w:val="20"/>
          <w:szCs w:val="20"/>
        </w:rPr>
        <w:t xml:space="preserve"> strategy right for this </w:t>
      </w:r>
      <w:proofErr w:type="gramStart"/>
      <w:r>
        <w:rPr>
          <w:color w:val="8B0000"/>
          <w:sz w:val="20"/>
          <w:szCs w:val="20"/>
        </w:rPr>
        <w:t>particular research</w:t>
      </w:r>
      <w:proofErr w:type="gramEnd"/>
      <w:r>
        <w:rPr>
          <w:color w:val="8B0000"/>
          <w:sz w:val="20"/>
          <w:szCs w:val="20"/>
        </w:rPr>
        <w:t xml:space="preserve"> question?</w:t>
      </w:r>
    </w:p>
    <w:p w14:paraId="0165E774" w14:textId="77777777" w:rsidR="00276C92" w:rsidRDefault="00276C92">
      <w:pPr>
        <w:spacing w:after="80"/>
      </w:pPr>
    </w:p>
    <w:p w14:paraId="3D6D0DA8" w14:textId="3C974AF3" w:rsidR="00276C92" w:rsidRDefault="00000000">
      <w:pPr>
        <w:spacing w:before="200" w:after="80"/>
      </w:pPr>
      <w:r>
        <w:rPr>
          <w:b/>
          <w:bCs/>
          <w:color w:val="1C2B4A"/>
        </w:rPr>
        <w:t>Task 3</w:t>
      </w:r>
      <w:r w:rsidR="00E24EFA">
        <w:rPr>
          <w:b/>
          <w:bCs/>
          <w:color w:val="1C2B4A"/>
        </w:rPr>
        <w:t xml:space="preserve"> - </w:t>
      </w:r>
      <w:r>
        <w:rPr>
          <w:b/>
          <w:bCs/>
          <w:color w:val="1C2B4A"/>
        </w:rPr>
        <w:t>Saturation statement: model response</w:t>
      </w:r>
    </w:p>
    <w:p w14:paraId="1BB1A892" w14:textId="4512CEBC" w:rsidR="00276C92" w:rsidRDefault="00000000">
      <w:pPr>
        <w:spacing w:after="100"/>
        <w:ind w:left="240"/>
      </w:pPr>
      <w:r>
        <w:rPr>
          <w:color w:val="1A5C2A"/>
        </w:rPr>
        <w:t>'Data collection will continue until theoretical saturation is reached</w:t>
      </w:r>
      <w:r w:rsidR="00E24EFA">
        <w:rPr>
          <w:color w:val="1A5C2A"/>
        </w:rPr>
        <w:t xml:space="preserve"> - </w:t>
      </w:r>
      <w:r>
        <w:rPr>
          <w:color w:val="1A5C2A"/>
        </w:rPr>
        <w:t>the point at which additional interviews produce no new theoretical categories or properties (Glaser &amp; Strauss, 1967). In practice, I will monitor analytical memos after each interview for evidence of new insight. Following Fusch &amp; Ness (2015), I aim for rich data saturation: not merely repetition of information, but sufficient depth per participant to support meaningful theoretical interpretation.'</w:t>
      </w:r>
    </w:p>
    <w:p w14:paraId="099CB35F" w14:textId="77777777" w:rsidR="00276C92" w:rsidRDefault="00000000">
      <w:r>
        <w:lastRenderedPageBreak/>
        <w:br w:type="page"/>
      </w:r>
    </w:p>
    <w:p w14:paraId="5B99FE2E" w14:textId="621B40D7" w:rsidR="00276C92" w:rsidRDefault="00000000">
      <w:pPr>
        <w:pStyle w:val="Heading1"/>
        <w:pBdr>
          <w:bottom w:val="single" w:sz="4" w:space="4" w:color="C9A84C"/>
        </w:pBdr>
      </w:pPr>
      <w:r>
        <w:lastRenderedPageBreak/>
        <w:t xml:space="preserve">Section </w:t>
      </w:r>
      <w:proofErr w:type="gramStart"/>
      <w:r>
        <w:t>5  ·</w:t>
      </w:r>
      <w:proofErr w:type="gramEnd"/>
      <w:r>
        <w:t xml:space="preserve">  Writing with Scholarly Confidence</w:t>
      </w:r>
      <w:r w:rsidR="00E24EFA">
        <w:t xml:space="preserve"> - </w:t>
      </w:r>
      <w:r>
        <w:t>Answer Guidance</w:t>
      </w:r>
    </w:p>
    <w:p w14:paraId="3DB90D2B" w14:textId="77777777" w:rsidR="00276C92" w:rsidRDefault="00000000">
      <w:pPr>
        <w:pStyle w:val="Heading2"/>
      </w:pPr>
      <w:r>
        <w:t>Language reframing: model rewrites</w:t>
      </w:r>
    </w:p>
    <w:tbl>
      <w:tblPr>
        <w:tblStyle w:val="a4"/>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000"/>
        <w:gridCol w:w="6360"/>
      </w:tblGrid>
      <w:tr w:rsidR="00276C92" w14:paraId="6DD781AB" w14:textId="77777777">
        <w:tc>
          <w:tcPr>
            <w:tcW w:w="3000" w:type="dxa"/>
            <w:tcBorders>
              <w:top w:val="single" w:sz="4" w:space="0" w:color="CCCCCC"/>
              <w:left w:val="single" w:sz="4" w:space="0" w:color="CCCCCC"/>
              <w:bottom w:val="single" w:sz="4" w:space="0" w:color="CCCCCC"/>
              <w:right w:val="single" w:sz="4" w:space="0" w:color="CCCCCC"/>
            </w:tcBorders>
            <w:shd w:val="clear" w:color="auto" w:fill="1C2B4A"/>
            <w:tcMar>
              <w:top w:w="80" w:type="dxa"/>
              <w:left w:w="120" w:type="dxa"/>
              <w:bottom w:w="80" w:type="dxa"/>
              <w:right w:w="120" w:type="dxa"/>
            </w:tcMar>
          </w:tcPr>
          <w:p w14:paraId="7F3AF805" w14:textId="77777777" w:rsidR="00276C92" w:rsidRDefault="00000000">
            <w:r>
              <w:rPr>
                <w:b/>
                <w:bCs/>
                <w:color w:val="FFFFFF"/>
                <w:sz w:val="20"/>
                <w:szCs w:val="20"/>
              </w:rPr>
              <w:t>Weak student phrasing</w:t>
            </w:r>
          </w:p>
        </w:tc>
        <w:tc>
          <w:tcPr>
            <w:tcW w:w="6360" w:type="dxa"/>
            <w:tcBorders>
              <w:top w:val="single" w:sz="4" w:space="0" w:color="CCCCCC"/>
              <w:left w:val="single" w:sz="4" w:space="0" w:color="CCCCCC"/>
              <w:bottom w:val="single" w:sz="4" w:space="0" w:color="CCCCCC"/>
              <w:right w:val="single" w:sz="4" w:space="0" w:color="CCCCCC"/>
            </w:tcBorders>
            <w:shd w:val="clear" w:color="auto" w:fill="1C2B4A"/>
            <w:tcMar>
              <w:top w:w="80" w:type="dxa"/>
              <w:left w:w="120" w:type="dxa"/>
              <w:bottom w:w="80" w:type="dxa"/>
              <w:right w:w="120" w:type="dxa"/>
            </w:tcMar>
          </w:tcPr>
          <w:p w14:paraId="1449CA03" w14:textId="77777777" w:rsidR="00276C92" w:rsidRDefault="00000000">
            <w:r>
              <w:rPr>
                <w:b/>
                <w:bCs/>
                <w:color w:val="FFFFFF"/>
                <w:sz w:val="20"/>
                <w:szCs w:val="20"/>
              </w:rPr>
              <w:t>Model doctoral rewrite</w:t>
            </w:r>
          </w:p>
        </w:tc>
      </w:tr>
      <w:tr w:rsidR="00276C92" w14:paraId="0A301B99" w14:textId="77777777">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7F96803E" w14:textId="77777777" w:rsidR="00276C92" w:rsidRDefault="00000000">
            <w:r>
              <w:rPr>
                <w:b/>
                <w:bCs/>
                <w:color w:val="111111"/>
                <w:sz w:val="21"/>
                <w:szCs w:val="21"/>
              </w:rPr>
              <w:t xml:space="preserve">'I only interviewed ten </w:t>
            </w:r>
            <w:proofErr w:type="gramStart"/>
            <w:r>
              <w:rPr>
                <w:b/>
                <w:bCs/>
                <w:color w:val="111111"/>
                <w:sz w:val="21"/>
                <w:szCs w:val="21"/>
              </w:rPr>
              <w:t>people</w:t>
            </w:r>
            <w:proofErr w:type="gramEnd"/>
            <w:r>
              <w:rPr>
                <w:b/>
                <w:bCs/>
                <w:color w:val="111111"/>
                <w:sz w:val="21"/>
                <w:szCs w:val="21"/>
              </w:rPr>
              <w:t xml:space="preserve"> so the sample is too small to be representative.'</w:t>
            </w:r>
          </w:p>
        </w:tc>
        <w:tc>
          <w:tcPr>
            <w:tcW w:w="63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4BC2C5EE" w14:textId="77777777" w:rsidR="00276C92" w:rsidRDefault="00000000">
            <w:r>
              <w:rPr>
                <w:color w:val="111111"/>
                <w:sz w:val="21"/>
                <w:szCs w:val="21"/>
              </w:rPr>
              <w:t>'Theoretical saturation was reached following ten in-depth interviews of 75-90 minutes duration. In keeping with the interpretivist paradigm, the study prioritises analytic depth over statistical breadth; this is consistent with Lincoln &amp; Guba's (1985) principle of purposive selection and Fusch &amp; Ness's (2015) criterion of rich data saturation.'</w:t>
            </w:r>
          </w:p>
        </w:tc>
      </w:tr>
      <w:tr w:rsidR="00276C92" w14:paraId="59431F36" w14:textId="77777777">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729F71C7" w14:textId="77777777" w:rsidR="00276C92" w:rsidRDefault="00000000">
            <w:r>
              <w:rPr>
                <w:b/>
                <w:bCs/>
                <w:color w:val="111111"/>
                <w:sz w:val="21"/>
                <w:szCs w:val="21"/>
              </w:rPr>
              <w:t>'Being an insider means I could be biased.'</w:t>
            </w:r>
          </w:p>
        </w:tc>
        <w:tc>
          <w:tcPr>
            <w:tcW w:w="63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69DCDE25" w14:textId="77777777" w:rsidR="00276C92" w:rsidRDefault="00000000">
            <w:r>
              <w:rPr>
                <w:color w:val="111111"/>
                <w:sz w:val="21"/>
                <w:szCs w:val="21"/>
              </w:rPr>
              <w:t>'My positionality as a practitioner-researcher in the sector studied requires explicit acknowledgement. My professional background informed question construction and facilitated access, whilst simultaneously creating proximity to the phenomenon under study. This was managed through a systematic reflexivity journal (Crotty, 1998), peer debriefing throughout analysis, and member checking at the interpretive stage (Lincoln &amp; Guba, 1985). Residual influence on interpretation is acknowledged as a limitation of confirmability.'</w:t>
            </w:r>
          </w:p>
        </w:tc>
      </w:tr>
      <w:tr w:rsidR="00276C92" w14:paraId="0EF00A05" w14:textId="77777777">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7F11386D" w14:textId="77777777" w:rsidR="00276C92" w:rsidRDefault="00000000">
            <w:r>
              <w:rPr>
                <w:b/>
                <w:bCs/>
                <w:color w:val="111111"/>
                <w:sz w:val="21"/>
                <w:szCs w:val="21"/>
              </w:rPr>
              <w:t>'This qualitative study cannot be generalised.'</w:t>
            </w:r>
          </w:p>
        </w:tc>
        <w:tc>
          <w:tcPr>
            <w:tcW w:w="63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52AE9752" w14:textId="77777777" w:rsidR="00276C92" w:rsidRDefault="00000000">
            <w:r>
              <w:rPr>
                <w:color w:val="111111"/>
                <w:sz w:val="21"/>
                <w:szCs w:val="21"/>
              </w:rPr>
              <w:t>'This study does not seek statistical generalisation to a wider population. Following Lincoln &amp; Guba (1985), transferability is the appropriate criterion: thick contextual description of the research setting and participant roles enables readers to make informed judgements about the relevance of findings to their own contexts. Analytical generalisation to theoretical propositions (Yin, 2018) is the appropriate epistemological aspiration for this study.'</w:t>
            </w:r>
          </w:p>
        </w:tc>
      </w:tr>
    </w:tbl>
    <w:p w14:paraId="29BD2481" w14:textId="77777777" w:rsidR="00276C92" w:rsidRDefault="00276C92">
      <w:pPr>
        <w:spacing w:after="80"/>
      </w:pPr>
    </w:p>
    <w:p w14:paraId="582E35AA" w14:textId="115C7B59" w:rsidR="00276C92" w:rsidRDefault="00000000">
      <w:pPr>
        <w:pStyle w:val="Heading2"/>
      </w:pPr>
      <w:r>
        <w:t>Activity 5A</w:t>
      </w:r>
      <w:r w:rsidR="00E24EFA">
        <w:t xml:space="preserve"> - </w:t>
      </w:r>
      <w:r>
        <w:t>Limitations section: facilitation notes</w:t>
      </w:r>
    </w:p>
    <w:p w14:paraId="7FCD9B90" w14:textId="7E3A70AE" w:rsidR="00276C92" w:rsidRDefault="00000000">
      <w:pPr>
        <w:spacing w:before="200" w:after="80"/>
      </w:pPr>
      <w:r>
        <w:rPr>
          <w:b/>
          <w:bCs/>
          <w:color w:val="1C2B4A"/>
        </w:rPr>
        <w:t>Task 1</w:t>
      </w:r>
      <w:r w:rsidR="00E24EFA">
        <w:rPr>
          <w:b/>
          <w:bCs/>
          <w:color w:val="1C2B4A"/>
        </w:rPr>
        <w:t xml:space="preserve"> - </w:t>
      </w:r>
      <w:r>
        <w:rPr>
          <w:b/>
          <w:bCs/>
          <w:color w:val="1C2B4A"/>
        </w:rPr>
        <w:t>Three core limitations: what strong answers look like</w:t>
      </w:r>
    </w:p>
    <w:p w14:paraId="0DD5D73B" w14:textId="77777777" w:rsidR="00276C92" w:rsidRDefault="00000000">
      <w:pPr>
        <w:spacing w:after="120"/>
      </w:pPr>
      <w:r>
        <w:rPr>
          <w:color w:val="111111"/>
        </w:rPr>
        <w:t>A strong set of three limitations for a qualitative DBA study typically spans:</w:t>
      </w:r>
    </w:p>
    <w:p w14:paraId="5FAEA5E8" w14:textId="77777777" w:rsidR="00276C92" w:rsidRDefault="00000000">
      <w:pPr>
        <w:numPr>
          <w:ilvl w:val="0"/>
          <w:numId w:val="1"/>
        </w:numPr>
        <w:pBdr>
          <w:top w:val="nil"/>
          <w:left w:val="nil"/>
          <w:bottom w:val="nil"/>
          <w:right w:val="nil"/>
          <w:between w:val="nil"/>
        </w:pBdr>
        <w:spacing w:after="80"/>
      </w:pPr>
      <w:r>
        <w:rPr>
          <w:color w:val="1A5C2A"/>
        </w:rPr>
        <w:t>One methodological limitation (e.g., interview data is perspectival; single-site case study limits comparative analysis).</w:t>
      </w:r>
    </w:p>
    <w:p w14:paraId="4A1FAD51" w14:textId="77777777" w:rsidR="00276C92" w:rsidRDefault="00000000">
      <w:pPr>
        <w:numPr>
          <w:ilvl w:val="0"/>
          <w:numId w:val="1"/>
        </w:numPr>
        <w:pBdr>
          <w:top w:val="nil"/>
          <w:left w:val="nil"/>
          <w:bottom w:val="nil"/>
          <w:right w:val="nil"/>
          <w:between w:val="nil"/>
        </w:pBdr>
        <w:spacing w:after="80"/>
      </w:pPr>
      <w:r>
        <w:rPr>
          <w:color w:val="1A5C2A"/>
        </w:rPr>
        <w:t>One positionality limitation (e.g., insider researcher position; power differentials with elite participants).</w:t>
      </w:r>
    </w:p>
    <w:p w14:paraId="3C48D5D1" w14:textId="77777777" w:rsidR="00276C92" w:rsidRDefault="00000000">
      <w:pPr>
        <w:numPr>
          <w:ilvl w:val="0"/>
          <w:numId w:val="1"/>
        </w:numPr>
        <w:pBdr>
          <w:top w:val="nil"/>
          <w:left w:val="nil"/>
          <w:bottom w:val="nil"/>
          <w:right w:val="nil"/>
          <w:between w:val="nil"/>
        </w:pBdr>
        <w:spacing w:after="80"/>
      </w:pPr>
      <w:r>
        <w:rPr>
          <w:color w:val="1A5C2A"/>
        </w:rPr>
        <w:t>One scope limitation (e.g., sector-specific context limits transferability; cross-sectional design cannot capture change over time).</w:t>
      </w:r>
    </w:p>
    <w:p w14:paraId="513F8126" w14:textId="77777777" w:rsidR="00276C92" w:rsidRDefault="00276C92">
      <w:pPr>
        <w:spacing w:after="80"/>
      </w:pPr>
    </w:p>
    <w:p w14:paraId="0C4A80ED" w14:textId="7F8D18DD" w:rsidR="00276C92" w:rsidRDefault="00000000">
      <w:pPr>
        <w:spacing w:after="120"/>
        <w:ind w:left="240"/>
      </w:pPr>
      <w:r>
        <w:rPr>
          <w:b/>
          <w:bCs/>
          <w:color w:val="8B0000"/>
          <w:sz w:val="20"/>
          <w:szCs w:val="20"/>
        </w:rPr>
        <w:t xml:space="preserve"> note: </w:t>
      </w:r>
      <w:r>
        <w:rPr>
          <w:color w:val="8B0000"/>
          <w:sz w:val="20"/>
          <w:szCs w:val="20"/>
        </w:rPr>
        <w:t>If students produce three versions of the same limitation (e.g., 'small sample,' 'limited participants,' 'not many interviews'), redirect to the taxonomy: methodology, access/sampling, positionality, temporal/contextual. These are distinct types, not variations on a theme.</w:t>
      </w:r>
    </w:p>
    <w:p w14:paraId="2140A9B7" w14:textId="77777777" w:rsidR="00276C92" w:rsidRDefault="00276C92">
      <w:pPr>
        <w:spacing w:after="80"/>
      </w:pPr>
    </w:p>
    <w:p w14:paraId="48BB8C00" w14:textId="12C72CE2" w:rsidR="00276C92" w:rsidRDefault="00000000">
      <w:pPr>
        <w:spacing w:before="200" w:after="80"/>
      </w:pPr>
      <w:r>
        <w:rPr>
          <w:b/>
          <w:bCs/>
          <w:color w:val="1C2B4A"/>
        </w:rPr>
        <w:t>Task 2</w:t>
      </w:r>
      <w:r w:rsidR="00E24EFA">
        <w:rPr>
          <w:b/>
          <w:bCs/>
          <w:color w:val="1C2B4A"/>
        </w:rPr>
        <w:t xml:space="preserve"> - </w:t>
      </w:r>
      <w:r>
        <w:rPr>
          <w:b/>
          <w:bCs/>
          <w:color w:val="1C2B4A"/>
        </w:rPr>
        <w:t>Limitations section draft: assessment criteria</w:t>
      </w:r>
    </w:p>
    <w:tbl>
      <w:tblPr>
        <w:tblStyle w:val="a5"/>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400"/>
        <w:gridCol w:w="6960"/>
      </w:tblGrid>
      <w:tr w:rsidR="00276C92" w14:paraId="09AAAF73" w14:textId="77777777">
        <w:tc>
          <w:tcPr>
            <w:tcW w:w="2400" w:type="dxa"/>
            <w:tcBorders>
              <w:top w:val="single" w:sz="4" w:space="0" w:color="CCCCCC"/>
              <w:left w:val="single" w:sz="4" w:space="0" w:color="CCCCCC"/>
              <w:bottom w:val="single" w:sz="4" w:space="0" w:color="CCCCCC"/>
              <w:right w:val="single" w:sz="4" w:space="0" w:color="CCCCCC"/>
            </w:tcBorders>
            <w:shd w:val="clear" w:color="auto" w:fill="1C2B4A"/>
            <w:tcMar>
              <w:top w:w="80" w:type="dxa"/>
              <w:left w:w="120" w:type="dxa"/>
              <w:bottom w:w="80" w:type="dxa"/>
              <w:right w:w="120" w:type="dxa"/>
            </w:tcMar>
          </w:tcPr>
          <w:p w14:paraId="5DF6B085" w14:textId="77777777" w:rsidR="00276C92" w:rsidRDefault="00000000">
            <w:r>
              <w:rPr>
                <w:b/>
                <w:bCs/>
                <w:color w:val="FFFFFF"/>
                <w:sz w:val="20"/>
                <w:szCs w:val="20"/>
              </w:rPr>
              <w:t>Criterion</w:t>
            </w:r>
          </w:p>
        </w:tc>
        <w:tc>
          <w:tcPr>
            <w:tcW w:w="6960" w:type="dxa"/>
            <w:tcBorders>
              <w:top w:val="single" w:sz="4" w:space="0" w:color="CCCCCC"/>
              <w:left w:val="single" w:sz="4" w:space="0" w:color="CCCCCC"/>
              <w:bottom w:val="single" w:sz="4" w:space="0" w:color="CCCCCC"/>
              <w:right w:val="single" w:sz="4" w:space="0" w:color="CCCCCC"/>
            </w:tcBorders>
            <w:shd w:val="clear" w:color="auto" w:fill="1C2B4A"/>
            <w:tcMar>
              <w:top w:w="80" w:type="dxa"/>
              <w:left w:w="120" w:type="dxa"/>
              <w:bottom w:w="80" w:type="dxa"/>
              <w:right w:w="120" w:type="dxa"/>
            </w:tcMar>
          </w:tcPr>
          <w:p w14:paraId="5BDEB3F5" w14:textId="77777777" w:rsidR="00276C92" w:rsidRDefault="00000000">
            <w:r>
              <w:rPr>
                <w:b/>
                <w:bCs/>
                <w:color w:val="FFFFFF"/>
                <w:sz w:val="20"/>
                <w:szCs w:val="20"/>
              </w:rPr>
              <w:t>What to look for</w:t>
            </w:r>
          </w:p>
        </w:tc>
      </w:tr>
      <w:tr w:rsidR="00276C92" w14:paraId="2311A2B1" w14:textId="77777777">
        <w:tc>
          <w:tcPr>
            <w:tcW w:w="24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74198266" w14:textId="77777777" w:rsidR="00276C92" w:rsidRDefault="00000000">
            <w:r>
              <w:rPr>
                <w:b/>
                <w:bCs/>
                <w:color w:val="111111"/>
                <w:sz w:val="21"/>
                <w:szCs w:val="21"/>
              </w:rPr>
              <w:lastRenderedPageBreak/>
              <w:t>Opening framing</w:t>
            </w:r>
          </w:p>
        </w:tc>
        <w:tc>
          <w:tcPr>
            <w:tcW w:w="69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11AC8908" w14:textId="77777777" w:rsidR="00276C92" w:rsidRDefault="00000000">
            <w:r>
              <w:rPr>
                <w:color w:val="111111"/>
                <w:sz w:val="21"/>
                <w:szCs w:val="21"/>
              </w:rPr>
              <w:t>Does the student locate limitations within the qualitative tradition rather than apologising for not being quantitative?</w:t>
            </w:r>
          </w:p>
        </w:tc>
      </w:tr>
      <w:tr w:rsidR="00276C92" w14:paraId="2E9BCD12" w14:textId="77777777">
        <w:tc>
          <w:tcPr>
            <w:tcW w:w="24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769B2F46" w14:textId="77777777" w:rsidR="00276C92" w:rsidRDefault="00000000">
            <w:r>
              <w:rPr>
                <w:b/>
                <w:bCs/>
                <w:color w:val="111111"/>
                <w:sz w:val="21"/>
                <w:szCs w:val="21"/>
              </w:rPr>
              <w:t>Scholarly language</w:t>
            </w:r>
          </w:p>
        </w:tc>
        <w:tc>
          <w:tcPr>
            <w:tcW w:w="69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A717B81" w14:textId="0303D1D9" w:rsidR="00276C92" w:rsidRDefault="00000000">
            <w:r>
              <w:rPr>
                <w:color w:val="111111"/>
                <w:sz w:val="21"/>
                <w:szCs w:val="21"/>
              </w:rPr>
              <w:t>Are limitations named correctly (credibility, transferability, dependability, confirmability</w:t>
            </w:r>
            <w:r w:rsidR="00E24EFA">
              <w:rPr>
                <w:color w:val="111111"/>
                <w:sz w:val="21"/>
                <w:szCs w:val="21"/>
              </w:rPr>
              <w:t xml:space="preserve"> - </w:t>
            </w:r>
            <w:r>
              <w:rPr>
                <w:color w:val="111111"/>
                <w:sz w:val="21"/>
                <w:szCs w:val="21"/>
              </w:rPr>
              <w:t>not validity, generalisability)?</w:t>
            </w:r>
          </w:p>
        </w:tc>
      </w:tr>
      <w:tr w:rsidR="00276C92" w14:paraId="539BA31A" w14:textId="77777777">
        <w:tc>
          <w:tcPr>
            <w:tcW w:w="24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A16F0C6" w14:textId="77777777" w:rsidR="00276C92" w:rsidRDefault="00000000">
            <w:r>
              <w:rPr>
                <w:b/>
                <w:bCs/>
                <w:color w:val="111111"/>
                <w:sz w:val="21"/>
                <w:szCs w:val="21"/>
              </w:rPr>
              <w:t>Management strategies</w:t>
            </w:r>
          </w:p>
        </w:tc>
        <w:tc>
          <w:tcPr>
            <w:tcW w:w="69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4D1FAF79" w14:textId="77777777" w:rsidR="00276C92" w:rsidRDefault="00000000">
            <w:r>
              <w:rPr>
                <w:color w:val="111111"/>
                <w:sz w:val="21"/>
                <w:szCs w:val="21"/>
              </w:rPr>
              <w:t>Is each limitation paired with a named strategy, not just acknowledged?</w:t>
            </w:r>
          </w:p>
        </w:tc>
      </w:tr>
      <w:tr w:rsidR="00276C92" w14:paraId="3FB34C89" w14:textId="77777777">
        <w:tc>
          <w:tcPr>
            <w:tcW w:w="24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14CCF6BD" w14:textId="77777777" w:rsidR="00276C92" w:rsidRDefault="00000000">
            <w:r>
              <w:rPr>
                <w:b/>
                <w:bCs/>
                <w:color w:val="111111"/>
                <w:sz w:val="21"/>
                <w:szCs w:val="21"/>
              </w:rPr>
              <w:t>Citations</w:t>
            </w:r>
          </w:p>
        </w:tc>
        <w:tc>
          <w:tcPr>
            <w:tcW w:w="69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16225F6B" w14:textId="77777777" w:rsidR="00276C92" w:rsidRDefault="00000000">
            <w:r>
              <w:rPr>
                <w:color w:val="111111"/>
                <w:sz w:val="21"/>
                <w:szCs w:val="21"/>
              </w:rPr>
              <w:t>Lincoln &amp; Guba (1985) for trustworthiness criteria; Fusch &amp; Ness (2015) or Glaser &amp; Strauss (1967) for saturation; Crotty (1998) for positionality. Minimum two citations in this section.</w:t>
            </w:r>
          </w:p>
        </w:tc>
      </w:tr>
      <w:tr w:rsidR="00276C92" w14:paraId="44FD2406" w14:textId="77777777">
        <w:tc>
          <w:tcPr>
            <w:tcW w:w="24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5C8BF43E" w14:textId="77777777" w:rsidR="00276C92" w:rsidRDefault="00000000">
            <w:r>
              <w:rPr>
                <w:b/>
                <w:bCs/>
                <w:color w:val="111111"/>
                <w:sz w:val="21"/>
                <w:szCs w:val="21"/>
              </w:rPr>
              <w:t>Tone</w:t>
            </w:r>
          </w:p>
        </w:tc>
        <w:tc>
          <w:tcPr>
            <w:tcW w:w="69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0025CB83" w14:textId="4C5379B4" w:rsidR="00276C92" w:rsidRDefault="00000000">
            <w:r>
              <w:rPr>
                <w:color w:val="111111"/>
                <w:sz w:val="21"/>
                <w:szCs w:val="21"/>
              </w:rPr>
              <w:t>Confident and scholarly</w:t>
            </w:r>
            <w:r w:rsidR="00E24EFA">
              <w:rPr>
                <w:color w:val="111111"/>
                <w:sz w:val="21"/>
                <w:szCs w:val="21"/>
              </w:rPr>
              <w:t xml:space="preserve"> - </w:t>
            </w:r>
            <w:r>
              <w:rPr>
                <w:color w:val="111111"/>
                <w:sz w:val="21"/>
                <w:szCs w:val="21"/>
              </w:rPr>
              <w:t>not apologetic, not over-claiming. The section should strengthen, not undermine, the study.</w:t>
            </w:r>
          </w:p>
        </w:tc>
      </w:tr>
      <w:tr w:rsidR="00276C92" w14:paraId="7D758A4A" w14:textId="77777777">
        <w:tc>
          <w:tcPr>
            <w:tcW w:w="24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E5BE64E" w14:textId="77777777" w:rsidR="00276C92" w:rsidRDefault="00000000">
            <w:r>
              <w:rPr>
                <w:b/>
                <w:bCs/>
                <w:color w:val="111111"/>
                <w:sz w:val="21"/>
                <w:szCs w:val="21"/>
              </w:rPr>
              <w:t>Future research</w:t>
            </w:r>
          </w:p>
        </w:tc>
        <w:tc>
          <w:tcPr>
            <w:tcW w:w="69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669F0451" w14:textId="77777777" w:rsidR="00276C92" w:rsidRDefault="00000000">
            <w:r>
              <w:rPr>
                <w:color w:val="111111"/>
                <w:sz w:val="21"/>
                <w:szCs w:val="21"/>
              </w:rPr>
              <w:t>Does the student transform limitations into research opportunities?</w:t>
            </w:r>
          </w:p>
        </w:tc>
      </w:tr>
    </w:tbl>
    <w:p w14:paraId="2147242F" w14:textId="77777777" w:rsidR="00276C92" w:rsidRDefault="00276C92">
      <w:pPr>
        <w:spacing w:after="80"/>
      </w:pPr>
    </w:p>
    <w:p w14:paraId="4143D6BF" w14:textId="394AD3C0" w:rsidR="00276C92" w:rsidRDefault="00000000">
      <w:pPr>
        <w:pStyle w:val="Heading2"/>
      </w:pPr>
      <w:r>
        <w:t>Activity 5B</w:t>
      </w:r>
      <w:r w:rsidR="00E24EFA">
        <w:t xml:space="preserve"> - </w:t>
      </w:r>
      <w:r>
        <w:t>Viva preparation: model answers</w:t>
      </w:r>
    </w:p>
    <w:tbl>
      <w:tblPr>
        <w:tblStyle w:val="a6"/>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200"/>
        <w:gridCol w:w="6160"/>
      </w:tblGrid>
      <w:tr w:rsidR="00276C92" w14:paraId="77E70BB5" w14:textId="77777777">
        <w:tc>
          <w:tcPr>
            <w:tcW w:w="3200" w:type="dxa"/>
            <w:tcBorders>
              <w:top w:val="single" w:sz="4" w:space="0" w:color="CCCCCC"/>
              <w:left w:val="single" w:sz="4" w:space="0" w:color="CCCCCC"/>
              <w:bottom w:val="single" w:sz="4" w:space="0" w:color="CCCCCC"/>
              <w:right w:val="single" w:sz="4" w:space="0" w:color="CCCCCC"/>
            </w:tcBorders>
            <w:shd w:val="clear" w:color="auto" w:fill="1C2B4A"/>
            <w:tcMar>
              <w:top w:w="80" w:type="dxa"/>
              <w:left w:w="120" w:type="dxa"/>
              <w:bottom w:w="80" w:type="dxa"/>
              <w:right w:w="120" w:type="dxa"/>
            </w:tcMar>
          </w:tcPr>
          <w:p w14:paraId="629235A7" w14:textId="77777777" w:rsidR="00276C92" w:rsidRDefault="00000000">
            <w:r>
              <w:rPr>
                <w:b/>
                <w:bCs/>
                <w:color w:val="FFFFFF"/>
                <w:sz w:val="20"/>
                <w:szCs w:val="20"/>
              </w:rPr>
              <w:t>Examiner question</w:t>
            </w:r>
          </w:p>
        </w:tc>
        <w:tc>
          <w:tcPr>
            <w:tcW w:w="6160" w:type="dxa"/>
            <w:tcBorders>
              <w:top w:val="single" w:sz="4" w:space="0" w:color="CCCCCC"/>
              <w:left w:val="single" w:sz="4" w:space="0" w:color="CCCCCC"/>
              <w:bottom w:val="single" w:sz="4" w:space="0" w:color="CCCCCC"/>
              <w:right w:val="single" w:sz="4" w:space="0" w:color="CCCCCC"/>
            </w:tcBorders>
            <w:shd w:val="clear" w:color="auto" w:fill="1C2B4A"/>
            <w:tcMar>
              <w:top w:w="80" w:type="dxa"/>
              <w:left w:w="120" w:type="dxa"/>
              <w:bottom w:w="80" w:type="dxa"/>
              <w:right w:w="120" w:type="dxa"/>
            </w:tcMar>
          </w:tcPr>
          <w:p w14:paraId="1E212076" w14:textId="4B1B5AC8" w:rsidR="00276C92" w:rsidRDefault="00000000">
            <w:r>
              <w:rPr>
                <w:b/>
                <w:bCs/>
                <w:color w:val="FFFFFF"/>
                <w:sz w:val="20"/>
                <w:szCs w:val="20"/>
              </w:rPr>
              <w:t>Model response</w:t>
            </w:r>
            <w:r w:rsidR="00E24EFA">
              <w:rPr>
                <w:b/>
                <w:bCs/>
                <w:color w:val="FFFFFF"/>
                <w:sz w:val="20"/>
                <w:szCs w:val="20"/>
              </w:rPr>
              <w:t xml:space="preserve"> - </w:t>
            </w:r>
            <w:r>
              <w:rPr>
                <w:b/>
                <w:bCs/>
                <w:color w:val="FFFFFF"/>
                <w:sz w:val="20"/>
                <w:szCs w:val="20"/>
              </w:rPr>
              <w:t>key points</w:t>
            </w:r>
          </w:p>
        </w:tc>
      </w:tr>
      <w:tr w:rsidR="00276C92" w14:paraId="5253109C" w14:textId="77777777">
        <w:tc>
          <w:tcPr>
            <w:tcW w:w="3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75B90B79" w14:textId="2397FB64" w:rsidR="00276C92" w:rsidRDefault="00000000">
            <w:r>
              <w:rPr>
                <w:b/>
                <w:bCs/>
                <w:color w:val="111111"/>
                <w:sz w:val="21"/>
                <w:szCs w:val="21"/>
              </w:rPr>
              <w:t>'Your sample is small</w:t>
            </w:r>
            <w:r w:rsidR="00E24EFA">
              <w:rPr>
                <w:b/>
                <w:bCs/>
                <w:color w:val="111111"/>
                <w:sz w:val="21"/>
                <w:szCs w:val="21"/>
              </w:rPr>
              <w:t xml:space="preserve"> - </w:t>
            </w:r>
            <w:r>
              <w:rPr>
                <w:b/>
                <w:bCs/>
                <w:color w:val="111111"/>
                <w:sz w:val="21"/>
                <w:szCs w:val="21"/>
              </w:rPr>
              <w:t>how can you claim your findings are credible?'</w:t>
            </w:r>
          </w:p>
        </w:tc>
        <w:tc>
          <w:tcPr>
            <w:tcW w:w="61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56FA1060" w14:textId="7D6404A8" w:rsidR="00276C92" w:rsidRDefault="00000000">
            <w:r>
              <w:rPr>
                <w:color w:val="111111"/>
                <w:sz w:val="21"/>
                <w:szCs w:val="21"/>
              </w:rPr>
              <w:t>Do NOT use the word 'valid.' Use: credibility, trustworthiness, theoretical saturation, rich data saturation (Fusch &amp; Ness, 2015). Explain purposive logic and depth-over-breadth. Cite Lincoln &amp; Guba (1985). Explain that statistical power is a positivist criterion</w:t>
            </w:r>
            <w:r w:rsidR="00E24EFA">
              <w:rPr>
                <w:color w:val="111111"/>
                <w:sz w:val="21"/>
                <w:szCs w:val="21"/>
              </w:rPr>
              <w:t xml:space="preserve"> - </w:t>
            </w:r>
            <w:r>
              <w:rPr>
                <w:color w:val="111111"/>
                <w:sz w:val="21"/>
                <w:szCs w:val="21"/>
              </w:rPr>
              <w:t>not relevant to this paradigm.</w:t>
            </w:r>
          </w:p>
        </w:tc>
      </w:tr>
      <w:tr w:rsidR="00276C92" w14:paraId="0E10BDB9" w14:textId="77777777">
        <w:tc>
          <w:tcPr>
            <w:tcW w:w="3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57B1136D" w14:textId="77777777" w:rsidR="00276C92" w:rsidRDefault="00000000">
            <w:r>
              <w:rPr>
                <w:b/>
                <w:bCs/>
                <w:color w:val="111111"/>
                <w:sz w:val="21"/>
                <w:szCs w:val="21"/>
              </w:rPr>
              <w:t>'Aren't you too close to this context to be objective?'</w:t>
            </w:r>
          </w:p>
        </w:tc>
        <w:tc>
          <w:tcPr>
            <w:tcW w:w="61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F4325DF" w14:textId="6A0EC1AE" w:rsidR="00276C92" w:rsidRDefault="00000000">
            <w:r>
              <w:rPr>
                <w:color w:val="111111"/>
                <w:sz w:val="21"/>
                <w:szCs w:val="21"/>
              </w:rPr>
              <w:t>Reframe: objectivity is a positivist aspiration. In interpretivist research, the goal is confirmability</w:t>
            </w:r>
            <w:r w:rsidR="00E24EFA">
              <w:rPr>
                <w:color w:val="111111"/>
                <w:sz w:val="21"/>
                <w:szCs w:val="21"/>
              </w:rPr>
              <w:t xml:space="preserve"> - </w:t>
            </w:r>
            <w:r>
              <w:rPr>
                <w:color w:val="111111"/>
                <w:sz w:val="21"/>
                <w:szCs w:val="21"/>
              </w:rPr>
              <w:t>demonstrating that findings are data-driven rather than bias-driven (Lincoln &amp; Guba, 1985). Name specific management strategies: reflexivity journal, peer debriefing, member checking. Cite Crotty (1998).</w:t>
            </w:r>
          </w:p>
        </w:tc>
      </w:tr>
      <w:tr w:rsidR="00276C92" w14:paraId="1F8DFE27" w14:textId="77777777">
        <w:tc>
          <w:tcPr>
            <w:tcW w:w="3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34B104A" w14:textId="77777777" w:rsidR="00276C92" w:rsidRDefault="00000000">
            <w:r>
              <w:rPr>
                <w:b/>
                <w:bCs/>
                <w:color w:val="111111"/>
                <w:sz w:val="21"/>
                <w:szCs w:val="21"/>
              </w:rPr>
              <w:t>'Why didn't you use a more diverse sample?'</w:t>
            </w:r>
          </w:p>
        </w:tc>
        <w:tc>
          <w:tcPr>
            <w:tcW w:w="61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61BCB58E" w14:textId="694B0828" w:rsidR="00276C92" w:rsidRDefault="00000000">
            <w:r>
              <w:rPr>
                <w:color w:val="111111"/>
                <w:sz w:val="21"/>
                <w:szCs w:val="21"/>
              </w:rPr>
              <w:t>Defend purposive logic</w:t>
            </w:r>
            <w:r w:rsidR="00E24EFA">
              <w:rPr>
                <w:color w:val="111111"/>
                <w:sz w:val="21"/>
                <w:szCs w:val="21"/>
              </w:rPr>
              <w:t xml:space="preserve"> - </w:t>
            </w:r>
            <w:r>
              <w:rPr>
                <w:color w:val="111111"/>
                <w:sz w:val="21"/>
                <w:szCs w:val="21"/>
              </w:rPr>
              <w:t>the sample was selected for relevance to the phenomenon, not representativeness. Explain the sampling strategy by name and cite the rationale. Reference theoretical saturation. Note that breadth would compromise the analytic depth that this study prioritises.</w:t>
            </w:r>
          </w:p>
        </w:tc>
      </w:tr>
      <w:tr w:rsidR="00276C92" w14:paraId="4CFABAC1" w14:textId="77777777">
        <w:tc>
          <w:tcPr>
            <w:tcW w:w="3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55BD16C" w14:textId="77777777" w:rsidR="00276C92" w:rsidRDefault="00000000">
            <w:r>
              <w:rPr>
                <w:b/>
                <w:bCs/>
                <w:color w:val="111111"/>
                <w:sz w:val="21"/>
                <w:szCs w:val="21"/>
              </w:rPr>
              <w:t>'How do you know your findings aren't just your own interpretation?'</w:t>
            </w:r>
          </w:p>
        </w:tc>
        <w:tc>
          <w:tcPr>
            <w:tcW w:w="61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4E7DD900" w14:textId="49FC5E55" w:rsidR="00276C92" w:rsidRDefault="00000000">
            <w:r>
              <w:rPr>
                <w:color w:val="111111"/>
                <w:sz w:val="21"/>
                <w:szCs w:val="21"/>
              </w:rPr>
              <w:t>This is a confirmability question. Name the audit trail, reflexivity journal, member checking, and negative case analysis. Acknowledge that multiple interpretations are possible in qualitative research</w:t>
            </w:r>
            <w:r w:rsidR="00E24EFA">
              <w:rPr>
                <w:color w:val="111111"/>
                <w:sz w:val="21"/>
                <w:szCs w:val="21"/>
              </w:rPr>
              <w:t xml:space="preserve"> - </w:t>
            </w:r>
            <w:r>
              <w:rPr>
                <w:color w:val="111111"/>
                <w:sz w:val="21"/>
                <w:szCs w:val="21"/>
              </w:rPr>
              <w:t>this is epistemologically appropriate, not a weakness. Cite Lincoln &amp; Guba (1985).</w:t>
            </w:r>
          </w:p>
        </w:tc>
      </w:tr>
      <w:tr w:rsidR="00276C92" w14:paraId="6B456E09" w14:textId="77777777">
        <w:tc>
          <w:tcPr>
            <w:tcW w:w="3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49DB4B37" w14:textId="77777777" w:rsidR="00276C92" w:rsidRDefault="00000000">
            <w:r>
              <w:rPr>
                <w:b/>
                <w:bCs/>
                <w:color w:val="111111"/>
                <w:sz w:val="21"/>
                <w:szCs w:val="21"/>
              </w:rPr>
              <w:t>'Can your findings apply anywhere beyond your specific context?'</w:t>
            </w:r>
          </w:p>
        </w:tc>
        <w:tc>
          <w:tcPr>
            <w:tcW w:w="61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7CE1534B" w14:textId="4BA8207B" w:rsidR="00276C92" w:rsidRDefault="00000000">
            <w:r>
              <w:rPr>
                <w:color w:val="111111"/>
                <w:sz w:val="21"/>
                <w:szCs w:val="21"/>
              </w:rPr>
              <w:t>Transferability language only</w:t>
            </w:r>
            <w:r w:rsidR="00E24EFA">
              <w:rPr>
                <w:color w:val="111111"/>
                <w:sz w:val="21"/>
                <w:szCs w:val="21"/>
              </w:rPr>
              <w:t xml:space="preserve"> - </w:t>
            </w:r>
            <w:r>
              <w:rPr>
                <w:color w:val="111111"/>
                <w:sz w:val="21"/>
                <w:szCs w:val="21"/>
              </w:rPr>
              <w:t>not generalisation. Explain thick description and reader responsibility. Cite Lincoln &amp; Guba (1985). Distinguish statistical generalisation (not the aim) from analytical generalisation to theory (Yin, 2018).</w:t>
            </w:r>
          </w:p>
        </w:tc>
      </w:tr>
    </w:tbl>
    <w:p w14:paraId="619B50F8" w14:textId="77777777" w:rsidR="00276C92" w:rsidRDefault="00276C92">
      <w:pPr>
        <w:spacing w:after="80"/>
      </w:pPr>
    </w:p>
    <w:p w14:paraId="1E7E241F" w14:textId="62FFE2D9" w:rsidR="00276C92" w:rsidRDefault="00000000">
      <w:pPr>
        <w:spacing w:after="120"/>
        <w:ind w:left="240"/>
      </w:pPr>
      <w:r>
        <w:rPr>
          <w:b/>
          <w:bCs/>
          <w:color w:val="8B0000"/>
          <w:sz w:val="20"/>
          <w:szCs w:val="20"/>
        </w:rPr>
        <w:t xml:space="preserve"> note: </w:t>
      </w:r>
      <w:r>
        <w:rPr>
          <w:color w:val="8B0000"/>
          <w:sz w:val="20"/>
          <w:szCs w:val="20"/>
        </w:rPr>
        <w:t>In viva preparation pairs, listen for students who still use validity/generalisability language even after the session. This is the most reliable indicator of insufficient paradigmatic understanding. The viva examiner will probe this directly.</w:t>
      </w:r>
    </w:p>
    <w:p w14:paraId="683C6D8F" w14:textId="77777777" w:rsidR="00276C92" w:rsidRDefault="00000000">
      <w:r>
        <w:br w:type="page"/>
      </w:r>
    </w:p>
    <w:p w14:paraId="7143FEE8" w14:textId="77777777" w:rsidR="00276C92" w:rsidRDefault="00000000">
      <w:pPr>
        <w:pStyle w:val="Heading1"/>
        <w:pBdr>
          <w:bottom w:val="single" w:sz="4" w:space="4" w:color="C9A84C"/>
        </w:pBdr>
      </w:pPr>
      <w:r>
        <w:lastRenderedPageBreak/>
        <w:t>Common Errors and How to Address Them</w:t>
      </w:r>
    </w:p>
    <w:p w14:paraId="58970311" w14:textId="77777777" w:rsidR="00276C92" w:rsidRDefault="00000000">
      <w:pPr>
        <w:spacing w:after="120"/>
      </w:pPr>
      <w:r>
        <w:rPr>
          <w:color w:val="111111"/>
        </w:rPr>
        <w:t>These are the errors that appear most consistently across cohorts. Use these to guide real-time facilitation.</w:t>
      </w:r>
    </w:p>
    <w:p w14:paraId="345D7586" w14:textId="77777777" w:rsidR="00276C92" w:rsidRDefault="00276C92">
      <w:pPr>
        <w:spacing w:after="80"/>
      </w:pPr>
    </w:p>
    <w:tbl>
      <w:tblPr>
        <w:tblStyle w:val="a7"/>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00"/>
        <w:gridCol w:w="6560"/>
      </w:tblGrid>
      <w:tr w:rsidR="00276C92" w14:paraId="56287867" w14:textId="77777777">
        <w:tc>
          <w:tcPr>
            <w:tcW w:w="2800" w:type="dxa"/>
            <w:tcBorders>
              <w:top w:val="single" w:sz="4" w:space="0" w:color="CCCCCC"/>
              <w:left w:val="single" w:sz="4" w:space="0" w:color="CCCCCC"/>
              <w:bottom w:val="single" w:sz="4" w:space="0" w:color="CCCCCC"/>
              <w:right w:val="single" w:sz="4" w:space="0" w:color="CCCCCC"/>
            </w:tcBorders>
            <w:shd w:val="clear" w:color="auto" w:fill="1C2B4A"/>
            <w:tcMar>
              <w:top w:w="80" w:type="dxa"/>
              <w:left w:w="120" w:type="dxa"/>
              <w:bottom w:w="80" w:type="dxa"/>
              <w:right w:w="120" w:type="dxa"/>
            </w:tcMar>
          </w:tcPr>
          <w:p w14:paraId="00726110" w14:textId="77777777" w:rsidR="00276C92" w:rsidRDefault="00000000">
            <w:r>
              <w:rPr>
                <w:b/>
                <w:bCs/>
                <w:color w:val="FFFFFF"/>
                <w:sz w:val="20"/>
                <w:szCs w:val="20"/>
              </w:rPr>
              <w:t>Error</w:t>
            </w:r>
          </w:p>
        </w:tc>
        <w:tc>
          <w:tcPr>
            <w:tcW w:w="6560" w:type="dxa"/>
            <w:tcBorders>
              <w:top w:val="single" w:sz="4" w:space="0" w:color="CCCCCC"/>
              <w:left w:val="single" w:sz="4" w:space="0" w:color="CCCCCC"/>
              <w:bottom w:val="single" w:sz="4" w:space="0" w:color="CCCCCC"/>
              <w:right w:val="single" w:sz="4" w:space="0" w:color="CCCCCC"/>
            </w:tcBorders>
            <w:shd w:val="clear" w:color="auto" w:fill="1C2B4A"/>
            <w:tcMar>
              <w:top w:w="80" w:type="dxa"/>
              <w:left w:w="120" w:type="dxa"/>
              <w:bottom w:w="80" w:type="dxa"/>
              <w:right w:w="120" w:type="dxa"/>
            </w:tcMar>
          </w:tcPr>
          <w:p w14:paraId="3F024BF3" w14:textId="77777777" w:rsidR="00276C92" w:rsidRDefault="00000000">
            <w:r>
              <w:rPr>
                <w:b/>
                <w:bCs/>
                <w:color w:val="FFFFFF"/>
                <w:sz w:val="20"/>
                <w:szCs w:val="20"/>
              </w:rPr>
              <w:t>How to address it in session</w:t>
            </w:r>
          </w:p>
        </w:tc>
      </w:tr>
      <w:tr w:rsidR="00276C92" w14:paraId="3595B777" w14:textId="77777777">
        <w:tc>
          <w:tcPr>
            <w:tcW w:w="2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699FE587" w14:textId="77777777" w:rsidR="00276C92" w:rsidRDefault="00000000">
            <w:r>
              <w:rPr>
                <w:b/>
                <w:bCs/>
                <w:color w:val="111111"/>
                <w:sz w:val="21"/>
                <w:szCs w:val="21"/>
              </w:rPr>
              <w:t>Using 'generalisability' for qualitative research</w:t>
            </w:r>
          </w:p>
        </w:tc>
        <w:tc>
          <w:tcPr>
            <w:tcW w:w="6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6354B47" w14:textId="7EEC4413" w:rsidR="00276C92" w:rsidRDefault="00000000">
            <w:r>
              <w:rPr>
                <w:color w:val="111111"/>
                <w:sz w:val="21"/>
                <w:szCs w:val="21"/>
              </w:rPr>
              <w:t>Stop and redirect immediately. Ask: 'What paradigm are you using? What quality criteria does that paradigm use?' This must become automatic</w:t>
            </w:r>
            <w:r w:rsidR="00E24EFA">
              <w:rPr>
                <w:color w:val="111111"/>
                <w:sz w:val="21"/>
                <w:szCs w:val="21"/>
              </w:rPr>
              <w:t xml:space="preserve"> - </w:t>
            </w:r>
            <w:r>
              <w:rPr>
                <w:color w:val="111111"/>
                <w:sz w:val="21"/>
                <w:szCs w:val="21"/>
              </w:rPr>
              <w:t>wrong terminology in the viva signals fundamental misunderstanding (Bryman, 2021).</w:t>
            </w:r>
          </w:p>
        </w:tc>
      </w:tr>
      <w:tr w:rsidR="00276C92" w14:paraId="0B6CDCC7" w14:textId="77777777">
        <w:tc>
          <w:tcPr>
            <w:tcW w:w="2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4BAC0D72" w14:textId="77777777" w:rsidR="00276C92" w:rsidRDefault="00000000">
            <w:r>
              <w:rPr>
                <w:b/>
                <w:bCs/>
                <w:color w:val="111111"/>
                <w:sz w:val="21"/>
                <w:szCs w:val="21"/>
              </w:rPr>
              <w:t>'I will try to be objective' as a reflexivity strategy</w:t>
            </w:r>
          </w:p>
        </w:tc>
        <w:tc>
          <w:tcPr>
            <w:tcW w:w="6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28CB79E" w14:textId="1BF1D43B" w:rsidR="00276C92" w:rsidRDefault="00000000">
            <w:r>
              <w:rPr>
                <w:color w:val="111111"/>
                <w:sz w:val="21"/>
                <w:szCs w:val="21"/>
              </w:rPr>
              <w:t>Ask: 'What does objectivity mean in your paradigm?' For interpretivist students, objectivity is not possible or desirable</w:t>
            </w:r>
            <w:r w:rsidR="00E24EFA">
              <w:rPr>
                <w:color w:val="111111"/>
                <w:sz w:val="21"/>
                <w:szCs w:val="21"/>
              </w:rPr>
              <w:t xml:space="preserve"> - </w:t>
            </w:r>
            <w:r>
              <w:rPr>
                <w:color w:val="111111"/>
                <w:sz w:val="21"/>
                <w:szCs w:val="21"/>
              </w:rPr>
              <w:t>the goal is transparency and confirmability. Challenge students to name a specific management strategy instead.</w:t>
            </w:r>
          </w:p>
        </w:tc>
      </w:tr>
      <w:tr w:rsidR="00276C92" w14:paraId="7C484968" w14:textId="77777777">
        <w:tc>
          <w:tcPr>
            <w:tcW w:w="2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6A5E707E" w14:textId="77777777" w:rsidR="00276C92" w:rsidRDefault="00000000">
            <w:r>
              <w:rPr>
                <w:b/>
                <w:bCs/>
                <w:color w:val="111111"/>
                <w:sz w:val="21"/>
                <w:szCs w:val="21"/>
              </w:rPr>
              <w:t>Treating sample size as a limitation to apologise for</w:t>
            </w:r>
          </w:p>
        </w:tc>
        <w:tc>
          <w:tcPr>
            <w:tcW w:w="6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440E8670" w14:textId="4C3E22AB" w:rsidR="00276C92" w:rsidRDefault="00000000">
            <w:r>
              <w:rPr>
                <w:color w:val="111111"/>
                <w:sz w:val="21"/>
                <w:szCs w:val="21"/>
              </w:rPr>
              <w:t>Redirect to saturation logic. The limitation is not the number</w:t>
            </w:r>
            <w:r w:rsidR="00E24EFA">
              <w:rPr>
                <w:color w:val="111111"/>
                <w:sz w:val="21"/>
                <w:szCs w:val="21"/>
              </w:rPr>
              <w:t xml:space="preserve"> - </w:t>
            </w:r>
            <w:r>
              <w:rPr>
                <w:color w:val="111111"/>
                <w:sz w:val="21"/>
                <w:szCs w:val="21"/>
              </w:rPr>
              <w:t>it is the boundary on transferability. The student should state this in transferability terms, not as a concession.</w:t>
            </w:r>
          </w:p>
        </w:tc>
      </w:tr>
      <w:tr w:rsidR="00276C92" w14:paraId="3C7662EC" w14:textId="77777777">
        <w:tc>
          <w:tcPr>
            <w:tcW w:w="2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7C3508FF" w14:textId="77777777" w:rsidR="00276C92" w:rsidRDefault="00000000">
            <w:r>
              <w:rPr>
                <w:b/>
                <w:bCs/>
                <w:color w:val="111111"/>
                <w:sz w:val="21"/>
                <w:szCs w:val="21"/>
              </w:rPr>
              <w:t>Listing limitations without management strategies</w:t>
            </w:r>
          </w:p>
        </w:tc>
        <w:tc>
          <w:tcPr>
            <w:tcW w:w="6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19A72656" w14:textId="68E1FE64" w:rsidR="00276C92" w:rsidRDefault="00000000">
            <w:r>
              <w:rPr>
                <w:color w:val="111111"/>
                <w:sz w:val="21"/>
                <w:szCs w:val="21"/>
              </w:rPr>
              <w:t>Use the formula: acknowledge</w:t>
            </w:r>
            <w:r w:rsidR="00E24EFA">
              <w:rPr>
                <w:color w:val="111111"/>
                <w:sz w:val="21"/>
                <w:szCs w:val="21"/>
              </w:rPr>
              <w:t xml:space="preserve"> - </w:t>
            </w:r>
            <w:r>
              <w:rPr>
                <w:color w:val="111111"/>
                <w:sz w:val="21"/>
                <w:szCs w:val="21"/>
              </w:rPr>
              <w:t>manage</w:t>
            </w:r>
            <w:r w:rsidR="00E24EFA">
              <w:rPr>
                <w:color w:val="111111"/>
                <w:sz w:val="21"/>
                <w:szCs w:val="21"/>
              </w:rPr>
              <w:t xml:space="preserve"> - </w:t>
            </w:r>
            <w:r>
              <w:rPr>
                <w:color w:val="111111"/>
                <w:sz w:val="21"/>
                <w:szCs w:val="21"/>
              </w:rPr>
              <w:t>cite. Every limitation needs all three. A limitation without a management strategy is an unresolved methodological problem, not a scholarly acknowledgement.</w:t>
            </w:r>
          </w:p>
        </w:tc>
      </w:tr>
      <w:tr w:rsidR="00276C92" w14:paraId="57AD6E54" w14:textId="77777777">
        <w:tc>
          <w:tcPr>
            <w:tcW w:w="2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4BDBB9F" w14:textId="77777777" w:rsidR="00276C92" w:rsidRDefault="00000000">
            <w:r>
              <w:rPr>
                <w:b/>
                <w:bCs/>
                <w:color w:val="111111"/>
                <w:sz w:val="21"/>
                <w:szCs w:val="21"/>
              </w:rPr>
              <w:t>Citing Saunders et al. in the methodology chapter</w:t>
            </w:r>
          </w:p>
        </w:tc>
        <w:tc>
          <w:tcPr>
            <w:tcW w:w="6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1DD38BF8" w14:textId="4A718937" w:rsidR="00276C92" w:rsidRDefault="00000000">
            <w:r>
              <w:rPr>
                <w:color w:val="111111"/>
                <w:sz w:val="21"/>
                <w:szCs w:val="21"/>
              </w:rPr>
              <w:t>Explain clearly: Saunders is an undergraduate methods textbook. Examiners at doctoral level expect engagement with epistemological scholarship</w:t>
            </w:r>
            <w:r w:rsidR="00E24EFA">
              <w:rPr>
                <w:color w:val="111111"/>
                <w:sz w:val="21"/>
                <w:szCs w:val="21"/>
              </w:rPr>
              <w:t xml:space="preserve"> - </w:t>
            </w:r>
            <w:r>
              <w:rPr>
                <w:color w:val="111111"/>
                <w:sz w:val="21"/>
                <w:szCs w:val="21"/>
              </w:rPr>
              <w:t>Lincoln &amp; Guba (1985), Crotty (1998), Creswell (2014). Citing Saunders signals that the student has not engaged with doctoral-level methodology literature.</w:t>
            </w:r>
          </w:p>
        </w:tc>
      </w:tr>
      <w:tr w:rsidR="00276C92" w14:paraId="2EDE5A82" w14:textId="77777777">
        <w:tc>
          <w:tcPr>
            <w:tcW w:w="2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36E6010" w14:textId="77777777" w:rsidR="00276C92" w:rsidRDefault="00000000">
            <w:r>
              <w:rPr>
                <w:b/>
                <w:bCs/>
                <w:color w:val="111111"/>
                <w:sz w:val="21"/>
                <w:szCs w:val="21"/>
              </w:rPr>
              <w:t>Positionality statement as self-description rather than methodological analysis</w:t>
            </w:r>
          </w:p>
        </w:tc>
        <w:tc>
          <w:tcPr>
            <w:tcW w:w="6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C680D98" w14:textId="0F3019F9" w:rsidR="00276C92" w:rsidRDefault="00000000">
            <w:r>
              <w:rPr>
                <w:color w:val="111111"/>
                <w:sz w:val="21"/>
                <w:szCs w:val="21"/>
              </w:rPr>
              <w:t>A positionality statement is not a biography. It should explain how the researcher's position shapes what can be known and claimed</w:t>
            </w:r>
            <w:r w:rsidR="00E24EFA">
              <w:rPr>
                <w:color w:val="111111"/>
                <w:sz w:val="21"/>
                <w:szCs w:val="21"/>
              </w:rPr>
              <w:t xml:space="preserve"> - </w:t>
            </w:r>
            <w:r>
              <w:rPr>
                <w:color w:val="111111"/>
                <w:sz w:val="21"/>
                <w:szCs w:val="21"/>
              </w:rPr>
              <w:t>and how this was managed. Push for Crotty (1998) as the theoretical anchor.</w:t>
            </w:r>
          </w:p>
        </w:tc>
      </w:tr>
    </w:tbl>
    <w:p w14:paraId="23430259" w14:textId="77777777" w:rsidR="00276C92" w:rsidRDefault="00000000">
      <w:r>
        <w:br w:type="page"/>
      </w:r>
    </w:p>
    <w:p w14:paraId="5CBDD0FE" w14:textId="00DAF0EC" w:rsidR="00276C92" w:rsidRDefault="00000000">
      <w:pPr>
        <w:pStyle w:val="Heading1"/>
        <w:pBdr>
          <w:bottom w:val="single" w:sz="4" w:space="4" w:color="C9A84C"/>
        </w:pBdr>
      </w:pPr>
      <w:r>
        <w:lastRenderedPageBreak/>
        <w:t>Self-Assessment</w:t>
      </w:r>
      <w:r w:rsidR="00E24EFA">
        <w:t xml:space="preserve"> - </w:t>
      </w:r>
      <w:r>
        <w:t>Facilitation Notes</w:t>
      </w:r>
    </w:p>
    <w:p w14:paraId="7907971B" w14:textId="7C5B6F78" w:rsidR="00276C92" w:rsidRDefault="00000000">
      <w:pPr>
        <w:spacing w:after="120"/>
      </w:pPr>
      <w:r>
        <w:rPr>
          <w:color w:val="111111"/>
        </w:rPr>
        <w:t>The self-assessment at the end of the workbook is designed to surface gaps before students leave the session. If large numbers of students rate themselves 1 or 2 on a particular outcome, this signals a collective gap requiring follow-up</w:t>
      </w:r>
      <w:r w:rsidR="00E24EFA">
        <w:rPr>
          <w:color w:val="111111"/>
        </w:rPr>
        <w:t xml:space="preserve"> - </w:t>
      </w:r>
      <w:r>
        <w:rPr>
          <w:color w:val="111111"/>
        </w:rPr>
        <w:t>either in the next session or through directed reading.</w:t>
      </w:r>
    </w:p>
    <w:p w14:paraId="333CEA29" w14:textId="77777777" w:rsidR="00276C92" w:rsidRDefault="00276C92">
      <w:pPr>
        <w:spacing w:after="80"/>
      </w:pPr>
    </w:p>
    <w:tbl>
      <w:tblPr>
        <w:tblStyle w:val="a8"/>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200"/>
        <w:gridCol w:w="6160"/>
      </w:tblGrid>
      <w:tr w:rsidR="00276C92" w14:paraId="6F1CA910" w14:textId="77777777">
        <w:tc>
          <w:tcPr>
            <w:tcW w:w="3200" w:type="dxa"/>
            <w:tcBorders>
              <w:top w:val="single" w:sz="4" w:space="0" w:color="CCCCCC"/>
              <w:left w:val="single" w:sz="4" w:space="0" w:color="CCCCCC"/>
              <w:bottom w:val="single" w:sz="4" w:space="0" w:color="CCCCCC"/>
              <w:right w:val="single" w:sz="4" w:space="0" w:color="CCCCCC"/>
            </w:tcBorders>
            <w:shd w:val="clear" w:color="auto" w:fill="1C2B4A"/>
            <w:tcMar>
              <w:top w:w="80" w:type="dxa"/>
              <w:left w:w="120" w:type="dxa"/>
              <w:bottom w:w="80" w:type="dxa"/>
              <w:right w:w="120" w:type="dxa"/>
            </w:tcMar>
          </w:tcPr>
          <w:p w14:paraId="42EFEA68" w14:textId="77777777" w:rsidR="00276C92" w:rsidRDefault="00000000">
            <w:r>
              <w:rPr>
                <w:b/>
                <w:bCs/>
                <w:color w:val="FFFFFF"/>
                <w:sz w:val="20"/>
                <w:szCs w:val="20"/>
              </w:rPr>
              <w:t>Learning outcome</w:t>
            </w:r>
          </w:p>
        </w:tc>
        <w:tc>
          <w:tcPr>
            <w:tcW w:w="6160" w:type="dxa"/>
            <w:tcBorders>
              <w:top w:val="single" w:sz="4" w:space="0" w:color="CCCCCC"/>
              <w:left w:val="single" w:sz="4" w:space="0" w:color="CCCCCC"/>
              <w:bottom w:val="single" w:sz="4" w:space="0" w:color="CCCCCC"/>
              <w:right w:val="single" w:sz="4" w:space="0" w:color="CCCCCC"/>
            </w:tcBorders>
            <w:shd w:val="clear" w:color="auto" w:fill="1C2B4A"/>
            <w:tcMar>
              <w:top w:w="80" w:type="dxa"/>
              <w:left w:w="120" w:type="dxa"/>
              <w:bottom w:w="80" w:type="dxa"/>
              <w:right w:w="120" w:type="dxa"/>
            </w:tcMar>
          </w:tcPr>
          <w:p w14:paraId="09006483" w14:textId="03ED3F8D" w:rsidR="00276C92" w:rsidRDefault="00000000">
            <w:r>
              <w:rPr>
                <w:b/>
                <w:bCs/>
                <w:color w:val="FFFFFF"/>
                <w:sz w:val="20"/>
                <w:szCs w:val="20"/>
              </w:rPr>
              <w:t>If students rate themselves low</w:t>
            </w:r>
            <w:r w:rsidR="00E24EFA">
              <w:rPr>
                <w:b/>
                <w:bCs/>
                <w:color w:val="FFFFFF"/>
                <w:sz w:val="20"/>
                <w:szCs w:val="20"/>
              </w:rPr>
              <w:t xml:space="preserve"> - </w:t>
            </w:r>
            <w:r>
              <w:rPr>
                <w:b/>
                <w:bCs/>
                <w:color w:val="FFFFFF"/>
                <w:sz w:val="20"/>
                <w:szCs w:val="20"/>
              </w:rPr>
              <w:t>address as follows</w:t>
            </w:r>
          </w:p>
        </w:tc>
      </w:tr>
      <w:tr w:rsidR="00276C92" w14:paraId="0ADA90AD" w14:textId="77777777">
        <w:tc>
          <w:tcPr>
            <w:tcW w:w="3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98EC2D9" w14:textId="77777777" w:rsidR="00276C92" w:rsidRDefault="00000000">
            <w:r>
              <w:rPr>
                <w:b/>
                <w:bCs/>
                <w:color w:val="111111"/>
                <w:sz w:val="21"/>
                <w:szCs w:val="21"/>
              </w:rPr>
              <w:t>Distinguishing scope from limitations</w:t>
            </w:r>
          </w:p>
        </w:tc>
        <w:tc>
          <w:tcPr>
            <w:tcW w:w="61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4D5D85F" w14:textId="77777777" w:rsidR="00276C92" w:rsidRDefault="00000000">
            <w:r>
              <w:rPr>
                <w:color w:val="111111"/>
                <w:sz w:val="21"/>
                <w:szCs w:val="21"/>
              </w:rPr>
              <w:t>Return to the Whetten (1989) point: scope = deliberate boundary; limitation = constraint on claims. Use one student's own example to illustrate the distinction publicly.</w:t>
            </w:r>
          </w:p>
        </w:tc>
      </w:tr>
      <w:tr w:rsidR="00276C92" w14:paraId="3E1409A5" w14:textId="77777777">
        <w:tc>
          <w:tcPr>
            <w:tcW w:w="3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7DED005B" w14:textId="77777777" w:rsidR="00276C92" w:rsidRDefault="00000000">
            <w:r>
              <w:rPr>
                <w:b/>
                <w:bCs/>
                <w:color w:val="111111"/>
                <w:sz w:val="21"/>
                <w:szCs w:val="21"/>
              </w:rPr>
              <w:t>Applying trustworthiness criteria</w:t>
            </w:r>
          </w:p>
        </w:tc>
        <w:tc>
          <w:tcPr>
            <w:tcW w:w="61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08339627" w14:textId="77777777" w:rsidR="00276C92" w:rsidRDefault="00000000">
            <w:r>
              <w:rPr>
                <w:color w:val="111111"/>
                <w:sz w:val="21"/>
                <w:szCs w:val="21"/>
              </w:rPr>
              <w:t>Assign Lincoln &amp; Guba (1985) Chapter 11 as directed reading before next session. Students cannot write about trustworthiness without having read the source.</w:t>
            </w:r>
          </w:p>
        </w:tc>
      </w:tr>
      <w:tr w:rsidR="00276C92" w14:paraId="631953D2" w14:textId="77777777">
        <w:tc>
          <w:tcPr>
            <w:tcW w:w="3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1C2D09E" w14:textId="77777777" w:rsidR="00276C92" w:rsidRDefault="00000000">
            <w:r>
              <w:rPr>
                <w:b/>
                <w:bCs/>
                <w:color w:val="111111"/>
                <w:sz w:val="21"/>
                <w:szCs w:val="21"/>
              </w:rPr>
              <w:t>Drafting a positionality statement</w:t>
            </w:r>
          </w:p>
        </w:tc>
        <w:tc>
          <w:tcPr>
            <w:tcW w:w="61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49C9F06D" w14:textId="391AC68E" w:rsidR="00276C92" w:rsidRDefault="00000000">
            <w:r>
              <w:rPr>
                <w:color w:val="111111"/>
                <w:sz w:val="21"/>
                <w:szCs w:val="21"/>
              </w:rPr>
              <w:t>Set this as a written task for supervision</w:t>
            </w:r>
            <w:r w:rsidR="00E24EFA">
              <w:rPr>
                <w:color w:val="111111"/>
                <w:sz w:val="21"/>
                <w:szCs w:val="21"/>
              </w:rPr>
              <w:t xml:space="preserve"> - </w:t>
            </w:r>
            <w:r>
              <w:rPr>
                <w:color w:val="111111"/>
                <w:sz w:val="21"/>
                <w:szCs w:val="21"/>
              </w:rPr>
              <w:t>200 words to be discussed at the next supervision session. Crotty (1998) pp. 1-17 as supporting reading.</w:t>
            </w:r>
          </w:p>
        </w:tc>
      </w:tr>
      <w:tr w:rsidR="00276C92" w14:paraId="0257095D" w14:textId="77777777">
        <w:tc>
          <w:tcPr>
            <w:tcW w:w="3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5DB19167" w14:textId="77777777" w:rsidR="00276C92" w:rsidRDefault="00000000">
            <w:r>
              <w:rPr>
                <w:b/>
                <w:bCs/>
                <w:color w:val="111111"/>
                <w:sz w:val="21"/>
                <w:szCs w:val="21"/>
              </w:rPr>
              <w:t>Justifying sampling with citations</w:t>
            </w:r>
          </w:p>
        </w:tc>
        <w:tc>
          <w:tcPr>
            <w:tcW w:w="61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00240EC3" w14:textId="77777777" w:rsidR="00276C92" w:rsidRDefault="00000000">
            <w:r>
              <w:rPr>
                <w:color w:val="111111"/>
                <w:sz w:val="21"/>
                <w:szCs w:val="21"/>
              </w:rPr>
              <w:t>Fusch &amp; Ness (2015) is freely available online. Assign as essential reading. Students should be able to explain rich data saturation in their own words before submission.</w:t>
            </w:r>
          </w:p>
        </w:tc>
      </w:tr>
      <w:tr w:rsidR="00276C92" w14:paraId="489F7666" w14:textId="77777777">
        <w:tc>
          <w:tcPr>
            <w:tcW w:w="3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600EE2F1" w14:textId="77777777" w:rsidR="00276C92" w:rsidRDefault="00000000">
            <w:r>
              <w:rPr>
                <w:b/>
                <w:bCs/>
                <w:color w:val="111111"/>
                <w:sz w:val="21"/>
                <w:szCs w:val="21"/>
              </w:rPr>
              <w:t>Writing with scholarly confidence</w:t>
            </w:r>
          </w:p>
        </w:tc>
        <w:tc>
          <w:tcPr>
            <w:tcW w:w="61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6251B92" w14:textId="77777777" w:rsidR="00276C92" w:rsidRDefault="00000000">
            <w:r>
              <w:rPr>
                <w:color w:val="111111"/>
                <w:sz w:val="21"/>
                <w:szCs w:val="21"/>
              </w:rPr>
              <w:t>The language reframing table is the most useful tool here. Students should use it to audit one paragraph of their own methodology chapter before the next session.</w:t>
            </w:r>
          </w:p>
        </w:tc>
      </w:tr>
      <w:tr w:rsidR="00276C92" w14:paraId="3BF44047" w14:textId="77777777">
        <w:tc>
          <w:tcPr>
            <w:tcW w:w="3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88DF009" w14:textId="77777777" w:rsidR="00276C92" w:rsidRDefault="00000000">
            <w:r>
              <w:rPr>
                <w:b/>
                <w:bCs/>
                <w:color w:val="111111"/>
                <w:sz w:val="21"/>
                <w:szCs w:val="21"/>
              </w:rPr>
              <w:t>Responding to examiner questions</w:t>
            </w:r>
          </w:p>
        </w:tc>
        <w:tc>
          <w:tcPr>
            <w:tcW w:w="61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683E5FF6" w14:textId="77777777" w:rsidR="00276C92" w:rsidRDefault="00000000">
            <w:r>
              <w:rPr>
                <w:color w:val="111111"/>
                <w:sz w:val="21"/>
                <w:szCs w:val="21"/>
              </w:rPr>
              <w:t>Continue viva practice in supervision sessions. Students who cannot articulate their methodology verbally are not ready for the viva regardless of what they have written.</w:t>
            </w:r>
          </w:p>
        </w:tc>
      </w:tr>
    </w:tbl>
    <w:p w14:paraId="2452AA74" w14:textId="77777777" w:rsidR="00276C92" w:rsidRDefault="00276C92">
      <w:pPr>
        <w:widowControl w:val="0"/>
        <w:pBdr>
          <w:top w:val="nil"/>
          <w:left w:val="nil"/>
          <w:bottom w:val="nil"/>
          <w:right w:val="nil"/>
          <w:between w:val="nil"/>
        </w:pBdr>
        <w:spacing w:line="276" w:lineRule="auto"/>
      </w:pPr>
    </w:p>
    <w:sectPr w:rsidR="00276C92">
      <w:headerReference w:type="default" r:id="rId7"/>
      <w:footerReference w:type="default" r:id="rId8"/>
      <w:pgSz w:w="11906" w:h="16838"/>
      <w:pgMar w:top="1134" w:right="1134" w:bottom="1134" w:left="1134"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F147F4" w14:textId="77777777" w:rsidR="0028758A" w:rsidRDefault="0028758A">
      <w:r>
        <w:separator/>
      </w:r>
    </w:p>
  </w:endnote>
  <w:endnote w:type="continuationSeparator" w:id="0">
    <w:p w14:paraId="466DCD0D" w14:textId="77777777" w:rsidR="0028758A" w:rsidRDefault="002875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embedRegular r:id="rId1" w:fontKey="{74B2A080-AC44-48EB-BEE4-798E8926745A}"/>
    <w:embedBold r:id="rId2" w:fontKey="{A508D462-829A-4D53-9183-C78D96E9F7DC}"/>
    <w:embedItalic r:id="rId3" w:fontKey="{FFC11F72-B30A-48F9-817B-D7D2C25C72B6}"/>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4" w:fontKey="{A1ACEA65-8891-418C-AC51-3D33A4FA825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5" w:fontKey="{CA54CF49-F7AE-4B04-A025-4A581B84EC7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3C48D4" w14:textId="77777777" w:rsidR="00276C92" w:rsidRDefault="00000000">
    <w:pPr>
      <w:pBdr>
        <w:top w:val="single" w:sz="4" w:space="2" w:color="C9A84C"/>
      </w:pBdr>
      <w:spacing w:before="80"/>
      <w:jc w:val="center"/>
    </w:pPr>
    <w:r>
      <w:rPr>
        <w:color w:val="666666"/>
        <w:sz w:val="18"/>
        <w:szCs w:val="18"/>
      </w:rPr>
      <w:t xml:space="preserve">Dr Caroline </w:t>
    </w:r>
    <w:proofErr w:type="gramStart"/>
    <w:r>
      <w:rPr>
        <w:color w:val="666666"/>
        <w:sz w:val="18"/>
        <w:szCs w:val="18"/>
      </w:rPr>
      <w:t>Jawad  ·</w:t>
    </w:r>
    <w:proofErr w:type="gramEnd"/>
    <w:r>
      <w:rPr>
        <w:color w:val="666666"/>
        <w:sz w:val="18"/>
        <w:szCs w:val="18"/>
      </w:rPr>
      <w:t xml:space="preserve">  </w:t>
    </w:r>
    <w:proofErr w:type="gramStart"/>
    <w:r>
      <w:rPr>
        <w:color w:val="666666"/>
        <w:sz w:val="18"/>
        <w:szCs w:val="18"/>
      </w:rPr>
      <w:t>UWTSD  ·</w:t>
    </w:r>
    <w:proofErr w:type="gramEnd"/>
    <w:r>
      <w:rPr>
        <w:color w:val="666666"/>
        <w:sz w:val="18"/>
        <w:szCs w:val="18"/>
      </w:rPr>
      <w:t xml:space="preserve">  Page </w:t>
    </w:r>
    <w:r>
      <w:fldChar w:fldCharType="begin"/>
    </w:r>
    <w:r>
      <w:instrText>PAGE</w:instrText>
    </w:r>
    <w:r>
      <w:fldChar w:fldCharType="separate"/>
    </w:r>
    <w:r w:rsidR="00E24EF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2F8CBD" w14:textId="77777777" w:rsidR="0028758A" w:rsidRDefault="0028758A">
      <w:r>
        <w:separator/>
      </w:r>
    </w:p>
  </w:footnote>
  <w:footnote w:type="continuationSeparator" w:id="0">
    <w:p w14:paraId="4D67448D" w14:textId="77777777" w:rsidR="0028758A" w:rsidRDefault="0028758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6AD6B5" w14:textId="784C1739" w:rsidR="00276C92" w:rsidRDefault="00000000">
    <w:pPr>
      <w:pBdr>
        <w:bottom w:val="single" w:sz="4" w:space="2" w:color="C9A84C"/>
      </w:pBdr>
      <w:spacing w:after="80"/>
    </w:pPr>
    <w:r>
      <w:rPr>
        <w:b/>
        <w:bCs/>
        <w:color w:val="8B0000"/>
        <w:sz w:val="18"/>
        <w:szCs w:val="18"/>
      </w:rPr>
      <w:t>LCDB</w:t>
    </w:r>
    <w:proofErr w:type="gramStart"/>
    <w:r>
      <w:rPr>
        <w:b/>
        <w:bCs/>
        <w:color w:val="8B0000"/>
        <w:sz w:val="18"/>
        <w:szCs w:val="18"/>
      </w:rPr>
      <w:t>7007  ·</w:t>
    </w:r>
    <w:proofErr w:type="gramEnd"/>
    <w:r>
      <w:rPr>
        <w:b/>
        <w:bCs/>
        <w:color w:val="8B0000"/>
        <w:sz w:val="18"/>
        <w:szCs w:val="18"/>
      </w:rPr>
      <w:t xml:space="preserve">  Research </w:t>
    </w:r>
    <w:proofErr w:type="gramStart"/>
    <w:r>
      <w:rPr>
        <w:b/>
        <w:bCs/>
        <w:color w:val="8B0000"/>
        <w:sz w:val="18"/>
        <w:szCs w:val="18"/>
      </w:rPr>
      <w:t>Limitations  ·</w:t>
    </w:r>
    <w:proofErr w:type="gramEnd"/>
    <w:r>
      <w:rPr>
        <w:b/>
        <w:bCs/>
        <w:color w:val="8B0000"/>
        <w:sz w:val="18"/>
        <w:szCs w:val="18"/>
      </w:rPr>
      <w:t xml:space="preserve">   Answer </w:t>
    </w:r>
    <w:proofErr w:type="gramStart"/>
    <w:r>
      <w:rPr>
        <w:b/>
        <w:bCs/>
        <w:color w:val="8B0000"/>
        <w:sz w:val="18"/>
        <w:szCs w:val="18"/>
      </w:rPr>
      <w:t>Book  ·</w:t>
    </w:r>
    <w:proofErr w:type="gramEnd"/>
    <w:r>
      <w:rPr>
        <w:b/>
        <w:bCs/>
        <w:color w:val="8B0000"/>
        <w:sz w:val="18"/>
        <w:szCs w:val="18"/>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01442B"/>
    <w:multiLevelType w:val="multilevel"/>
    <w:tmpl w:val="C248C042"/>
    <w:lvl w:ilvl="0">
      <w:start w:val="1"/>
      <w:numFmt w:val="bullet"/>
      <w:lvlText w:val="•"/>
      <w:lvlJc w:val="left"/>
      <w:pPr>
        <w:ind w:left="480" w:hanging="24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num w:numId="1" w16cid:durableId="10948640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6C92"/>
    <w:rsid w:val="00276C92"/>
    <w:rsid w:val="0028758A"/>
    <w:rsid w:val="00A16FC9"/>
    <w:rsid w:val="00E24EF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57BBD"/>
  <w15:docId w15:val="{578A2F06-1E18-4C85-9EE0-1C5D90EB5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480" w:after="160"/>
      <w:outlineLvl w:val="0"/>
    </w:pPr>
    <w:rPr>
      <w:b/>
      <w:bCs/>
      <w:color w:val="1C2B4A"/>
      <w:sz w:val="36"/>
      <w:szCs w:val="36"/>
    </w:rPr>
  </w:style>
  <w:style w:type="paragraph" w:styleId="Heading2">
    <w:name w:val="heading 2"/>
    <w:basedOn w:val="Normal"/>
    <w:next w:val="Normal"/>
    <w:uiPriority w:val="9"/>
    <w:unhideWhenUsed/>
    <w:qFormat/>
    <w:pPr>
      <w:pBdr>
        <w:top w:val="nil"/>
        <w:left w:val="nil"/>
        <w:bottom w:val="nil"/>
        <w:right w:val="nil"/>
        <w:between w:val="nil"/>
      </w:pBdr>
      <w:spacing w:before="320" w:after="100"/>
      <w:outlineLvl w:val="1"/>
    </w:pPr>
    <w:rPr>
      <w:b/>
      <w:bCs/>
      <w:color w:val="1C2B4A"/>
      <w:sz w:val="26"/>
      <w:szCs w:val="26"/>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sz w:val="24"/>
      <w:szCs w:val="24"/>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15" w:type="dxa"/>
        <w:bottom w:w="0" w:type="dxa"/>
        <w:right w:w="115" w:type="dxa"/>
      </w:tblCellMar>
    </w:tblPr>
  </w:style>
  <w:style w:type="table" w:customStyle="1" w:styleId="a3">
    <w:basedOn w:val="TableNormal0"/>
    <w:tblPr>
      <w:tblStyleRowBandSize w:val="1"/>
      <w:tblStyleColBandSize w:val="1"/>
      <w:tblCellMar>
        <w:top w:w="0" w:type="dxa"/>
        <w:left w:w="115" w:type="dxa"/>
        <w:bottom w:w="0" w:type="dxa"/>
        <w:right w:w="115" w:type="dxa"/>
      </w:tblCellMar>
    </w:tblPr>
  </w:style>
  <w:style w:type="table" w:customStyle="1" w:styleId="a4">
    <w:basedOn w:val="TableNormal0"/>
    <w:tblPr>
      <w:tblStyleRowBandSize w:val="1"/>
      <w:tblStyleColBandSize w:val="1"/>
      <w:tblCellMar>
        <w:top w:w="0" w:type="dxa"/>
        <w:left w:w="115" w:type="dxa"/>
        <w:bottom w:w="0" w:type="dxa"/>
        <w:right w:w="115" w:type="dxa"/>
      </w:tblCellMar>
    </w:tblPr>
  </w:style>
  <w:style w:type="table" w:customStyle="1" w:styleId="a5">
    <w:basedOn w:val="TableNormal0"/>
    <w:tblPr>
      <w:tblStyleRowBandSize w:val="1"/>
      <w:tblStyleColBandSize w:val="1"/>
      <w:tblCellMar>
        <w:top w:w="0" w:type="dxa"/>
        <w:left w:w="115" w:type="dxa"/>
        <w:bottom w:w="0" w:type="dxa"/>
        <w:right w:w="115" w:type="dxa"/>
      </w:tblCellMar>
    </w:tblPr>
  </w:style>
  <w:style w:type="table" w:customStyle="1" w:styleId="a6">
    <w:basedOn w:val="TableNormal0"/>
    <w:tblPr>
      <w:tblStyleRowBandSize w:val="1"/>
      <w:tblStyleColBandSize w:val="1"/>
      <w:tblCellMar>
        <w:top w:w="0" w:type="dxa"/>
        <w:left w:w="115" w:type="dxa"/>
        <w:bottom w:w="0" w:type="dxa"/>
        <w:right w:w="115" w:type="dxa"/>
      </w:tblCellMar>
    </w:tblPr>
  </w:style>
  <w:style w:type="table" w:customStyle="1" w:styleId="a7">
    <w:basedOn w:val="TableNormal0"/>
    <w:tblPr>
      <w:tblStyleRowBandSize w:val="1"/>
      <w:tblStyleColBandSize w:val="1"/>
      <w:tblCellMar>
        <w:top w:w="0" w:type="dxa"/>
        <w:left w:w="115" w:type="dxa"/>
        <w:bottom w:w="0" w:type="dxa"/>
        <w:right w:w="115" w:type="dxa"/>
      </w:tblCellMar>
    </w:tblPr>
  </w:style>
  <w:style w:type="table" w:customStyle="1" w:styleId="a8">
    <w:basedOn w:val="TableNormal0"/>
    <w:tblPr>
      <w:tblStyleRowBandSize w:val="1"/>
      <w:tblStyleColBandSize w:val="1"/>
      <w:tblCellMar>
        <w:top w:w="0" w:type="dxa"/>
        <w:left w:w="115" w:type="dxa"/>
        <w:bottom w:w="0" w:type="dxa"/>
        <w:right w:w="115" w:type="dxa"/>
      </w:tblCellMar>
    </w:tblPr>
  </w:style>
  <w:style w:type="paragraph" w:styleId="Header">
    <w:name w:val="header"/>
    <w:basedOn w:val="Normal"/>
    <w:link w:val="HeaderChar"/>
    <w:uiPriority w:val="99"/>
    <w:unhideWhenUsed/>
    <w:rsid w:val="00E24EFA"/>
    <w:pPr>
      <w:tabs>
        <w:tab w:val="center" w:pos="4513"/>
        <w:tab w:val="right" w:pos="9026"/>
      </w:tabs>
    </w:pPr>
  </w:style>
  <w:style w:type="character" w:customStyle="1" w:styleId="HeaderChar">
    <w:name w:val="Header Char"/>
    <w:basedOn w:val="DefaultParagraphFont"/>
    <w:link w:val="Header"/>
    <w:uiPriority w:val="99"/>
    <w:rsid w:val="00E24EFA"/>
  </w:style>
  <w:style w:type="paragraph" w:styleId="Footer">
    <w:name w:val="footer"/>
    <w:basedOn w:val="Normal"/>
    <w:link w:val="FooterChar"/>
    <w:uiPriority w:val="99"/>
    <w:unhideWhenUsed/>
    <w:rsid w:val="00E24EFA"/>
    <w:pPr>
      <w:tabs>
        <w:tab w:val="center" w:pos="4513"/>
        <w:tab w:val="right" w:pos="9026"/>
      </w:tabs>
    </w:pPr>
  </w:style>
  <w:style w:type="character" w:customStyle="1" w:styleId="FooterChar">
    <w:name w:val="Footer Char"/>
    <w:basedOn w:val="DefaultParagraphFont"/>
    <w:link w:val="Footer"/>
    <w:uiPriority w:val="99"/>
    <w:rsid w:val="00E24E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3424</Words>
  <Characters>19518</Characters>
  <Application>Microsoft Office Word</Application>
  <DocSecurity>0</DocSecurity>
  <Lines>162</Lines>
  <Paragraphs>45</Paragraphs>
  <ScaleCrop>false</ScaleCrop>
  <Company/>
  <LinksUpToDate>false</LinksUpToDate>
  <CharactersWithSpaces>22897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Caroline Jawad</cp:lastModifiedBy>
  <cp:revision>2</cp:revision>
  <dcterms:created xsi:type="dcterms:W3CDTF">2026-05-09T16:47:00Z</dcterms:created>
  <dcterms:modified xsi:type="dcterms:W3CDTF">2026-05-09T16:49:00Z</dcterms:modified>
</cp:coreProperties>
</file>