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C0B3EB" w14:textId="77777777" w:rsidR="00FA5C0A" w:rsidRDefault="00FA5C0A" w:rsidP="00FA5C0A">
      <w:pPr>
        <w:jc w:val="center"/>
      </w:pPr>
      <w:r w:rsidRPr="00FA5C0A">
        <w:rPr>
          <w:noProof/>
        </w:rPr>
        <w:drawing>
          <wp:inline distT="0" distB="0" distL="0" distR="0" wp14:anchorId="444719D8" wp14:editId="30FCE015">
            <wp:extent cx="2521302" cy="1073888"/>
            <wp:effectExtent l="0" t="0" r="0" b="0"/>
            <wp:docPr id="10599293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929329" name=""/>
                    <pic:cNvPicPr/>
                  </pic:nvPicPr>
                  <pic:blipFill>
                    <a:blip r:embed="rId8"/>
                    <a:stretch>
                      <a:fillRect/>
                    </a:stretch>
                  </pic:blipFill>
                  <pic:spPr>
                    <a:xfrm>
                      <a:off x="0" y="0"/>
                      <a:ext cx="2523391" cy="1074778"/>
                    </a:xfrm>
                    <a:prstGeom prst="rect">
                      <a:avLst/>
                    </a:prstGeom>
                  </pic:spPr>
                </pic:pic>
              </a:graphicData>
            </a:graphic>
          </wp:inline>
        </w:drawing>
      </w:r>
    </w:p>
    <w:p w14:paraId="44D23DCC" w14:textId="77777777" w:rsidR="00FA5C0A" w:rsidRDefault="00FA5C0A" w:rsidP="00FA5C0A">
      <w:pPr>
        <w:jc w:val="center"/>
      </w:pPr>
    </w:p>
    <w:p w14:paraId="193EBDAC" w14:textId="77777777" w:rsidR="00FA5C0A" w:rsidRPr="00FA5C0A" w:rsidRDefault="00FA5C0A" w:rsidP="00FA5C0A">
      <w:pPr>
        <w:jc w:val="center"/>
        <w:rPr>
          <w:b/>
          <w:bCs/>
          <w:sz w:val="40"/>
          <w:szCs w:val="40"/>
        </w:rPr>
      </w:pPr>
      <w:r w:rsidRPr="00FA5C0A">
        <w:rPr>
          <w:b/>
          <w:bCs/>
          <w:sz w:val="40"/>
          <w:szCs w:val="40"/>
        </w:rPr>
        <w:t xml:space="preserve">Certificate of Higher Education in Health and Social Care </w:t>
      </w:r>
    </w:p>
    <w:p w14:paraId="55806831" w14:textId="77777777" w:rsidR="00FA5C0A" w:rsidRDefault="00FA5C0A" w:rsidP="00FA5C0A">
      <w:pPr>
        <w:jc w:val="center"/>
        <w:rPr>
          <w:i/>
          <w:iCs/>
        </w:rPr>
      </w:pPr>
      <w:r w:rsidRPr="00FA5C0A">
        <w:rPr>
          <w:b/>
          <w:bCs/>
          <w:i/>
          <w:iCs/>
          <w:sz w:val="36"/>
          <w:szCs w:val="36"/>
        </w:rPr>
        <w:t xml:space="preserve"> Psychology in Health and Social Care LCHS4010</w:t>
      </w:r>
    </w:p>
    <w:p w14:paraId="7999C062" w14:textId="77777777" w:rsidR="00FA5C0A" w:rsidRDefault="00FA5C0A" w:rsidP="00FA5C0A">
      <w:pPr>
        <w:jc w:val="center"/>
        <w:rPr>
          <w:i/>
          <w:iCs/>
        </w:rPr>
      </w:pPr>
    </w:p>
    <w:p w14:paraId="49D1E46E" w14:textId="77777777" w:rsidR="00FA5C0A" w:rsidRDefault="00FA5C0A" w:rsidP="00FA5C0A">
      <w:pPr>
        <w:jc w:val="center"/>
        <w:rPr>
          <w:i/>
          <w:iCs/>
        </w:rPr>
      </w:pPr>
    </w:p>
    <w:p w14:paraId="592F3103" w14:textId="77777777" w:rsidR="00FA5C0A" w:rsidRDefault="00FA5C0A" w:rsidP="00FA5C0A">
      <w:pPr>
        <w:jc w:val="center"/>
        <w:rPr>
          <w:i/>
          <w:iCs/>
        </w:rPr>
      </w:pPr>
    </w:p>
    <w:p w14:paraId="544B33D9" w14:textId="77777777" w:rsidR="00FA5C0A" w:rsidRDefault="00FA5C0A" w:rsidP="00FA5C0A">
      <w:pPr>
        <w:jc w:val="center"/>
        <w:rPr>
          <w:i/>
          <w:iCs/>
        </w:rPr>
      </w:pPr>
    </w:p>
    <w:p w14:paraId="6C66270D" w14:textId="77777777" w:rsidR="00FA5C0A" w:rsidRDefault="00FA5C0A" w:rsidP="00FA5C0A">
      <w:pPr>
        <w:jc w:val="center"/>
        <w:rPr>
          <w:b/>
          <w:bCs/>
          <w:i/>
          <w:iCs/>
        </w:rPr>
      </w:pPr>
      <w:r w:rsidRPr="00FA5C0A">
        <w:rPr>
          <w:b/>
          <w:bCs/>
          <w:i/>
          <w:iCs/>
          <w:sz w:val="32"/>
          <w:szCs w:val="32"/>
        </w:rPr>
        <w:t xml:space="preserve">Assignment 2 </w:t>
      </w:r>
    </w:p>
    <w:p w14:paraId="4827F7CE" w14:textId="77777777" w:rsidR="00FA5C0A" w:rsidRDefault="00FA5C0A" w:rsidP="00FA5C0A">
      <w:pPr>
        <w:jc w:val="center"/>
        <w:rPr>
          <w:b/>
          <w:bCs/>
          <w:i/>
          <w:iCs/>
        </w:rPr>
      </w:pPr>
    </w:p>
    <w:p w14:paraId="6BA10829" w14:textId="77777777" w:rsidR="00FA5C0A" w:rsidRDefault="00FA5C0A" w:rsidP="00FA5C0A">
      <w:pPr>
        <w:jc w:val="center"/>
        <w:rPr>
          <w:b/>
          <w:bCs/>
          <w:i/>
          <w:iCs/>
        </w:rPr>
      </w:pPr>
    </w:p>
    <w:p w14:paraId="2292C402" w14:textId="77777777" w:rsidR="00FA5C0A" w:rsidRDefault="00FA5C0A" w:rsidP="00FA5C0A">
      <w:pPr>
        <w:jc w:val="center"/>
        <w:rPr>
          <w:b/>
          <w:bCs/>
          <w:i/>
          <w:iCs/>
        </w:rPr>
      </w:pPr>
    </w:p>
    <w:p w14:paraId="764F3F71" w14:textId="0D3A758C" w:rsidR="00FA5C0A" w:rsidRDefault="00FA5C0A" w:rsidP="00FA5C0A">
      <w:pPr>
        <w:jc w:val="center"/>
        <w:rPr>
          <w:b/>
          <w:bCs/>
          <w:i/>
          <w:iCs/>
        </w:rPr>
      </w:pPr>
      <w:r>
        <w:rPr>
          <w:b/>
          <w:bCs/>
          <w:i/>
          <w:iCs/>
        </w:rPr>
        <w:t>Student Name:</w:t>
      </w:r>
      <w:r w:rsidR="003D7797">
        <w:rPr>
          <w:b/>
          <w:bCs/>
          <w:i/>
          <w:iCs/>
        </w:rPr>
        <w:t xml:space="preserve"> Luciana de Almeida</w:t>
      </w:r>
    </w:p>
    <w:p w14:paraId="7ADA3193" w14:textId="16BC43A5" w:rsidR="00FA5C0A" w:rsidRDefault="00FA5C0A" w:rsidP="00FA5C0A">
      <w:pPr>
        <w:jc w:val="center"/>
        <w:rPr>
          <w:b/>
          <w:bCs/>
          <w:i/>
          <w:iCs/>
        </w:rPr>
      </w:pPr>
      <w:r>
        <w:rPr>
          <w:b/>
          <w:bCs/>
          <w:i/>
          <w:iCs/>
        </w:rPr>
        <w:t>Student ID:</w:t>
      </w:r>
      <w:r w:rsidR="003D7797">
        <w:rPr>
          <w:b/>
          <w:bCs/>
          <w:i/>
          <w:iCs/>
        </w:rPr>
        <w:t xml:space="preserve"> 2428009</w:t>
      </w:r>
    </w:p>
    <w:p w14:paraId="547A5390" w14:textId="0C860A01" w:rsidR="00FA5C0A" w:rsidRPr="00FA5C0A" w:rsidRDefault="003D7797" w:rsidP="00FA5C0A">
      <w:pPr>
        <w:jc w:val="center"/>
        <w:rPr>
          <w:b/>
          <w:bCs/>
          <w:i/>
          <w:iCs/>
        </w:rPr>
      </w:pPr>
      <w:r>
        <w:rPr>
          <w:b/>
          <w:bCs/>
          <w:i/>
          <w:iCs/>
        </w:rPr>
        <w:t>Lecturer name: Shaila Hussain</w:t>
      </w:r>
      <w:r w:rsidR="00FA5C0A" w:rsidRPr="00FA5C0A">
        <w:rPr>
          <w:b/>
          <w:bCs/>
          <w:i/>
          <w:iCs/>
        </w:rPr>
        <w:br w:type="page"/>
      </w:r>
    </w:p>
    <w:sdt>
      <w:sdtPr>
        <w:rPr>
          <w:rFonts w:ascii="Arial" w:eastAsia="Arial" w:hAnsi="Arial" w:cs="Arial"/>
          <w:color w:val="auto"/>
          <w:sz w:val="22"/>
          <w:szCs w:val="22"/>
          <w:lang w:val="en" w:eastAsia="en-GB"/>
        </w:rPr>
        <w:id w:val="-540513561"/>
        <w:docPartObj>
          <w:docPartGallery w:val="Table of Contents"/>
          <w:docPartUnique/>
        </w:docPartObj>
      </w:sdtPr>
      <w:sdtEndPr>
        <w:rPr>
          <w:b/>
          <w:bCs/>
          <w:noProof/>
        </w:rPr>
      </w:sdtEndPr>
      <w:sdtContent>
        <w:p w14:paraId="5ECA2F53" w14:textId="21B9CC71" w:rsidR="00FA5C0A" w:rsidRPr="00FA5C0A" w:rsidRDefault="00FA5C0A">
          <w:pPr>
            <w:pStyle w:val="TOCHeading"/>
            <w:rPr>
              <w:rFonts w:ascii="Arial" w:hAnsi="Arial" w:cs="Arial"/>
              <w:b/>
              <w:bCs/>
            </w:rPr>
          </w:pPr>
          <w:r w:rsidRPr="00FA5C0A">
            <w:rPr>
              <w:rFonts w:ascii="Arial" w:hAnsi="Arial" w:cs="Arial"/>
              <w:b/>
              <w:bCs/>
            </w:rPr>
            <w:t>Table of Contents</w:t>
          </w:r>
        </w:p>
        <w:p w14:paraId="55C6AA30" w14:textId="4E33B4B8" w:rsidR="00FA5C0A" w:rsidRDefault="00FA5C0A">
          <w:pPr>
            <w:pStyle w:val="TOC1"/>
            <w:tabs>
              <w:tab w:val="right" w:leader="dot" w:pos="9016"/>
            </w:tabs>
            <w:rPr>
              <w:noProof/>
            </w:rPr>
          </w:pPr>
          <w:r>
            <w:fldChar w:fldCharType="begin"/>
          </w:r>
          <w:r>
            <w:instrText xml:space="preserve"> TOC \o "1-3" \h \z \u </w:instrText>
          </w:r>
          <w:r>
            <w:fldChar w:fldCharType="separate"/>
          </w:r>
          <w:hyperlink w:anchor="_Toc215966440" w:history="1">
            <w:r w:rsidRPr="00563A81">
              <w:rPr>
                <w:rStyle w:val="Hyperlink"/>
                <w:noProof/>
              </w:rPr>
              <w:t>Introudtion</w:t>
            </w:r>
            <w:r>
              <w:rPr>
                <w:noProof/>
                <w:webHidden/>
              </w:rPr>
              <w:tab/>
            </w:r>
            <w:r>
              <w:rPr>
                <w:noProof/>
                <w:webHidden/>
              </w:rPr>
              <w:fldChar w:fldCharType="begin"/>
            </w:r>
            <w:r>
              <w:rPr>
                <w:noProof/>
                <w:webHidden/>
              </w:rPr>
              <w:instrText xml:space="preserve"> PAGEREF _Toc215966440 \h </w:instrText>
            </w:r>
            <w:r>
              <w:rPr>
                <w:noProof/>
                <w:webHidden/>
              </w:rPr>
            </w:r>
            <w:r>
              <w:rPr>
                <w:noProof/>
                <w:webHidden/>
              </w:rPr>
              <w:fldChar w:fldCharType="separate"/>
            </w:r>
            <w:r>
              <w:rPr>
                <w:noProof/>
                <w:webHidden/>
              </w:rPr>
              <w:t>3</w:t>
            </w:r>
            <w:r>
              <w:rPr>
                <w:noProof/>
                <w:webHidden/>
              </w:rPr>
              <w:fldChar w:fldCharType="end"/>
            </w:r>
          </w:hyperlink>
        </w:p>
        <w:p w14:paraId="417BC722" w14:textId="5A939621" w:rsidR="00FA5C0A" w:rsidRDefault="00FA5C0A">
          <w:pPr>
            <w:pStyle w:val="TOC1"/>
            <w:tabs>
              <w:tab w:val="right" w:leader="dot" w:pos="9016"/>
            </w:tabs>
            <w:rPr>
              <w:noProof/>
            </w:rPr>
          </w:pPr>
          <w:hyperlink w:anchor="_Toc215966441" w:history="1">
            <w:r w:rsidRPr="00563A81">
              <w:rPr>
                <w:rStyle w:val="Hyperlink"/>
                <w:noProof/>
              </w:rPr>
              <w:t>Appropriate Theory for the context</w:t>
            </w:r>
            <w:r>
              <w:rPr>
                <w:noProof/>
                <w:webHidden/>
              </w:rPr>
              <w:tab/>
            </w:r>
            <w:r>
              <w:rPr>
                <w:noProof/>
                <w:webHidden/>
              </w:rPr>
              <w:fldChar w:fldCharType="begin"/>
            </w:r>
            <w:r>
              <w:rPr>
                <w:noProof/>
                <w:webHidden/>
              </w:rPr>
              <w:instrText xml:space="preserve"> PAGEREF _Toc215966441 \h </w:instrText>
            </w:r>
            <w:r>
              <w:rPr>
                <w:noProof/>
                <w:webHidden/>
              </w:rPr>
            </w:r>
            <w:r>
              <w:rPr>
                <w:noProof/>
                <w:webHidden/>
              </w:rPr>
              <w:fldChar w:fldCharType="separate"/>
            </w:r>
            <w:r>
              <w:rPr>
                <w:noProof/>
                <w:webHidden/>
              </w:rPr>
              <w:t>4</w:t>
            </w:r>
            <w:r>
              <w:rPr>
                <w:noProof/>
                <w:webHidden/>
              </w:rPr>
              <w:fldChar w:fldCharType="end"/>
            </w:r>
          </w:hyperlink>
        </w:p>
        <w:p w14:paraId="44933912" w14:textId="134CF137" w:rsidR="00FA5C0A" w:rsidRDefault="00FA5C0A">
          <w:pPr>
            <w:pStyle w:val="TOC2"/>
            <w:tabs>
              <w:tab w:val="right" w:leader="dot" w:pos="9016"/>
            </w:tabs>
            <w:rPr>
              <w:noProof/>
            </w:rPr>
          </w:pPr>
          <w:hyperlink w:anchor="_Toc215966442" w:history="1">
            <w:r w:rsidRPr="00563A81">
              <w:rPr>
                <w:rStyle w:val="Hyperlink"/>
                <w:noProof/>
              </w:rPr>
              <w:t>Cognitive Behavioural Theory (CBT)</w:t>
            </w:r>
            <w:r>
              <w:rPr>
                <w:noProof/>
                <w:webHidden/>
              </w:rPr>
              <w:tab/>
            </w:r>
            <w:r>
              <w:rPr>
                <w:noProof/>
                <w:webHidden/>
              </w:rPr>
              <w:fldChar w:fldCharType="begin"/>
            </w:r>
            <w:r>
              <w:rPr>
                <w:noProof/>
                <w:webHidden/>
              </w:rPr>
              <w:instrText xml:space="preserve"> PAGEREF _Toc215966442 \h </w:instrText>
            </w:r>
            <w:r>
              <w:rPr>
                <w:noProof/>
                <w:webHidden/>
              </w:rPr>
            </w:r>
            <w:r>
              <w:rPr>
                <w:noProof/>
                <w:webHidden/>
              </w:rPr>
              <w:fldChar w:fldCharType="separate"/>
            </w:r>
            <w:r>
              <w:rPr>
                <w:noProof/>
                <w:webHidden/>
              </w:rPr>
              <w:t>4</w:t>
            </w:r>
            <w:r>
              <w:rPr>
                <w:noProof/>
                <w:webHidden/>
              </w:rPr>
              <w:fldChar w:fldCharType="end"/>
            </w:r>
          </w:hyperlink>
        </w:p>
        <w:p w14:paraId="5F013995" w14:textId="537F8D09" w:rsidR="00FA5C0A" w:rsidRDefault="00FA5C0A">
          <w:pPr>
            <w:pStyle w:val="TOC2"/>
            <w:tabs>
              <w:tab w:val="right" w:leader="dot" w:pos="9016"/>
            </w:tabs>
            <w:rPr>
              <w:noProof/>
            </w:rPr>
          </w:pPr>
          <w:hyperlink w:anchor="_Toc215966443" w:history="1">
            <w:r w:rsidRPr="00563A81">
              <w:rPr>
                <w:rStyle w:val="Hyperlink"/>
                <w:noProof/>
              </w:rPr>
              <w:t>Person-Centred Care (PCC)</w:t>
            </w:r>
            <w:r>
              <w:rPr>
                <w:noProof/>
                <w:webHidden/>
              </w:rPr>
              <w:tab/>
            </w:r>
            <w:r>
              <w:rPr>
                <w:noProof/>
                <w:webHidden/>
              </w:rPr>
              <w:fldChar w:fldCharType="begin"/>
            </w:r>
            <w:r>
              <w:rPr>
                <w:noProof/>
                <w:webHidden/>
              </w:rPr>
              <w:instrText xml:space="preserve"> PAGEREF _Toc215966443 \h </w:instrText>
            </w:r>
            <w:r>
              <w:rPr>
                <w:noProof/>
                <w:webHidden/>
              </w:rPr>
            </w:r>
            <w:r>
              <w:rPr>
                <w:noProof/>
                <w:webHidden/>
              </w:rPr>
              <w:fldChar w:fldCharType="separate"/>
            </w:r>
            <w:r>
              <w:rPr>
                <w:noProof/>
                <w:webHidden/>
              </w:rPr>
              <w:t>5</w:t>
            </w:r>
            <w:r>
              <w:rPr>
                <w:noProof/>
                <w:webHidden/>
              </w:rPr>
              <w:fldChar w:fldCharType="end"/>
            </w:r>
          </w:hyperlink>
        </w:p>
        <w:p w14:paraId="4D0B055C" w14:textId="788E79E4" w:rsidR="00FA5C0A" w:rsidRDefault="00FA5C0A">
          <w:pPr>
            <w:pStyle w:val="TOC1"/>
            <w:tabs>
              <w:tab w:val="right" w:leader="dot" w:pos="9016"/>
            </w:tabs>
            <w:rPr>
              <w:noProof/>
            </w:rPr>
          </w:pPr>
          <w:hyperlink w:anchor="_Toc215966444" w:history="1">
            <w:r w:rsidRPr="00563A81">
              <w:rPr>
                <w:rStyle w:val="Hyperlink"/>
                <w:noProof/>
              </w:rPr>
              <w:t>Application in the Health and Social Care context</w:t>
            </w:r>
            <w:r>
              <w:rPr>
                <w:noProof/>
                <w:webHidden/>
              </w:rPr>
              <w:tab/>
            </w:r>
            <w:r>
              <w:rPr>
                <w:noProof/>
                <w:webHidden/>
              </w:rPr>
              <w:fldChar w:fldCharType="begin"/>
            </w:r>
            <w:r>
              <w:rPr>
                <w:noProof/>
                <w:webHidden/>
              </w:rPr>
              <w:instrText xml:space="preserve"> PAGEREF _Toc215966444 \h </w:instrText>
            </w:r>
            <w:r>
              <w:rPr>
                <w:noProof/>
                <w:webHidden/>
              </w:rPr>
            </w:r>
            <w:r>
              <w:rPr>
                <w:noProof/>
                <w:webHidden/>
              </w:rPr>
              <w:fldChar w:fldCharType="separate"/>
            </w:r>
            <w:r>
              <w:rPr>
                <w:noProof/>
                <w:webHidden/>
              </w:rPr>
              <w:t>7</w:t>
            </w:r>
            <w:r>
              <w:rPr>
                <w:noProof/>
                <w:webHidden/>
              </w:rPr>
              <w:fldChar w:fldCharType="end"/>
            </w:r>
          </w:hyperlink>
        </w:p>
        <w:p w14:paraId="3AD97A68" w14:textId="1A09A18D" w:rsidR="00FA5C0A" w:rsidRDefault="00FA5C0A">
          <w:pPr>
            <w:pStyle w:val="TOC2"/>
            <w:tabs>
              <w:tab w:val="right" w:leader="dot" w:pos="9016"/>
            </w:tabs>
            <w:rPr>
              <w:noProof/>
            </w:rPr>
          </w:pPr>
          <w:hyperlink w:anchor="_Toc215966445" w:history="1">
            <w:r w:rsidRPr="00563A81">
              <w:rPr>
                <w:rStyle w:val="Hyperlink"/>
                <w:noProof/>
              </w:rPr>
              <w:t>Critical Evaluation of Theories</w:t>
            </w:r>
            <w:r>
              <w:rPr>
                <w:noProof/>
                <w:webHidden/>
              </w:rPr>
              <w:tab/>
            </w:r>
            <w:r>
              <w:rPr>
                <w:noProof/>
                <w:webHidden/>
              </w:rPr>
              <w:fldChar w:fldCharType="begin"/>
            </w:r>
            <w:r>
              <w:rPr>
                <w:noProof/>
                <w:webHidden/>
              </w:rPr>
              <w:instrText xml:space="preserve"> PAGEREF _Toc215966445 \h </w:instrText>
            </w:r>
            <w:r>
              <w:rPr>
                <w:noProof/>
                <w:webHidden/>
              </w:rPr>
            </w:r>
            <w:r>
              <w:rPr>
                <w:noProof/>
                <w:webHidden/>
              </w:rPr>
              <w:fldChar w:fldCharType="separate"/>
            </w:r>
            <w:r>
              <w:rPr>
                <w:noProof/>
                <w:webHidden/>
              </w:rPr>
              <w:t>7</w:t>
            </w:r>
            <w:r>
              <w:rPr>
                <w:noProof/>
                <w:webHidden/>
              </w:rPr>
              <w:fldChar w:fldCharType="end"/>
            </w:r>
          </w:hyperlink>
        </w:p>
        <w:p w14:paraId="4439B568" w14:textId="2BBD0A84" w:rsidR="00FA5C0A" w:rsidRDefault="00FA5C0A">
          <w:pPr>
            <w:pStyle w:val="TOC2"/>
            <w:tabs>
              <w:tab w:val="right" w:leader="dot" w:pos="9016"/>
            </w:tabs>
            <w:rPr>
              <w:noProof/>
            </w:rPr>
          </w:pPr>
          <w:hyperlink w:anchor="_Toc215966446" w:history="1">
            <w:r w:rsidRPr="00563A81">
              <w:rPr>
                <w:rStyle w:val="Hyperlink"/>
                <w:noProof/>
              </w:rPr>
              <w:t>Potential Challenges for Professionals</w:t>
            </w:r>
            <w:r>
              <w:rPr>
                <w:noProof/>
                <w:webHidden/>
              </w:rPr>
              <w:tab/>
            </w:r>
            <w:r>
              <w:rPr>
                <w:noProof/>
                <w:webHidden/>
              </w:rPr>
              <w:fldChar w:fldCharType="begin"/>
            </w:r>
            <w:r>
              <w:rPr>
                <w:noProof/>
                <w:webHidden/>
              </w:rPr>
              <w:instrText xml:space="preserve"> PAGEREF _Toc215966446 \h </w:instrText>
            </w:r>
            <w:r>
              <w:rPr>
                <w:noProof/>
                <w:webHidden/>
              </w:rPr>
            </w:r>
            <w:r>
              <w:rPr>
                <w:noProof/>
                <w:webHidden/>
              </w:rPr>
              <w:fldChar w:fldCharType="separate"/>
            </w:r>
            <w:r>
              <w:rPr>
                <w:noProof/>
                <w:webHidden/>
              </w:rPr>
              <w:t>8</w:t>
            </w:r>
            <w:r>
              <w:rPr>
                <w:noProof/>
                <w:webHidden/>
              </w:rPr>
              <w:fldChar w:fldCharType="end"/>
            </w:r>
          </w:hyperlink>
        </w:p>
        <w:p w14:paraId="74F13783" w14:textId="28847968" w:rsidR="00FA5C0A" w:rsidRDefault="00FA5C0A">
          <w:pPr>
            <w:pStyle w:val="TOC1"/>
            <w:tabs>
              <w:tab w:val="right" w:leader="dot" w:pos="9016"/>
            </w:tabs>
            <w:rPr>
              <w:noProof/>
            </w:rPr>
          </w:pPr>
          <w:hyperlink w:anchor="_Toc215966447" w:history="1">
            <w:r w:rsidRPr="00563A81">
              <w:rPr>
                <w:rStyle w:val="Hyperlink"/>
                <w:noProof/>
              </w:rPr>
              <w:t>Conclusion</w:t>
            </w:r>
            <w:r>
              <w:rPr>
                <w:noProof/>
                <w:webHidden/>
              </w:rPr>
              <w:tab/>
            </w:r>
            <w:r>
              <w:rPr>
                <w:noProof/>
                <w:webHidden/>
              </w:rPr>
              <w:fldChar w:fldCharType="begin"/>
            </w:r>
            <w:r>
              <w:rPr>
                <w:noProof/>
                <w:webHidden/>
              </w:rPr>
              <w:instrText xml:space="preserve"> PAGEREF _Toc215966447 \h </w:instrText>
            </w:r>
            <w:r>
              <w:rPr>
                <w:noProof/>
                <w:webHidden/>
              </w:rPr>
            </w:r>
            <w:r>
              <w:rPr>
                <w:noProof/>
                <w:webHidden/>
              </w:rPr>
              <w:fldChar w:fldCharType="separate"/>
            </w:r>
            <w:r>
              <w:rPr>
                <w:noProof/>
                <w:webHidden/>
              </w:rPr>
              <w:t>9</w:t>
            </w:r>
            <w:r>
              <w:rPr>
                <w:noProof/>
                <w:webHidden/>
              </w:rPr>
              <w:fldChar w:fldCharType="end"/>
            </w:r>
          </w:hyperlink>
        </w:p>
        <w:p w14:paraId="64EB8989" w14:textId="0FA18C94" w:rsidR="00FA5C0A" w:rsidRDefault="00FA5C0A">
          <w:pPr>
            <w:pStyle w:val="TOC1"/>
            <w:tabs>
              <w:tab w:val="right" w:leader="dot" w:pos="9016"/>
            </w:tabs>
            <w:rPr>
              <w:noProof/>
            </w:rPr>
          </w:pPr>
          <w:hyperlink w:anchor="_Toc215966448" w:history="1">
            <w:r w:rsidRPr="00563A81">
              <w:rPr>
                <w:rStyle w:val="Hyperlink"/>
                <w:noProof/>
              </w:rPr>
              <w:t>References</w:t>
            </w:r>
            <w:r>
              <w:rPr>
                <w:noProof/>
                <w:webHidden/>
              </w:rPr>
              <w:tab/>
            </w:r>
            <w:r>
              <w:rPr>
                <w:noProof/>
                <w:webHidden/>
              </w:rPr>
              <w:fldChar w:fldCharType="begin"/>
            </w:r>
            <w:r>
              <w:rPr>
                <w:noProof/>
                <w:webHidden/>
              </w:rPr>
              <w:instrText xml:space="preserve"> PAGEREF _Toc215966448 \h </w:instrText>
            </w:r>
            <w:r>
              <w:rPr>
                <w:noProof/>
                <w:webHidden/>
              </w:rPr>
            </w:r>
            <w:r>
              <w:rPr>
                <w:noProof/>
                <w:webHidden/>
              </w:rPr>
              <w:fldChar w:fldCharType="separate"/>
            </w:r>
            <w:r>
              <w:rPr>
                <w:noProof/>
                <w:webHidden/>
              </w:rPr>
              <w:t>10</w:t>
            </w:r>
            <w:r>
              <w:rPr>
                <w:noProof/>
                <w:webHidden/>
              </w:rPr>
              <w:fldChar w:fldCharType="end"/>
            </w:r>
          </w:hyperlink>
        </w:p>
        <w:p w14:paraId="0D8676C5" w14:textId="439AB90C" w:rsidR="00FA5C0A" w:rsidRDefault="00FA5C0A">
          <w:r>
            <w:rPr>
              <w:b/>
              <w:bCs/>
              <w:noProof/>
            </w:rPr>
            <w:fldChar w:fldCharType="end"/>
          </w:r>
        </w:p>
      </w:sdtContent>
    </w:sdt>
    <w:p w14:paraId="50AC0335" w14:textId="23DF9C42" w:rsidR="00B452A7" w:rsidRDefault="00000000">
      <w:r>
        <w:br w:type="page"/>
      </w:r>
    </w:p>
    <w:p w14:paraId="7203D6A1" w14:textId="7C5116B3" w:rsidR="00B452A7" w:rsidRDefault="00FA5C0A">
      <w:pPr>
        <w:pStyle w:val="Heading1"/>
      </w:pPr>
      <w:bookmarkStart w:id="0" w:name="_7avccsmqxut3" w:colFirst="0" w:colLast="0"/>
      <w:bookmarkEnd w:id="0"/>
      <w:r>
        <w:lastRenderedPageBreak/>
        <w:t>Introduction</w:t>
      </w:r>
    </w:p>
    <w:p w14:paraId="4EF68876" w14:textId="3A85D7D6" w:rsidR="00FA5C0A" w:rsidRDefault="00000000">
      <w:r>
        <w:t xml:space="preserve">The psychological theories have been instrumental in explaining and justifying the mental status of the elderly and those who have faced issues of psychological complications like dementia (Toot et al., 2016). The psychological theories applied by </w:t>
      </w:r>
      <w:r w:rsidR="008239B0">
        <w:t>dementia</w:t>
      </w:r>
      <w:r>
        <w:t xml:space="preserve"> care homes ensure that the professionals </w:t>
      </w:r>
      <w:r w:rsidR="008239B0">
        <w:t>can</w:t>
      </w:r>
      <w:r>
        <w:t xml:space="preserve"> offer </w:t>
      </w:r>
      <w:r w:rsidR="000E5EFD">
        <w:t>personalized</w:t>
      </w:r>
      <w:r>
        <w:t xml:space="preserve"> care, enhance the quality of life, and address the psychological and </w:t>
      </w:r>
      <w:r w:rsidR="000E5EFD">
        <w:t>behavioral</w:t>
      </w:r>
      <w:r>
        <w:t xml:space="preserve"> issues that manifest </w:t>
      </w:r>
      <w:r w:rsidR="000E5EFD">
        <w:t>because of</w:t>
      </w:r>
      <w:r>
        <w:t xml:space="preserve"> the dementia conditions. The initial one is the Cognitive </w:t>
      </w:r>
      <w:r w:rsidR="000E5EFD">
        <w:t>Behavioral</w:t>
      </w:r>
      <w:r>
        <w:t xml:space="preserve"> Theory (CBT), which considers the interdependence of </w:t>
      </w:r>
      <w:r w:rsidR="000E5EFD">
        <w:t>behavior</w:t>
      </w:r>
      <w:r>
        <w:t>, thoughts and emotions. The second is the Person-</w:t>
      </w:r>
      <w:r w:rsidR="000E5EFD">
        <w:t>Centered</w:t>
      </w:r>
      <w:r>
        <w:t xml:space="preserve"> Care (PCC) theory, as it is concerned with the individual's perspective and the creation of a positive environment. In this report, the researcher will explain how such theories can be applied in the dementia care environment and some of the problems.</w:t>
      </w:r>
    </w:p>
    <w:p w14:paraId="483226A9" w14:textId="77777777" w:rsidR="00FA5C0A" w:rsidRDefault="00FA5C0A">
      <w:r>
        <w:rPr>
          <w:noProof/>
        </w:rPr>
        <w:drawing>
          <wp:inline distT="0" distB="0" distL="0" distR="0" wp14:anchorId="75CFD1BB" wp14:editId="2C24C882">
            <wp:extent cx="5731510" cy="3820795"/>
            <wp:effectExtent l="0" t="0" r="2540" b="8255"/>
            <wp:docPr id="98689981" name="Picture 1" descr="What are the benefits of care homes for people living with dementi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are the benefits of care homes for people living with dementia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184DCF2F" w14:textId="37B43626" w:rsidR="00B452A7" w:rsidRPr="00FA5C0A" w:rsidRDefault="00FA5C0A" w:rsidP="00FA5C0A">
      <w:pPr>
        <w:pStyle w:val="Caption"/>
      </w:pPr>
      <w:r w:rsidRPr="00FA5C0A">
        <w:t xml:space="preserve">Figure </w:t>
      </w:r>
      <w:fldSimple w:instr=" SEQ Figure \* ARABIC ">
        <w:r>
          <w:rPr>
            <w:noProof/>
          </w:rPr>
          <w:t>1</w:t>
        </w:r>
      </w:fldSimple>
      <w:r w:rsidRPr="00FA5C0A">
        <w:t xml:space="preserve"> Living in a care home (Care UK, 2025)</w:t>
      </w:r>
      <w:r w:rsidRPr="00FA5C0A">
        <w:br w:type="page"/>
      </w:r>
    </w:p>
    <w:p w14:paraId="7C11F8BD" w14:textId="77777777" w:rsidR="00B452A7" w:rsidRDefault="00000000">
      <w:pPr>
        <w:pStyle w:val="Heading1"/>
      </w:pPr>
      <w:bookmarkStart w:id="1" w:name="_kwn8r122fpg0" w:colFirst="0" w:colLast="0"/>
      <w:bookmarkStart w:id="2" w:name="_Toc215966441"/>
      <w:bookmarkEnd w:id="1"/>
      <w:r>
        <w:lastRenderedPageBreak/>
        <w:t>Appropriate Theory for the context</w:t>
      </w:r>
      <w:bookmarkEnd w:id="2"/>
    </w:p>
    <w:p w14:paraId="5880737A" w14:textId="149D1265" w:rsidR="00B452A7" w:rsidRDefault="00000000">
      <w:pPr>
        <w:pStyle w:val="Heading2"/>
      </w:pPr>
      <w:bookmarkStart w:id="3" w:name="_12rgohfeo99l" w:colFirst="0" w:colLast="0"/>
      <w:bookmarkStart w:id="4" w:name="_Toc215966442"/>
      <w:bookmarkEnd w:id="3"/>
      <w:r>
        <w:t xml:space="preserve">Cognitive </w:t>
      </w:r>
      <w:r w:rsidR="000E5EFD">
        <w:t>Behavioral</w:t>
      </w:r>
      <w:r>
        <w:t xml:space="preserve"> Theory (CBT)</w:t>
      </w:r>
      <w:bookmarkEnd w:id="4"/>
    </w:p>
    <w:p w14:paraId="52DB033C" w14:textId="77777777" w:rsidR="00B452A7" w:rsidRDefault="00000000">
      <w:pPr>
        <w:rPr>
          <w:b/>
          <w:bCs/>
        </w:rPr>
      </w:pPr>
      <w:r>
        <w:rPr>
          <w:b/>
          <w:bCs/>
        </w:rPr>
        <w:t>Overview of CBT</w:t>
      </w:r>
    </w:p>
    <w:p w14:paraId="3717EE90" w14:textId="058D7803" w:rsidR="00B452A7" w:rsidRDefault="00000000">
      <w:r>
        <w:t xml:space="preserve">Another psychological theory is the Cognitive </w:t>
      </w:r>
      <w:proofErr w:type="spellStart"/>
      <w:r>
        <w:t>Behavioural</w:t>
      </w:r>
      <w:proofErr w:type="spellEnd"/>
      <w:r>
        <w:t xml:space="preserve"> Theory (CBT), which focuses on the relationship between </w:t>
      </w:r>
      <w:r w:rsidR="000E5EFD">
        <w:t>behaviors</w:t>
      </w:r>
      <w:r>
        <w:t xml:space="preserve">, </w:t>
      </w:r>
      <w:r w:rsidR="008239B0">
        <w:t>thoughts</w:t>
      </w:r>
      <w:r>
        <w:t xml:space="preserve">, and </w:t>
      </w:r>
      <w:r w:rsidR="008239B0">
        <w:t>emotions</w:t>
      </w:r>
      <w:r>
        <w:t xml:space="preserve"> (</w:t>
      </w:r>
      <w:proofErr w:type="spellStart"/>
      <w:r>
        <w:t>Adefolalu</w:t>
      </w:r>
      <w:proofErr w:type="spellEnd"/>
      <w:r>
        <w:t>, 2018)</w:t>
      </w:r>
      <w:r>
        <w:rPr>
          <w:sz w:val="20"/>
          <w:szCs w:val="20"/>
        </w:rPr>
        <w:t>.</w:t>
      </w:r>
      <w:r>
        <w:t xml:space="preserve"> It implies that our thoughts affect our feelings, our actions and vice versa; the rejuvenation of negative or distorted thoughts determines the rejuvenation of the way we respond emotionally and the way we behave (Goodman et al., 2016). CBT has also been integrated in the treatment of numerous forms of psychological disorders that encompass stress levels, anxiety and depression, which appear to prevail among the elderly and specifically the dementia care homes (Rababa et al., 2020). </w:t>
      </w:r>
    </w:p>
    <w:p w14:paraId="071E403D" w14:textId="3A0E1A2A" w:rsidR="00FA5C0A" w:rsidRDefault="00FA5C0A" w:rsidP="00FA5C0A">
      <w:pPr>
        <w:jc w:val="center"/>
      </w:pPr>
      <w:r>
        <w:rPr>
          <w:noProof/>
        </w:rPr>
        <w:drawing>
          <wp:inline distT="0" distB="0" distL="0" distR="0" wp14:anchorId="1CABB121" wp14:editId="218CA8E3">
            <wp:extent cx="2022424" cy="1947810"/>
            <wp:effectExtent l="0" t="0" r="0" b="0"/>
            <wp:docPr id="814182089" name="Picture 2" descr="What is Cognitive Behavioral Therapy (CBT) - Emerald Psychiatry &amp; T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Cognitive Behavioral Therapy (CBT) - Emerald Psychiatry &amp; TM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30156" cy="1955257"/>
                    </a:xfrm>
                    <a:prstGeom prst="rect">
                      <a:avLst/>
                    </a:prstGeom>
                    <a:noFill/>
                    <a:ln>
                      <a:noFill/>
                    </a:ln>
                  </pic:spPr>
                </pic:pic>
              </a:graphicData>
            </a:graphic>
          </wp:inline>
        </w:drawing>
      </w:r>
    </w:p>
    <w:p w14:paraId="16A45E8B" w14:textId="409BE130" w:rsidR="00FA5C0A" w:rsidRDefault="00FA5C0A" w:rsidP="00FA5C0A">
      <w:pPr>
        <w:pStyle w:val="Caption"/>
      </w:pPr>
      <w:r>
        <w:t xml:space="preserve">Figure </w:t>
      </w:r>
      <w:fldSimple w:instr=" SEQ Figure \* ARABIC ">
        <w:r>
          <w:rPr>
            <w:noProof/>
          </w:rPr>
          <w:t>2</w:t>
        </w:r>
      </w:fldSimple>
      <w:r>
        <w:t xml:space="preserve"> </w:t>
      </w:r>
      <w:r w:rsidRPr="0045071C">
        <w:t xml:space="preserve">Cognitive </w:t>
      </w:r>
      <w:proofErr w:type="spellStart"/>
      <w:r w:rsidRPr="0045071C">
        <w:t>Behavioural</w:t>
      </w:r>
      <w:proofErr w:type="spellEnd"/>
      <w:r w:rsidRPr="0045071C">
        <w:t xml:space="preserve"> Theory</w:t>
      </w:r>
      <w:r>
        <w:t xml:space="preserve"> </w:t>
      </w:r>
      <w:r w:rsidRPr="00FA5C0A">
        <w:t>(</w:t>
      </w:r>
      <w:proofErr w:type="spellStart"/>
      <w:r w:rsidRPr="00FA5C0A">
        <w:t>Adefolalu</w:t>
      </w:r>
      <w:proofErr w:type="spellEnd"/>
      <w:r w:rsidRPr="00FA5C0A">
        <w:t>, 2018).</w:t>
      </w:r>
    </w:p>
    <w:p w14:paraId="2C27D504" w14:textId="77777777" w:rsidR="00B452A7" w:rsidRDefault="00B452A7"/>
    <w:p w14:paraId="0F23D7F8" w14:textId="77777777" w:rsidR="00B452A7" w:rsidRDefault="00000000">
      <w:pPr>
        <w:rPr>
          <w:b/>
          <w:bCs/>
        </w:rPr>
      </w:pPr>
      <w:r>
        <w:rPr>
          <w:b/>
          <w:bCs/>
        </w:rPr>
        <w:t>Techniques and Interventions.</w:t>
      </w:r>
    </w:p>
    <w:p w14:paraId="6D20EC94" w14:textId="5FB99C5F" w:rsidR="00B452A7" w:rsidRDefault="00000000">
      <w:r>
        <w:t xml:space="preserve">CBT is useful since it follows and disputes these vicious negative thoughts. The treated patients are helped in their work of understanding how their thoughts can affect their moods and </w:t>
      </w:r>
      <w:r w:rsidR="000E5EFD">
        <w:t>behavior</w:t>
      </w:r>
      <w:r>
        <w:t xml:space="preserve"> and begin to substitute the distorted ones with less prejudiced and more tolerable ones (Toot et al., 2016). This change of mind can be </w:t>
      </w:r>
      <w:r w:rsidR="000E5EFD">
        <w:t>utilized</w:t>
      </w:r>
      <w:r>
        <w:t xml:space="preserve"> to curb </w:t>
      </w:r>
      <w:r w:rsidR="000E5EFD">
        <w:t>hopelessness</w:t>
      </w:r>
      <w:r>
        <w:t>, anxiety and depression and hence the final living standards of the patient. CBT could be implemented within a dementia care unit by the development of interventions dependent on the degree of cognitive abilities that people have.</w:t>
      </w:r>
    </w:p>
    <w:p w14:paraId="2320DF68" w14:textId="77777777" w:rsidR="00B452A7" w:rsidRDefault="00B452A7"/>
    <w:p w14:paraId="3F275327" w14:textId="77777777" w:rsidR="00B452A7" w:rsidRDefault="00000000">
      <w:pPr>
        <w:numPr>
          <w:ilvl w:val="0"/>
          <w:numId w:val="1"/>
        </w:numPr>
      </w:pPr>
      <w:r>
        <w:rPr>
          <w:b/>
          <w:bCs/>
          <w:i/>
          <w:iCs/>
        </w:rPr>
        <w:t xml:space="preserve">Cognitive Restructuring: </w:t>
      </w:r>
      <w:r>
        <w:t>assistance with the negative thinking by the patients and substituting it with the thought of a more balanced and constructive one (</w:t>
      </w:r>
      <w:proofErr w:type="spellStart"/>
      <w:r>
        <w:t>Andas</w:t>
      </w:r>
      <w:proofErr w:type="spellEnd"/>
      <w:r>
        <w:t xml:space="preserve"> et al., 2025).</w:t>
      </w:r>
    </w:p>
    <w:p w14:paraId="62ADC5C0" w14:textId="77777777" w:rsidR="00B452A7" w:rsidRDefault="00000000">
      <w:pPr>
        <w:numPr>
          <w:ilvl w:val="0"/>
          <w:numId w:val="1"/>
        </w:numPr>
      </w:pPr>
      <w:r>
        <w:rPr>
          <w:b/>
          <w:bCs/>
          <w:i/>
          <w:iCs/>
        </w:rPr>
        <w:lastRenderedPageBreak/>
        <w:t>Thought Recording:</w:t>
      </w:r>
      <w:r>
        <w:t xml:space="preserve"> The patients will be asked to write down the thoughts and feelings and this is the one that makes the patients highly sensitive to what patterns and triggers they undergo.</w:t>
      </w:r>
    </w:p>
    <w:p w14:paraId="3F8834A3" w14:textId="77777777" w:rsidR="00B452A7" w:rsidRDefault="00000000">
      <w:pPr>
        <w:numPr>
          <w:ilvl w:val="0"/>
          <w:numId w:val="1"/>
        </w:numPr>
      </w:pPr>
      <w:r>
        <w:rPr>
          <w:b/>
          <w:bCs/>
        </w:rPr>
        <w:t>Problem-Solving:</w:t>
      </w:r>
      <w:r>
        <w:t xml:space="preserve"> The proposal will also impart the participants with real-life skills to manage daily problems and enhance patient self-efficacy and control (</w:t>
      </w:r>
      <w:proofErr w:type="spellStart"/>
      <w:r>
        <w:t>Adefolalu</w:t>
      </w:r>
      <w:proofErr w:type="spellEnd"/>
      <w:r>
        <w:t>, 2018).</w:t>
      </w:r>
    </w:p>
    <w:p w14:paraId="67581B8B" w14:textId="77777777" w:rsidR="00B452A7" w:rsidRDefault="00B452A7"/>
    <w:p w14:paraId="3A258487" w14:textId="77777777" w:rsidR="00B452A7" w:rsidRDefault="00000000">
      <w:r>
        <w:t>As an illustration, it works in the situation when a patient claims that he/she feels unimportant or thinks that he/she can become a burden, a caregiver or even a therapist can make the patient change his/her mind and demonstrate the patient what she/he is able to do and what little he/she has accomplished to make the patient feel important.</w:t>
      </w:r>
    </w:p>
    <w:p w14:paraId="4C5A1180" w14:textId="77777777" w:rsidR="00B452A7" w:rsidRDefault="00B452A7"/>
    <w:p w14:paraId="365E28E7" w14:textId="77777777" w:rsidR="00B452A7" w:rsidRDefault="00000000">
      <w:pPr>
        <w:pStyle w:val="Heading2"/>
        <w:keepNext w:val="0"/>
        <w:keepLines w:val="0"/>
      </w:pPr>
      <w:bookmarkStart w:id="5" w:name="_oignxto8byl8" w:colFirst="0" w:colLast="0"/>
      <w:bookmarkStart w:id="6" w:name="_Toc215966443"/>
      <w:bookmarkEnd w:id="5"/>
      <w:r>
        <w:t>Person-</w:t>
      </w:r>
      <w:proofErr w:type="spellStart"/>
      <w:r>
        <w:t>Centred</w:t>
      </w:r>
      <w:proofErr w:type="spellEnd"/>
      <w:r>
        <w:t xml:space="preserve"> Care (PCC)</w:t>
      </w:r>
      <w:bookmarkEnd w:id="6"/>
    </w:p>
    <w:p w14:paraId="5553F1BF" w14:textId="42E4ABE8" w:rsidR="00B452A7" w:rsidRDefault="00000000">
      <w:r>
        <w:t>Person-</w:t>
      </w:r>
      <w:proofErr w:type="spellStart"/>
      <w:r>
        <w:t>Centred</w:t>
      </w:r>
      <w:proofErr w:type="spellEnd"/>
      <w:r>
        <w:t xml:space="preserve"> Care (PCC) is an interdisciplinary theory which considers individuals as self-governing persons, and not a care consumer (Santana et al., 2018). It all depends on what the theory observes and that is to know the need, preferences and values of such patients and make sure that the treatment is tailored and fits the specifics of the patient (Nilsen et al., 2021). PCC among the elderly, particularly in the dementia care facility not only assists in protecting the dignity of the elderly and guaranteeing their autonomy but also in addressing psychological and emotional issues that the elderly experience because of the cognitive impairment. </w:t>
      </w:r>
    </w:p>
    <w:p w14:paraId="106DFF56" w14:textId="2946CA9B" w:rsidR="00B452A7" w:rsidRDefault="00FA5C0A" w:rsidP="00FA5C0A">
      <w:pPr>
        <w:jc w:val="center"/>
      </w:pPr>
      <w:r>
        <w:rPr>
          <w:noProof/>
        </w:rPr>
        <w:drawing>
          <wp:inline distT="0" distB="0" distL="0" distR="0" wp14:anchorId="730ED470" wp14:editId="138F7CA4">
            <wp:extent cx="2089150" cy="2611438"/>
            <wp:effectExtent l="0" t="0" r="6350" b="0"/>
            <wp:docPr id="1187572996" name="Picture 3" descr="Person-Centred Care: What it means and why it matters | Skills for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erson-Centred Care: What it means and why it matters | Skills for Health"/>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90427" cy="2613034"/>
                    </a:xfrm>
                    <a:prstGeom prst="rect">
                      <a:avLst/>
                    </a:prstGeom>
                    <a:noFill/>
                    <a:ln>
                      <a:noFill/>
                    </a:ln>
                  </pic:spPr>
                </pic:pic>
              </a:graphicData>
            </a:graphic>
          </wp:inline>
        </w:drawing>
      </w:r>
    </w:p>
    <w:p w14:paraId="51A52BBC" w14:textId="1A740B25" w:rsidR="00FA5C0A" w:rsidRDefault="00FA5C0A" w:rsidP="00FA5C0A">
      <w:pPr>
        <w:pStyle w:val="Caption"/>
      </w:pPr>
      <w:r>
        <w:t xml:space="preserve">Figure </w:t>
      </w:r>
      <w:fldSimple w:instr=" SEQ Figure \* ARABIC ">
        <w:r>
          <w:rPr>
            <w:noProof/>
          </w:rPr>
          <w:t>3</w:t>
        </w:r>
      </w:fldSimple>
      <w:r>
        <w:t xml:space="preserve"> </w:t>
      </w:r>
      <w:r w:rsidRPr="00FA5C0A">
        <w:t>Person-</w:t>
      </w:r>
      <w:proofErr w:type="spellStart"/>
      <w:r w:rsidRPr="00FA5C0A">
        <w:t>Centred</w:t>
      </w:r>
      <w:proofErr w:type="spellEnd"/>
      <w:r w:rsidRPr="00FA5C0A">
        <w:t xml:space="preserve"> Care (PCC)</w:t>
      </w:r>
      <w:r>
        <w:t xml:space="preserve"> </w:t>
      </w:r>
      <w:r w:rsidRPr="00D97AAB">
        <w:t>(Skills for Health, 2025)</w:t>
      </w:r>
      <w:r>
        <w:t>.</w:t>
      </w:r>
    </w:p>
    <w:p w14:paraId="66E93CA3" w14:textId="229D6957" w:rsidR="00B452A7" w:rsidRDefault="00000000">
      <w:r>
        <w:t xml:space="preserve">PCC may also </w:t>
      </w:r>
      <w:r w:rsidR="000E5EFD">
        <w:t>be a possible</w:t>
      </w:r>
      <w:r>
        <w:t xml:space="preserve"> process in the dementia care homes </w:t>
      </w:r>
      <w:r w:rsidR="008239B0">
        <w:t>if</w:t>
      </w:r>
      <w:r>
        <w:t xml:space="preserve"> the different preferences and needs of the residents are highlighted (Byrne </w:t>
      </w:r>
      <w:proofErr w:type="gramStart"/>
      <w:r>
        <w:t>et al.,,</w:t>
      </w:r>
      <w:proofErr w:type="gramEnd"/>
      <w:r>
        <w:t xml:space="preserve"> 2020). The theory advances the </w:t>
      </w:r>
      <w:r>
        <w:lastRenderedPageBreak/>
        <w:t xml:space="preserve">argument that care ought to be </w:t>
      </w:r>
      <w:r w:rsidR="000E5EFD">
        <w:t>personalized</w:t>
      </w:r>
      <w:r>
        <w:t xml:space="preserve"> with choices made by individuals ought to be </w:t>
      </w:r>
      <w:r w:rsidR="000E5EFD">
        <w:t>honored</w:t>
      </w:r>
      <w:r>
        <w:t>, inculcated so that individuals ought to be self-reliant as well as provided a background in which to fulfill his needs physically, emotionally, as socially. Although Person-</w:t>
      </w:r>
      <w:proofErr w:type="spellStart"/>
      <w:r>
        <w:t>Centred</w:t>
      </w:r>
      <w:proofErr w:type="spellEnd"/>
      <w:r>
        <w:t xml:space="preserve"> Care has numerous advantages, in a dementia care facility it can be a challenging undertaking to be implemented (</w:t>
      </w:r>
      <w:proofErr w:type="spellStart"/>
      <w:r>
        <w:t>Wallström</w:t>
      </w:r>
      <w:proofErr w:type="spellEnd"/>
      <w:r>
        <w:t xml:space="preserve"> and Ekman, 2018). The professionals and caregivers could struggle with understanding the preferences of the patients in detail in case the individual has already reached the advanced phases of dementia and is not able to communicate with them anymore. </w:t>
      </w:r>
    </w:p>
    <w:p w14:paraId="1CC83479" w14:textId="77777777" w:rsidR="00B452A7" w:rsidRDefault="00000000">
      <w:r>
        <w:br w:type="page"/>
      </w:r>
    </w:p>
    <w:p w14:paraId="4791D814" w14:textId="77777777" w:rsidR="00B452A7" w:rsidRDefault="00000000">
      <w:pPr>
        <w:pStyle w:val="Heading1"/>
      </w:pPr>
      <w:bookmarkStart w:id="7" w:name="_jhvi685hvrza" w:colFirst="0" w:colLast="0"/>
      <w:bookmarkStart w:id="8" w:name="_Toc215966444"/>
      <w:bookmarkEnd w:id="7"/>
      <w:r>
        <w:lastRenderedPageBreak/>
        <w:t>Application in the Health and Social Care context</w:t>
      </w:r>
      <w:bookmarkEnd w:id="8"/>
      <w:r>
        <w:t xml:space="preserve"> </w:t>
      </w:r>
    </w:p>
    <w:p w14:paraId="411B541A" w14:textId="77777777" w:rsidR="00B452A7" w:rsidRDefault="00000000">
      <w:pPr>
        <w:pStyle w:val="Heading2"/>
      </w:pPr>
      <w:bookmarkStart w:id="9" w:name="_kb2ut75c2e6s" w:colFirst="0" w:colLast="0"/>
      <w:bookmarkStart w:id="10" w:name="_Toc215966445"/>
      <w:bookmarkEnd w:id="9"/>
      <w:r>
        <w:t>Critical Evaluation of Theories</w:t>
      </w:r>
      <w:bookmarkEnd w:id="10"/>
    </w:p>
    <w:p w14:paraId="5076454F" w14:textId="77777777" w:rsidR="00B452A7" w:rsidRDefault="00000000">
      <w:r>
        <w:t xml:space="preserve">The Cognitive </w:t>
      </w:r>
      <w:proofErr w:type="spellStart"/>
      <w:r>
        <w:t>Behavioural</w:t>
      </w:r>
      <w:proofErr w:type="spellEnd"/>
      <w:r>
        <w:t xml:space="preserve"> Theory (CBT) is very convenient in a dementia care setting where individuals are disoriented, nervous and depressed (Gardiner et al., 2020). It impacts the abnormal thinking models which are typically found with dementia, i.e. low self-image and having fear of losing self-sufficiency. The caregivers are also able to accept the application of the CBT practices in the dementia care home to ensure that the patients alter their negative cognitions through identification and restructuring (Goodman et al., 2016). To exemplify that example, a patient can be made to feel worthless by his/her inability to recall something, so it is possible to make this case rebranded by concentrating on the skills that he/she still can perform, and the strengths that he/she possessed in the past, and raise his/her self-esteem and prevent the depressive state.</w:t>
      </w:r>
    </w:p>
    <w:p w14:paraId="644DB5B3" w14:textId="09B9D176" w:rsidR="00B452A7" w:rsidRDefault="00FA5C0A" w:rsidP="00FA5C0A">
      <w:pPr>
        <w:pStyle w:val="Caption"/>
      </w:pPr>
      <w:r>
        <w:t xml:space="preserve">Table </w:t>
      </w:r>
      <w:fldSimple w:instr=" SEQ Table \* ARABIC ">
        <w:r>
          <w:rPr>
            <w:noProof/>
          </w:rPr>
          <w:t>1</w:t>
        </w:r>
      </w:fldSimple>
      <w:r>
        <w:t xml:space="preserve"> </w:t>
      </w:r>
      <w:r w:rsidRPr="00FB416D">
        <w:t>Application of Theories</w:t>
      </w:r>
    </w:p>
    <w:tbl>
      <w:tblPr>
        <w:tblStyle w:val="a"/>
        <w:tblW w:w="919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215"/>
        <w:gridCol w:w="3450"/>
        <w:gridCol w:w="4530"/>
      </w:tblGrid>
      <w:tr w:rsidR="00B452A7" w14:paraId="1BA8EA10" w14:textId="77777777">
        <w:trPr>
          <w:trHeight w:val="420"/>
        </w:trPr>
        <w:tc>
          <w:tcPr>
            <w:tcW w:w="1215" w:type="dxa"/>
            <w:tcBorders>
              <w:top w:val="nil"/>
              <w:left w:val="nil"/>
              <w:bottom w:val="single" w:sz="5" w:space="0" w:color="8EAADB"/>
              <w:right w:val="nil"/>
            </w:tcBorders>
            <w:shd w:val="clear" w:color="auto" w:fill="FFFFFF"/>
            <w:tcMar>
              <w:top w:w="0" w:type="dxa"/>
              <w:left w:w="100" w:type="dxa"/>
              <w:bottom w:w="0" w:type="dxa"/>
              <w:right w:w="100" w:type="dxa"/>
            </w:tcMar>
          </w:tcPr>
          <w:p w14:paraId="1440713E" w14:textId="77777777" w:rsidR="00B452A7" w:rsidRDefault="00000000">
            <w:pPr>
              <w:spacing w:before="240" w:after="160" w:line="256" w:lineRule="auto"/>
              <w:jc w:val="left"/>
              <w:rPr>
                <w:b/>
                <w:bCs/>
                <w:i/>
                <w:iCs/>
              </w:rPr>
            </w:pPr>
            <w:r>
              <w:rPr>
                <w:b/>
                <w:bCs/>
                <w:i/>
                <w:iCs/>
              </w:rPr>
              <w:t>Theory</w:t>
            </w:r>
          </w:p>
        </w:tc>
        <w:tc>
          <w:tcPr>
            <w:tcW w:w="3450" w:type="dxa"/>
            <w:tcBorders>
              <w:top w:val="nil"/>
              <w:left w:val="nil"/>
              <w:bottom w:val="single" w:sz="5" w:space="0" w:color="8EAADB"/>
              <w:right w:val="nil"/>
            </w:tcBorders>
            <w:shd w:val="clear" w:color="auto" w:fill="FFFFFF"/>
            <w:tcMar>
              <w:top w:w="0" w:type="dxa"/>
              <w:left w:w="100" w:type="dxa"/>
              <w:bottom w:w="0" w:type="dxa"/>
              <w:right w:w="100" w:type="dxa"/>
            </w:tcMar>
          </w:tcPr>
          <w:p w14:paraId="07450981" w14:textId="77777777" w:rsidR="00B452A7" w:rsidRDefault="00000000">
            <w:pPr>
              <w:spacing w:before="240" w:after="160" w:line="256" w:lineRule="auto"/>
              <w:rPr>
                <w:b/>
                <w:bCs/>
              </w:rPr>
            </w:pPr>
            <w:r>
              <w:rPr>
                <w:b/>
                <w:bCs/>
              </w:rPr>
              <w:t>Application in Dementia Care</w:t>
            </w:r>
          </w:p>
        </w:tc>
        <w:tc>
          <w:tcPr>
            <w:tcW w:w="4530" w:type="dxa"/>
            <w:tcBorders>
              <w:top w:val="nil"/>
              <w:left w:val="nil"/>
              <w:bottom w:val="single" w:sz="5" w:space="0" w:color="8EAADB"/>
              <w:right w:val="nil"/>
            </w:tcBorders>
            <w:shd w:val="clear" w:color="auto" w:fill="FFFFFF"/>
            <w:tcMar>
              <w:top w:w="0" w:type="dxa"/>
              <w:left w:w="100" w:type="dxa"/>
              <w:bottom w:w="0" w:type="dxa"/>
              <w:right w:w="100" w:type="dxa"/>
            </w:tcMar>
          </w:tcPr>
          <w:p w14:paraId="7E8A5341" w14:textId="77777777" w:rsidR="00B452A7" w:rsidRDefault="00000000">
            <w:pPr>
              <w:spacing w:before="240" w:after="160" w:line="256" w:lineRule="auto"/>
              <w:rPr>
                <w:b/>
                <w:bCs/>
              </w:rPr>
            </w:pPr>
            <w:r>
              <w:rPr>
                <w:b/>
                <w:bCs/>
              </w:rPr>
              <w:t>Practical Example</w:t>
            </w:r>
          </w:p>
        </w:tc>
      </w:tr>
      <w:tr w:rsidR="00B452A7" w14:paraId="172E685D" w14:textId="77777777">
        <w:trPr>
          <w:trHeight w:val="945"/>
        </w:trPr>
        <w:tc>
          <w:tcPr>
            <w:tcW w:w="1215" w:type="dxa"/>
            <w:tcBorders>
              <w:top w:val="nil"/>
              <w:left w:val="nil"/>
              <w:bottom w:val="nil"/>
              <w:right w:val="single" w:sz="5" w:space="0" w:color="8EAADB"/>
            </w:tcBorders>
            <w:shd w:val="clear" w:color="auto" w:fill="FFFFFF"/>
            <w:tcMar>
              <w:top w:w="0" w:type="dxa"/>
              <w:left w:w="100" w:type="dxa"/>
              <w:bottom w:w="0" w:type="dxa"/>
              <w:right w:w="100" w:type="dxa"/>
            </w:tcMar>
          </w:tcPr>
          <w:p w14:paraId="3A282E9F" w14:textId="77777777" w:rsidR="00B452A7" w:rsidRDefault="00000000">
            <w:pPr>
              <w:spacing w:before="240" w:after="160" w:line="256" w:lineRule="auto"/>
              <w:jc w:val="right"/>
              <w:rPr>
                <w:b/>
                <w:bCs/>
                <w:i/>
                <w:iCs/>
              </w:rPr>
            </w:pPr>
            <w:r>
              <w:rPr>
                <w:b/>
                <w:bCs/>
                <w:i/>
                <w:iCs/>
              </w:rPr>
              <w:t>CBT</w:t>
            </w:r>
          </w:p>
        </w:tc>
        <w:tc>
          <w:tcPr>
            <w:tcW w:w="3450" w:type="dxa"/>
            <w:tcBorders>
              <w:top w:val="nil"/>
              <w:left w:val="nil"/>
              <w:bottom w:val="single" w:sz="5" w:space="0" w:color="8EAADB"/>
              <w:right w:val="single" w:sz="5" w:space="0" w:color="8EAADB"/>
            </w:tcBorders>
            <w:shd w:val="clear" w:color="auto" w:fill="D9E2F3"/>
            <w:tcMar>
              <w:top w:w="0" w:type="dxa"/>
              <w:left w:w="100" w:type="dxa"/>
              <w:bottom w:w="0" w:type="dxa"/>
              <w:right w:w="100" w:type="dxa"/>
            </w:tcMar>
          </w:tcPr>
          <w:p w14:paraId="32915631" w14:textId="77777777" w:rsidR="00B452A7" w:rsidRDefault="00000000">
            <w:pPr>
              <w:spacing w:before="240" w:after="160" w:line="256" w:lineRule="auto"/>
            </w:pPr>
            <w:r>
              <w:t>Identifying and restructuring negative thought patterns.</w:t>
            </w:r>
          </w:p>
        </w:tc>
        <w:tc>
          <w:tcPr>
            <w:tcW w:w="4530" w:type="dxa"/>
            <w:tcBorders>
              <w:top w:val="nil"/>
              <w:left w:val="nil"/>
              <w:bottom w:val="single" w:sz="5" w:space="0" w:color="8EAADB"/>
              <w:right w:val="single" w:sz="5" w:space="0" w:color="8EAADB"/>
            </w:tcBorders>
            <w:shd w:val="clear" w:color="auto" w:fill="D9E2F3"/>
            <w:tcMar>
              <w:top w:w="0" w:type="dxa"/>
              <w:left w:w="100" w:type="dxa"/>
              <w:bottom w:w="0" w:type="dxa"/>
              <w:right w:w="100" w:type="dxa"/>
            </w:tcMar>
          </w:tcPr>
          <w:p w14:paraId="0CA453C5" w14:textId="77777777" w:rsidR="00B452A7" w:rsidRDefault="00000000">
            <w:pPr>
              <w:spacing w:before="240" w:after="160" w:line="256" w:lineRule="auto"/>
            </w:pPr>
            <w:r>
              <w:t>A patient fearing they are a burden might be encouraged to focus on small, positive actions and memories (Rababa et al., 2020).</w:t>
            </w:r>
          </w:p>
        </w:tc>
      </w:tr>
      <w:tr w:rsidR="00B452A7" w14:paraId="247286B7" w14:textId="77777777">
        <w:trPr>
          <w:trHeight w:val="945"/>
        </w:trPr>
        <w:tc>
          <w:tcPr>
            <w:tcW w:w="1215" w:type="dxa"/>
            <w:tcBorders>
              <w:top w:val="nil"/>
              <w:left w:val="nil"/>
              <w:bottom w:val="nil"/>
              <w:right w:val="single" w:sz="5" w:space="0" w:color="8EAADB"/>
            </w:tcBorders>
            <w:shd w:val="clear" w:color="auto" w:fill="FFFFFF"/>
            <w:tcMar>
              <w:top w:w="0" w:type="dxa"/>
              <w:left w:w="100" w:type="dxa"/>
              <w:bottom w:w="0" w:type="dxa"/>
              <w:right w:w="100" w:type="dxa"/>
            </w:tcMar>
          </w:tcPr>
          <w:p w14:paraId="6A66694F" w14:textId="77777777" w:rsidR="00B452A7" w:rsidRDefault="00000000">
            <w:pPr>
              <w:spacing w:before="240" w:after="160" w:line="256" w:lineRule="auto"/>
              <w:jc w:val="right"/>
              <w:rPr>
                <w:b/>
                <w:bCs/>
                <w:i/>
                <w:iCs/>
              </w:rPr>
            </w:pPr>
            <w:r>
              <w:rPr>
                <w:b/>
                <w:bCs/>
                <w:i/>
                <w:iCs/>
              </w:rPr>
              <w:t>PCC</w:t>
            </w:r>
          </w:p>
        </w:tc>
        <w:tc>
          <w:tcPr>
            <w:tcW w:w="3450" w:type="dxa"/>
            <w:tcBorders>
              <w:top w:val="nil"/>
              <w:left w:val="nil"/>
              <w:bottom w:val="single" w:sz="5" w:space="0" w:color="8EAADB"/>
              <w:right w:val="single" w:sz="5" w:space="0" w:color="8EAADB"/>
            </w:tcBorders>
            <w:tcMar>
              <w:top w:w="0" w:type="dxa"/>
              <w:left w:w="100" w:type="dxa"/>
              <w:bottom w:w="0" w:type="dxa"/>
              <w:right w:w="100" w:type="dxa"/>
            </w:tcMar>
          </w:tcPr>
          <w:p w14:paraId="75E2FE5F" w14:textId="77777777" w:rsidR="00B452A7" w:rsidRDefault="00000000">
            <w:pPr>
              <w:spacing w:before="240" w:after="160" w:line="256" w:lineRule="auto"/>
            </w:pPr>
            <w:r>
              <w:t>Tailoring care based on the individual’s history, preferences, and needs.</w:t>
            </w:r>
          </w:p>
        </w:tc>
        <w:tc>
          <w:tcPr>
            <w:tcW w:w="4530" w:type="dxa"/>
            <w:tcBorders>
              <w:top w:val="nil"/>
              <w:left w:val="nil"/>
              <w:bottom w:val="single" w:sz="5" w:space="0" w:color="8EAADB"/>
              <w:right w:val="single" w:sz="5" w:space="0" w:color="8EAADB"/>
            </w:tcBorders>
            <w:tcMar>
              <w:top w:w="0" w:type="dxa"/>
              <w:left w:w="100" w:type="dxa"/>
              <w:bottom w:w="0" w:type="dxa"/>
              <w:right w:w="100" w:type="dxa"/>
            </w:tcMar>
          </w:tcPr>
          <w:p w14:paraId="20457A53" w14:textId="77777777" w:rsidR="00B452A7" w:rsidRDefault="00000000">
            <w:pPr>
              <w:spacing w:before="240" w:after="160" w:line="256" w:lineRule="auto"/>
            </w:pPr>
            <w:r>
              <w:t>A resident who enjoyed gardening is encouraged to engage in small gardening activities (Gardiner et al., 2020).</w:t>
            </w:r>
          </w:p>
        </w:tc>
      </w:tr>
    </w:tbl>
    <w:p w14:paraId="58A6D5AC" w14:textId="77777777" w:rsidR="00B452A7" w:rsidRDefault="00B452A7"/>
    <w:p w14:paraId="1360145C" w14:textId="2CC21164" w:rsidR="00B452A7" w:rsidRDefault="00000000">
      <w:r>
        <w:t>In its turn, Person-</w:t>
      </w:r>
      <w:r w:rsidR="000E5EFD">
        <w:t>Centered</w:t>
      </w:r>
      <w:r>
        <w:t xml:space="preserve"> Care (PCC) is based on the need to consider the individuality of a person, independence and the involvement of the patients into </w:t>
      </w:r>
      <w:r w:rsidR="000E5EFD">
        <w:t>meaningful</w:t>
      </w:r>
      <w:r>
        <w:t xml:space="preserve"> actions (Santana et al., 2018). PCC would advise care providers of dementia care home to learn more about the personal history, preferences, or dislikes of an individual resident and use these in daily care schedules. An example that </w:t>
      </w:r>
      <w:r w:rsidR="000E5EFD">
        <w:t>maybe</w:t>
      </w:r>
      <w:r>
        <w:t xml:space="preserve"> had is a resident who liked gardening, to ask him/her to do some </w:t>
      </w:r>
      <w:r w:rsidR="000E5EFD">
        <w:t>low-level</w:t>
      </w:r>
      <w:r>
        <w:t xml:space="preserve"> gardening, not only to avail the </w:t>
      </w:r>
      <w:r w:rsidR="008239B0">
        <w:t>residents</w:t>
      </w:r>
      <w:r>
        <w:t xml:space="preserve"> of the previous pursuit, but to give him/her a sense of accomplishment, a </w:t>
      </w:r>
      <w:r w:rsidR="000E5EFD">
        <w:t>lift</w:t>
      </w:r>
      <w:r>
        <w:t xml:space="preserve"> of his/her mood, and the surroundings (</w:t>
      </w:r>
      <w:proofErr w:type="spellStart"/>
      <w:r>
        <w:t>Andas</w:t>
      </w:r>
      <w:proofErr w:type="spellEnd"/>
      <w:r>
        <w:t xml:space="preserve"> et al., 2025). By concurrently applying the two theories, they would not only react to cognitive needs of the dementia patients, but also on emotional and psychological problems and ultimately enhance their level of life.</w:t>
      </w:r>
    </w:p>
    <w:p w14:paraId="67F9BDF9" w14:textId="77777777" w:rsidR="00B452A7" w:rsidRDefault="00000000">
      <w:pPr>
        <w:pStyle w:val="Heading2"/>
      </w:pPr>
      <w:bookmarkStart w:id="11" w:name="_ajigq6om3ajy" w:colFirst="0" w:colLast="0"/>
      <w:bookmarkStart w:id="12" w:name="_Toc215966446"/>
      <w:bookmarkEnd w:id="11"/>
      <w:r>
        <w:lastRenderedPageBreak/>
        <w:t>Potential Challenges for Professionals</w:t>
      </w:r>
      <w:bookmarkEnd w:id="12"/>
    </w:p>
    <w:p w14:paraId="72F9EE44" w14:textId="2F92BDC9" w:rsidR="00B452A7" w:rsidRDefault="00000000">
      <w:r>
        <w:t xml:space="preserve">CBT and PCC display a set of seemingly available advantages, but there are impediments to both methods in the treatment of dementia (Ekman et al., 2021). It is also one of the primary challenges of the case involving CBT, as the cognitive impairments the patients face. The fact can be that the patient will not be able to </w:t>
      </w:r>
      <w:r w:rsidR="000E5EFD">
        <w:t>utilize</w:t>
      </w:r>
      <w:r>
        <w:t xml:space="preserve"> cognitive restructuring or even be able to appreciate the interdependence of the thoughts and feelings to </w:t>
      </w:r>
      <w:r w:rsidR="008239B0">
        <w:t>act</w:t>
      </w:r>
      <w:r>
        <w:t xml:space="preserve"> as an increased degree of dementia can be encountered. This renders the traditional concepts of CBT to be rendered useless unless considerable modification of significant magnitude is undertaken. The barriers to communication are also among the threats in the case involving PCC since there are possibilities that the dementia patients are unable to communicate their needs and preferences. Beyond this, the caregivers may not always find the time and the resources to get </w:t>
      </w:r>
      <w:r w:rsidR="000E5EFD">
        <w:t>familiarized</w:t>
      </w:r>
      <w:r>
        <w:t xml:space="preserve"> with the background or preferences of each person in larger care facilities.</w:t>
      </w:r>
    </w:p>
    <w:p w14:paraId="7936ADB9" w14:textId="65A6A571" w:rsidR="00B452A7" w:rsidRDefault="00FA5C0A" w:rsidP="00FA5C0A">
      <w:pPr>
        <w:pStyle w:val="Caption"/>
      </w:pPr>
      <w:r>
        <w:t xml:space="preserve">Table </w:t>
      </w:r>
      <w:fldSimple w:instr=" SEQ Table \* ARABIC ">
        <w:r>
          <w:rPr>
            <w:noProof/>
          </w:rPr>
          <w:t>2</w:t>
        </w:r>
      </w:fldSimple>
      <w:r>
        <w:t xml:space="preserve"> </w:t>
      </w:r>
      <w:r w:rsidRPr="006B6405">
        <w:t>Potential Challenges for Professionals</w:t>
      </w:r>
    </w:p>
    <w:tbl>
      <w:tblPr>
        <w:tblStyle w:val="a0"/>
        <w:tblW w:w="9359"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542"/>
        <w:gridCol w:w="6817"/>
      </w:tblGrid>
      <w:tr w:rsidR="00B452A7" w14:paraId="608BF43C" w14:textId="77777777">
        <w:trPr>
          <w:trHeight w:val="420"/>
        </w:trPr>
        <w:tc>
          <w:tcPr>
            <w:tcW w:w="2542" w:type="dxa"/>
            <w:tcBorders>
              <w:top w:val="nil"/>
              <w:left w:val="nil"/>
              <w:bottom w:val="single" w:sz="5" w:space="0" w:color="8EAADB"/>
              <w:right w:val="nil"/>
            </w:tcBorders>
            <w:shd w:val="clear" w:color="auto" w:fill="FFFFFF"/>
            <w:tcMar>
              <w:top w:w="0" w:type="dxa"/>
              <w:left w:w="100" w:type="dxa"/>
              <w:bottom w:w="0" w:type="dxa"/>
              <w:right w:w="100" w:type="dxa"/>
            </w:tcMar>
          </w:tcPr>
          <w:p w14:paraId="41B37856" w14:textId="77777777" w:rsidR="00B452A7" w:rsidRDefault="00000000">
            <w:pPr>
              <w:spacing w:before="240" w:after="160" w:line="256" w:lineRule="auto"/>
              <w:jc w:val="left"/>
              <w:rPr>
                <w:b/>
                <w:bCs/>
                <w:i/>
                <w:iCs/>
              </w:rPr>
            </w:pPr>
            <w:r>
              <w:rPr>
                <w:b/>
                <w:bCs/>
                <w:i/>
                <w:iCs/>
              </w:rPr>
              <w:t>Challenge</w:t>
            </w:r>
          </w:p>
        </w:tc>
        <w:tc>
          <w:tcPr>
            <w:tcW w:w="6817" w:type="dxa"/>
            <w:tcBorders>
              <w:top w:val="nil"/>
              <w:left w:val="nil"/>
              <w:bottom w:val="single" w:sz="5" w:space="0" w:color="8EAADB"/>
              <w:right w:val="nil"/>
            </w:tcBorders>
            <w:shd w:val="clear" w:color="auto" w:fill="FFFFFF"/>
            <w:tcMar>
              <w:top w:w="0" w:type="dxa"/>
              <w:left w:w="100" w:type="dxa"/>
              <w:bottom w:w="0" w:type="dxa"/>
              <w:right w:w="100" w:type="dxa"/>
            </w:tcMar>
          </w:tcPr>
          <w:p w14:paraId="1D1C44E6" w14:textId="77777777" w:rsidR="00B452A7" w:rsidRDefault="00000000">
            <w:pPr>
              <w:spacing w:before="240" w:after="160" w:line="256" w:lineRule="auto"/>
              <w:rPr>
                <w:b/>
                <w:bCs/>
              </w:rPr>
            </w:pPr>
            <w:r>
              <w:rPr>
                <w:b/>
                <w:bCs/>
              </w:rPr>
              <w:t>Strategy to Manage</w:t>
            </w:r>
          </w:p>
        </w:tc>
      </w:tr>
      <w:tr w:rsidR="00B452A7" w14:paraId="581B8023" w14:textId="77777777">
        <w:trPr>
          <w:trHeight w:val="690"/>
        </w:trPr>
        <w:tc>
          <w:tcPr>
            <w:tcW w:w="2542" w:type="dxa"/>
            <w:tcBorders>
              <w:top w:val="nil"/>
              <w:left w:val="nil"/>
              <w:bottom w:val="nil"/>
              <w:right w:val="single" w:sz="5" w:space="0" w:color="8EAADB"/>
            </w:tcBorders>
            <w:shd w:val="clear" w:color="auto" w:fill="FFFFFF"/>
            <w:tcMar>
              <w:top w:w="0" w:type="dxa"/>
              <w:left w:w="100" w:type="dxa"/>
              <w:bottom w:w="0" w:type="dxa"/>
              <w:right w:w="100" w:type="dxa"/>
            </w:tcMar>
          </w:tcPr>
          <w:p w14:paraId="742582FA" w14:textId="77777777" w:rsidR="00B452A7" w:rsidRDefault="00000000">
            <w:pPr>
              <w:spacing w:before="240" w:after="160" w:line="256" w:lineRule="auto"/>
              <w:jc w:val="right"/>
              <w:rPr>
                <w:i/>
                <w:iCs/>
              </w:rPr>
            </w:pPr>
            <w:r>
              <w:rPr>
                <w:i/>
                <w:iCs/>
              </w:rPr>
              <w:t>Cognitive impairments make CBT less effective.</w:t>
            </w:r>
          </w:p>
        </w:tc>
        <w:tc>
          <w:tcPr>
            <w:tcW w:w="6817" w:type="dxa"/>
            <w:tcBorders>
              <w:top w:val="nil"/>
              <w:left w:val="nil"/>
              <w:bottom w:val="single" w:sz="5" w:space="0" w:color="8EAADB"/>
              <w:right w:val="single" w:sz="5" w:space="0" w:color="8EAADB"/>
            </w:tcBorders>
            <w:shd w:val="clear" w:color="auto" w:fill="D9E2F3"/>
            <w:tcMar>
              <w:top w:w="0" w:type="dxa"/>
              <w:left w:w="100" w:type="dxa"/>
              <w:bottom w:w="0" w:type="dxa"/>
              <w:right w:w="100" w:type="dxa"/>
            </w:tcMar>
          </w:tcPr>
          <w:p w14:paraId="5E1EA136" w14:textId="77777777" w:rsidR="00B452A7" w:rsidRDefault="00000000">
            <w:pPr>
              <w:spacing w:before="240" w:after="160" w:line="256" w:lineRule="auto"/>
            </w:pPr>
            <w:r>
              <w:t>Use simplified exercises, visual aids, and regular short sessions with achievable goals.</w:t>
            </w:r>
          </w:p>
        </w:tc>
      </w:tr>
      <w:tr w:rsidR="00B452A7" w14:paraId="0DCABBBE" w14:textId="77777777">
        <w:trPr>
          <w:trHeight w:val="690"/>
        </w:trPr>
        <w:tc>
          <w:tcPr>
            <w:tcW w:w="2542" w:type="dxa"/>
            <w:tcBorders>
              <w:top w:val="nil"/>
              <w:left w:val="nil"/>
              <w:bottom w:val="nil"/>
              <w:right w:val="single" w:sz="5" w:space="0" w:color="8EAADB"/>
            </w:tcBorders>
            <w:shd w:val="clear" w:color="auto" w:fill="FFFFFF"/>
            <w:tcMar>
              <w:top w:w="0" w:type="dxa"/>
              <w:left w:w="100" w:type="dxa"/>
              <w:bottom w:w="0" w:type="dxa"/>
              <w:right w:w="100" w:type="dxa"/>
            </w:tcMar>
          </w:tcPr>
          <w:p w14:paraId="320FB1A8" w14:textId="77777777" w:rsidR="00B452A7" w:rsidRDefault="00000000">
            <w:pPr>
              <w:spacing w:before="240" w:after="160" w:line="256" w:lineRule="auto"/>
              <w:jc w:val="right"/>
              <w:rPr>
                <w:i/>
                <w:iCs/>
              </w:rPr>
            </w:pPr>
            <w:r>
              <w:rPr>
                <w:i/>
                <w:iCs/>
              </w:rPr>
              <w:t>Communication barriers in PCC.</w:t>
            </w:r>
          </w:p>
        </w:tc>
        <w:tc>
          <w:tcPr>
            <w:tcW w:w="6817" w:type="dxa"/>
            <w:tcBorders>
              <w:top w:val="nil"/>
              <w:left w:val="nil"/>
              <w:bottom w:val="single" w:sz="5" w:space="0" w:color="8EAADB"/>
              <w:right w:val="single" w:sz="5" w:space="0" w:color="8EAADB"/>
            </w:tcBorders>
            <w:tcMar>
              <w:top w:w="0" w:type="dxa"/>
              <w:left w:w="100" w:type="dxa"/>
              <w:bottom w:w="0" w:type="dxa"/>
              <w:right w:w="100" w:type="dxa"/>
            </w:tcMar>
          </w:tcPr>
          <w:p w14:paraId="1F1F45F0" w14:textId="77777777" w:rsidR="00B452A7" w:rsidRDefault="00000000">
            <w:pPr>
              <w:spacing w:before="240" w:after="160" w:line="256" w:lineRule="auto"/>
            </w:pPr>
            <w:r>
              <w:t>Involve family, use personal history records, and train staff in dementia-specific communication techniques (Ahmed et al., 2022).</w:t>
            </w:r>
          </w:p>
        </w:tc>
      </w:tr>
    </w:tbl>
    <w:p w14:paraId="35911A4D" w14:textId="77777777" w:rsidR="00B452A7" w:rsidRDefault="00B452A7"/>
    <w:p w14:paraId="1AAAD13E" w14:textId="0CB56DF8" w:rsidR="00B452A7" w:rsidRDefault="00000000">
      <w:r>
        <w:t xml:space="preserve">To eliminate such problems with CBT, Professionals can use these simple exercises and visual aids, which will enable patients to become a member of the treatment. An improved schedule consisting of less demanding and simple goals might also be better (Nilsen et al., 2021). In the case of PCC, a Caregiver should not forego the family contribution and record the making of a personal history to establish the wish of the patient in offering care that is particular to him or her. The staff training on the techniques of communication peculiar to dementia can improve the life of patients and make the quality of their care better. The professionals will be able to support geriatric patients and deliver better </w:t>
      </w:r>
      <w:r w:rsidR="008239B0">
        <w:t>results</w:t>
      </w:r>
      <w:r>
        <w:t xml:space="preserve"> in psychological health and </w:t>
      </w:r>
      <w:r w:rsidR="000E5EFD">
        <w:t>behaviors</w:t>
      </w:r>
      <w:r>
        <w:t xml:space="preserve"> once these theories are modified to meet the needs of the </w:t>
      </w:r>
      <w:proofErr w:type="gramStart"/>
      <w:r>
        <w:t>particular dementia</w:t>
      </w:r>
      <w:proofErr w:type="gramEnd"/>
      <w:r>
        <w:t xml:space="preserve"> case.</w:t>
      </w:r>
    </w:p>
    <w:p w14:paraId="262A0620" w14:textId="77777777" w:rsidR="00B452A7" w:rsidRDefault="00B452A7"/>
    <w:p w14:paraId="3539C1DB" w14:textId="77777777" w:rsidR="00B452A7" w:rsidRDefault="00B452A7"/>
    <w:p w14:paraId="03CECC4C" w14:textId="77777777" w:rsidR="00B452A7" w:rsidRDefault="00000000">
      <w:r>
        <w:br w:type="page"/>
      </w:r>
    </w:p>
    <w:p w14:paraId="2F803C01" w14:textId="77777777" w:rsidR="00B452A7" w:rsidRDefault="00000000">
      <w:pPr>
        <w:pStyle w:val="Heading1"/>
      </w:pPr>
      <w:bookmarkStart w:id="13" w:name="_zij3fjlnq1cl" w:colFirst="0" w:colLast="0"/>
      <w:bookmarkStart w:id="14" w:name="_Toc215966447"/>
      <w:bookmarkEnd w:id="13"/>
      <w:r>
        <w:lastRenderedPageBreak/>
        <w:t>Conclusion</w:t>
      </w:r>
      <w:bookmarkEnd w:id="14"/>
    </w:p>
    <w:p w14:paraId="658AB546" w14:textId="6DD4CD33" w:rsidR="00B452A7" w:rsidRDefault="00000000">
      <w:r>
        <w:t xml:space="preserve">The psychological interventions that are equally relevant during the process of assisting geriatric individuals within the dementia care facilities include Cognitive </w:t>
      </w:r>
      <w:r w:rsidR="000E5EFD">
        <w:t>Behavioral</w:t>
      </w:r>
      <w:r>
        <w:t xml:space="preserve"> Theory (CBT) and Person-</w:t>
      </w:r>
      <w:r w:rsidR="000E5EFD">
        <w:t>Centered</w:t>
      </w:r>
      <w:r>
        <w:t xml:space="preserve"> Care (PCC). CBT might be employed in reducing the anxiety and depressive circumstances, negative thinking style and RFC might be employed in order to render the care more accommodating to the needs and likes and a biography of the life that would be dignified and wellness of life. Despite the fact that any patient with dementia is associated with such mental and behavioral problems as anxiety, depression, or autonomy deficit, the theories can be applied efficiently in this case. The option of CBT and PCC use as an adjunct to dementia treatment may also be viewed in the future study to enhance their availability. Also, studies can be further conducted to how such theories can be mentored and nurtured to ensure that the care givers are able to apply the same.</w:t>
      </w:r>
    </w:p>
    <w:p w14:paraId="15592024" w14:textId="4525CA13" w:rsidR="00FA5C0A" w:rsidRDefault="00FA5C0A">
      <w:r>
        <w:br w:type="page"/>
      </w:r>
    </w:p>
    <w:p w14:paraId="55C61591" w14:textId="50DD63B9" w:rsidR="00B452A7" w:rsidRDefault="00FA5C0A" w:rsidP="00FA5C0A">
      <w:pPr>
        <w:pStyle w:val="Heading1"/>
      </w:pPr>
      <w:bookmarkStart w:id="15" w:name="_Toc215966448"/>
      <w:r>
        <w:lastRenderedPageBreak/>
        <w:t>References</w:t>
      </w:r>
      <w:bookmarkEnd w:id="15"/>
    </w:p>
    <w:p w14:paraId="2F0B7B3F" w14:textId="77777777" w:rsidR="00FA5C0A" w:rsidRPr="00FA5C0A" w:rsidRDefault="00FA5C0A" w:rsidP="00FA5C0A">
      <w:pPr>
        <w:rPr>
          <w:lang w:val="en-GB"/>
        </w:rPr>
      </w:pPr>
      <w:proofErr w:type="spellStart"/>
      <w:r w:rsidRPr="00FA5C0A">
        <w:rPr>
          <w:lang w:val="en-GB"/>
        </w:rPr>
        <w:t>Adefolalu</w:t>
      </w:r>
      <w:proofErr w:type="spellEnd"/>
      <w:r w:rsidRPr="00FA5C0A">
        <w:rPr>
          <w:lang w:val="en-GB"/>
        </w:rPr>
        <w:t xml:space="preserve">, A.O. (2018). Cognitive-behavioural theories and adherence: Application and relevance in antiretroviral therapy. </w:t>
      </w:r>
      <w:r w:rsidRPr="00FA5C0A">
        <w:rPr>
          <w:i/>
          <w:iCs/>
          <w:lang w:val="en-GB"/>
        </w:rPr>
        <w:t>Southern African Journal of HIV Medicine</w:t>
      </w:r>
      <w:r w:rsidRPr="00FA5C0A">
        <w:rPr>
          <w:lang w:val="en-GB"/>
        </w:rPr>
        <w:t xml:space="preserve">, 19(1). </w:t>
      </w:r>
      <w:proofErr w:type="spellStart"/>
      <w:r w:rsidRPr="00FA5C0A">
        <w:rPr>
          <w:lang w:val="en-GB"/>
        </w:rPr>
        <w:t>doi:https</w:t>
      </w:r>
      <w:proofErr w:type="spellEnd"/>
      <w:r w:rsidRPr="00FA5C0A">
        <w:rPr>
          <w:lang w:val="en-GB"/>
        </w:rPr>
        <w:t>://doi.org/10.4102/sajhivmed.v19i1.762.</w:t>
      </w:r>
    </w:p>
    <w:p w14:paraId="6683F6CD" w14:textId="77777777" w:rsidR="00FA5C0A" w:rsidRPr="00FA5C0A" w:rsidRDefault="00FA5C0A" w:rsidP="00FA5C0A">
      <w:pPr>
        <w:rPr>
          <w:lang w:val="en-GB"/>
        </w:rPr>
      </w:pPr>
      <w:r w:rsidRPr="00FA5C0A">
        <w:rPr>
          <w:lang w:val="en-GB"/>
        </w:rPr>
        <w:t xml:space="preserve">Ahmed, A., </w:t>
      </w:r>
      <w:proofErr w:type="spellStart"/>
      <w:r w:rsidRPr="00FA5C0A">
        <w:rPr>
          <w:lang w:val="en-GB"/>
        </w:rPr>
        <w:t>Muijsenbergh</w:t>
      </w:r>
      <w:proofErr w:type="spellEnd"/>
      <w:r w:rsidRPr="00FA5C0A">
        <w:rPr>
          <w:lang w:val="en-GB"/>
        </w:rPr>
        <w:t xml:space="preserve">, M.E.T.C. van den and </w:t>
      </w:r>
      <w:proofErr w:type="spellStart"/>
      <w:r w:rsidRPr="00FA5C0A">
        <w:rPr>
          <w:lang w:val="en-GB"/>
        </w:rPr>
        <w:t>Vrijhoef</w:t>
      </w:r>
      <w:proofErr w:type="spellEnd"/>
      <w:r w:rsidRPr="00FA5C0A">
        <w:rPr>
          <w:lang w:val="en-GB"/>
        </w:rPr>
        <w:t>, H.J.M. (2022). Person</w:t>
      </w:r>
      <w:r w:rsidRPr="00FA5C0A">
        <w:rPr>
          <w:rFonts w:ascii="Cambria Math" w:hAnsi="Cambria Math" w:cs="Cambria Math"/>
          <w:lang w:val="en-GB"/>
        </w:rPr>
        <w:t>‐</w:t>
      </w:r>
      <w:r w:rsidRPr="00FA5C0A">
        <w:rPr>
          <w:lang w:val="en-GB"/>
        </w:rPr>
        <w:t xml:space="preserve">centred Care in Primary care: What Works for whom, How and in What circumstances? </w:t>
      </w:r>
      <w:r w:rsidRPr="00FA5C0A">
        <w:rPr>
          <w:i/>
          <w:iCs/>
          <w:lang w:val="en-GB"/>
        </w:rPr>
        <w:t>Health &amp; Social Care in the Community</w:t>
      </w:r>
      <w:r w:rsidRPr="00FA5C0A">
        <w:rPr>
          <w:lang w:val="en-GB"/>
        </w:rPr>
        <w:t>, [online] 30(6). Available at: https://onlinelibrary.wiley.com/doi/full/10.1111/hsc.13913.</w:t>
      </w:r>
    </w:p>
    <w:p w14:paraId="6FA00B49" w14:textId="77777777" w:rsidR="00FA5C0A" w:rsidRPr="00FA5C0A" w:rsidRDefault="00FA5C0A" w:rsidP="00FA5C0A">
      <w:pPr>
        <w:rPr>
          <w:lang w:val="en-GB"/>
        </w:rPr>
      </w:pPr>
      <w:proofErr w:type="spellStart"/>
      <w:r w:rsidRPr="00FA5C0A">
        <w:rPr>
          <w:lang w:val="en-GB"/>
        </w:rPr>
        <w:t>Andas</w:t>
      </w:r>
      <w:proofErr w:type="spellEnd"/>
      <w:r w:rsidRPr="00FA5C0A">
        <w:rPr>
          <w:lang w:val="en-GB"/>
        </w:rPr>
        <w:t xml:space="preserve">, A.M., </w:t>
      </w:r>
      <w:proofErr w:type="spellStart"/>
      <w:r w:rsidRPr="00FA5C0A">
        <w:rPr>
          <w:lang w:val="en-GB"/>
        </w:rPr>
        <w:t>Puspitasari</w:t>
      </w:r>
      <w:proofErr w:type="spellEnd"/>
      <w:r w:rsidRPr="00FA5C0A">
        <w:rPr>
          <w:lang w:val="en-GB"/>
        </w:rPr>
        <w:t xml:space="preserve">, I., </w:t>
      </w:r>
      <w:proofErr w:type="spellStart"/>
      <w:r w:rsidRPr="00FA5C0A">
        <w:rPr>
          <w:lang w:val="en-GB"/>
        </w:rPr>
        <w:t>Reskiadin</w:t>
      </w:r>
      <w:proofErr w:type="spellEnd"/>
      <w:r w:rsidRPr="00FA5C0A">
        <w:rPr>
          <w:lang w:val="en-GB"/>
        </w:rPr>
        <w:t xml:space="preserve">, L.O., </w:t>
      </w:r>
      <w:proofErr w:type="spellStart"/>
      <w:r w:rsidRPr="00FA5C0A">
        <w:rPr>
          <w:lang w:val="en-GB"/>
        </w:rPr>
        <w:t>Romantika</w:t>
      </w:r>
      <w:proofErr w:type="spellEnd"/>
      <w:r w:rsidRPr="00FA5C0A">
        <w:rPr>
          <w:lang w:val="en-GB"/>
        </w:rPr>
        <w:t xml:space="preserve">, I.W., Netty </w:t>
      </w:r>
      <w:proofErr w:type="spellStart"/>
      <w:r w:rsidRPr="00FA5C0A">
        <w:rPr>
          <w:lang w:val="en-GB"/>
        </w:rPr>
        <w:t>Huzniati</w:t>
      </w:r>
      <w:proofErr w:type="spellEnd"/>
      <w:r w:rsidRPr="00FA5C0A">
        <w:rPr>
          <w:lang w:val="en-GB"/>
        </w:rPr>
        <w:t xml:space="preserve"> </w:t>
      </w:r>
      <w:proofErr w:type="spellStart"/>
      <w:r w:rsidRPr="00FA5C0A">
        <w:rPr>
          <w:lang w:val="en-GB"/>
        </w:rPr>
        <w:t>Andas</w:t>
      </w:r>
      <w:proofErr w:type="spellEnd"/>
      <w:r w:rsidRPr="00FA5C0A">
        <w:rPr>
          <w:lang w:val="en-GB"/>
        </w:rPr>
        <w:t xml:space="preserve"> and </w:t>
      </w:r>
      <w:proofErr w:type="spellStart"/>
      <w:r w:rsidRPr="00FA5C0A">
        <w:rPr>
          <w:lang w:val="en-GB"/>
        </w:rPr>
        <w:t>Maratun</w:t>
      </w:r>
      <w:proofErr w:type="spellEnd"/>
      <w:r w:rsidRPr="00FA5C0A">
        <w:rPr>
          <w:lang w:val="en-GB"/>
        </w:rPr>
        <w:t xml:space="preserve"> </w:t>
      </w:r>
      <w:proofErr w:type="spellStart"/>
      <w:r w:rsidRPr="00FA5C0A">
        <w:rPr>
          <w:lang w:val="en-GB"/>
        </w:rPr>
        <w:t>Shoaliha</w:t>
      </w:r>
      <w:proofErr w:type="spellEnd"/>
      <w:r w:rsidRPr="00FA5C0A">
        <w:rPr>
          <w:lang w:val="en-GB"/>
        </w:rPr>
        <w:t xml:space="preserve"> (2025). The Role of Cognitive Behavioural Therapy in Enhancing Mental Health and Reducing Loneliness among Nursing Home Residents. </w:t>
      </w:r>
      <w:r w:rsidRPr="00FA5C0A">
        <w:rPr>
          <w:i/>
          <w:iCs/>
          <w:lang w:val="en-GB"/>
        </w:rPr>
        <w:t>The Malaysian Journal of Nursing</w:t>
      </w:r>
      <w:r w:rsidRPr="00FA5C0A">
        <w:rPr>
          <w:lang w:val="en-GB"/>
        </w:rPr>
        <w:t xml:space="preserve">, 16(04), pp.102–111. </w:t>
      </w:r>
      <w:proofErr w:type="spellStart"/>
      <w:r w:rsidRPr="00FA5C0A">
        <w:rPr>
          <w:lang w:val="en-GB"/>
        </w:rPr>
        <w:t>doi:https</w:t>
      </w:r>
      <w:proofErr w:type="spellEnd"/>
      <w:r w:rsidRPr="00FA5C0A">
        <w:rPr>
          <w:lang w:val="en-GB"/>
        </w:rPr>
        <w:t>://doi.org/10.31674/mjn.2025.v16i04.010.</w:t>
      </w:r>
    </w:p>
    <w:p w14:paraId="69DDD02D" w14:textId="77777777" w:rsidR="00FA5C0A" w:rsidRPr="00FA5C0A" w:rsidRDefault="00FA5C0A" w:rsidP="00FA5C0A">
      <w:pPr>
        <w:rPr>
          <w:lang w:val="en-GB"/>
        </w:rPr>
      </w:pPr>
      <w:r w:rsidRPr="00FA5C0A">
        <w:rPr>
          <w:lang w:val="en-GB"/>
        </w:rPr>
        <w:t xml:space="preserve">Byrne, A.-L., Baldwin, A. and Harvey, C. (2020). Whose Centre Is It anyway? Defining person-centred Care in nursing: an Integrative Review. </w:t>
      </w:r>
      <w:r w:rsidRPr="00FA5C0A">
        <w:rPr>
          <w:i/>
          <w:iCs/>
          <w:lang w:val="en-GB"/>
        </w:rPr>
        <w:t>PLOS ONE</w:t>
      </w:r>
      <w:r w:rsidRPr="00FA5C0A">
        <w:rPr>
          <w:lang w:val="en-GB"/>
        </w:rPr>
        <w:t>, 15(3).</w:t>
      </w:r>
    </w:p>
    <w:p w14:paraId="7D883479" w14:textId="77777777" w:rsidR="00FA5C0A" w:rsidRPr="00FA5C0A" w:rsidRDefault="00FA5C0A" w:rsidP="00FA5C0A">
      <w:pPr>
        <w:rPr>
          <w:lang w:val="en-GB"/>
        </w:rPr>
      </w:pPr>
      <w:r w:rsidRPr="00FA5C0A">
        <w:rPr>
          <w:lang w:val="en-GB"/>
        </w:rPr>
        <w:t xml:space="preserve">Care UK (2025). </w:t>
      </w:r>
      <w:r w:rsidRPr="00FA5C0A">
        <w:rPr>
          <w:i/>
          <w:iCs/>
          <w:lang w:val="en-GB"/>
        </w:rPr>
        <w:t>What are the benefits of care homes for people living with dementia? | Care UK</w:t>
      </w:r>
      <w:r w:rsidRPr="00FA5C0A">
        <w:rPr>
          <w:lang w:val="en-GB"/>
        </w:rPr>
        <w:t>. [online] www.careuk.com. Available at: https://www.careuk.com/help-advice/benefits-of-care-home-for-people-with-dementia [Accessed 7 Dec. 2025].</w:t>
      </w:r>
    </w:p>
    <w:p w14:paraId="6D51F5E6" w14:textId="77777777" w:rsidR="00FA5C0A" w:rsidRPr="00FA5C0A" w:rsidRDefault="00FA5C0A" w:rsidP="00FA5C0A">
      <w:pPr>
        <w:rPr>
          <w:lang w:val="en-GB"/>
        </w:rPr>
      </w:pPr>
      <w:r w:rsidRPr="00FA5C0A">
        <w:rPr>
          <w:lang w:val="en-GB"/>
        </w:rPr>
        <w:t xml:space="preserve">Ekman, I., Ebrahimi, Z. and Olaya Contreras, P. (2021). Person-centred care: looking back, looking forward. </w:t>
      </w:r>
      <w:r w:rsidRPr="00FA5C0A">
        <w:rPr>
          <w:i/>
          <w:iCs/>
          <w:lang w:val="en-GB"/>
        </w:rPr>
        <w:t>European Journal of Cardiovascular Nursing</w:t>
      </w:r>
      <w:r w:rsidRPr="00FA5C0A">
        <w:rPr>
          <w:lang w:val="en-GB"/>
        </w:rPr>
        <w:t xml:space="preserve">, [online] 20(2), pp.93–95. </w:t>
      </w:r>
      <w:proofErr w:type="spellStart"/>
      <w:r w:rsidRPr="00FA5C0A">
        <w:rPr>
          <w:lang w:val="en-GB"/>
        </w:rPr>
        <w:t>doi:https</w:t>
      </w:r>
      <w:proofErr w:type="spellEnd"/>
      <w:r w:rsidRPr="00FA5C0A">
        <w:rPr>
          <w:lang w:val="en-GB"/>
        </w:rPr>
        <w:t>://doi.org/10.1093/</w:t>
      </w:r>
      <w:proofErr w:type="spellStart"/>
      <w:r w:rsidRPr="00FA5C0A">
        <w:rPr>
          <w:lang w:val="en-GB"/>
        </w:rPr>
        <w:t>eurjcn</w:t>
      </w:r>
      <w:proofErr w:type="spellEnd"/>
      <w:r w:rsidRPr="00FA5C0A">
        <w:rPr>
          <w:lang w:val="en-GB"/>
        </w:rPr>
        <w:t>/zvaa025.</w:t>
      </w:r>
    </w:p>
    <w:p w14:paraId="7C5360C7" w14:textId="77777777" w:rsidR="00FA5C0A" w:rsidRPr="00FA5C0A" w:rsidRDefault="00FA5C0A" w:rsidP="00FA5C0A">
      <w:pPr>
        <w:rPr>
          <w:lang w:val="en-GB"/>
        </w:rPr>
      </w:pPr>
      <w:r w:rsidRPr="00FA5C0A">
        <w:rPr>
          <w:lang w:val="en-GB"/>
        </w:rPr>
        <w:t xml:space="preserve">Gardiner, C., Laud, P., Heaton, T. and Gott, M. (2020). What is the prevalence of loneliness amongst older people living in residential and nursing care homes? A systematic review and meta-analysis. </w:t>
      </w:r>
      <w:r w:rsidRPr="00FA5C0A">
        <w:rPr>
          <w:i/>
          <w:iCs/>
          <w:lang w:val="en-GB"/>
        </w:rPr>
        <w:t>Age And Ageing</w:t>
      </w:r>
      <w:r w:rsidRPr="00FA5C0A">
        <w:rPr>
          <w:lang w:val="en-GB"/>
        </w:rPr>
        <w:t xml:space="preserve">, [online] 49(5). </w:t>
      </w:r>
      <w:proofErr w:type="spellStart"/>
      <w:r w:rsidRPr="00FA5C0A">
        <w:rPr>
          <w:lang w:val="en-GB"/>
        </w:rPr>
        <w:t>doi:https</w:t>
      </w:r>
      <w:proofErr w:type="spellEnd"/>
      <w:r w:rsidRPr="00FA5C0A">
        <w:rPr>
          <w:lang w:val="en-GB"/>
        </w:rPr>
        <w:t>://doi.org/10.1093/ageing/afaa049.</w:t>
      </w:r>
    </w:p>
    <w:p w14:paraId="25B4A59C" w14:textId="77777777" w:rsidR="00FA5C0A" w:rsidRPr="00FA5C0A" w:rsidRDefault="00FA5C0A" w:rsidP="00FA5C0A">
      <w:pPr>
        <w:rPr>
          <w:lang w:val="en-GB"/>
        </w:rPr>
      </w:pPr>
      <w:r w:rsidRPr="00FA5C0A">
        <w:rPr>
          <w:lang w:val="en-GB"/>
        </w:rPr>
        <w:t xml:space="preserve">Goodman, C., Dening, T., Gordon, A.L., Davies, S.L., Meyer, J., Martin, F.C., Gladman, J.R.F., Bowman, C., Victor, C., Handley, M., Gage, H., Iliffe, S. and Zubair, M. (2016). Effective health care for older people living and dying in care homes: a realist review. </w:t>
      </w:r>
      <w:r w:rsidRPr="00FA5C0A">
        <w:rPr>
          <w:i/>
          <w:iCs/>
          <w:lang w:val="en-GB"/>
        </w:rPr>
        <w:t>BMC Health Services Research</w:t>
      </w:r>
      <w:r w:rsidRPr="00FA5C0A">
        <w:rPr>
          <w:lang w:val="en-GB"/>
        </w:rPr>
        <w:t xml:space="preserve">, [online] 16(1). </w:t>
      </w:r>
      <w:proofErr w:type="spellStart"/>
      <w:r w:rsidRPr="00FA5C0A">
        <w:rPr>
          <w:lang w:val="en-GB"/>
        </w:rPr>
        <w:t>doi:https</w:t>
      </w:r>
      <w:proofErr w:type="spellEnd"/>
      <w:r w:rsidRPr="00FA5C0A">
        <w:rPr>
          <w:lang w:val="en-GB"/>
        </w:rPr>
        <w:t>://doi.org/10.1186/s12913-016-1493-4.</w:t>
      </w:r>
    </w:p>
    <w:p w14:paraId="1E421A21" w14:textId="77777777" w:rsidR="00FA5C0A" w:rsidRPr="00FA5C0A" w:rsidRDefault="00FA5C0A" w:rsidP="00FA5C0A">
      <w:pPr>
        <w:rPr>
          <w:lang w:val="en-GB"/>
        </w:rPr>
      </w:pPr>
      <w:r w:rsidRPr="00FA5C0A">
        <w:rPr>
          <w:lang w:val="en-GB"/>
        </w:rPr>
        <w:t xml:space="preserve">Nilsen, E.R., Hollister, B., </w:t>
      </w:r>
      <w:proofErr w:type="spellStart"/>
      <w:r w:rsidRPr="00FA5C0A">
        <w:rPr>
          <w:lang w:val="en-GB"/>
        </w:rPr>
        <w:t>Söderhamn</w:t>
      </w:r>
      <w:proofErr w:type="spellEnd"/>
      <w:r w:rsidRPr="00FA5C0A">
        <w:rPr>
          <w:lang w:val="en-GB"/>
        </w:rPr>
        <w:t>, U. and Dale, B. (2021). What matters to older adults? Exploring person</w:t>
      </w:r>
      <w:r w:rsidRPr="00FA5C0A">
        <w:rPr>
          <w:rFonts w:ascii="Cambria Math" w:hAnsi="Cambria Math" w:cs="Cambria Math"/>
          <w:lang w:val="en-GB"/>
        </w:rPr>
        <w:t>‐</w:t>
      </w:r>
      <w:r w:rsidRPr="00FA5C0A">
        <w:rPr>
          <w:lang w:val="en-GB"/>
        </w:rPr>
        <w:t xml:space="preserve">centred care during and after transitions between hospital and home. </w:t>
      </w:r>
      <w:r w:rsidRPr="00FA5C0A">
        <w:rPr>
          <w:i/>
          <w:iCs/>
          <w:lang w:val="en-GB"/>
        </w:rPr>
        <w:t>Journal of Clinical Nursing</w:t>
      </w:r>
      <w:r w:rsidRPr="00FA5C0A">
        <w:rPr>
          <w:lang w:val="en-GB"/>
        </w:rPr>
        <w:t xml:space="preserve">, [online] 31(5-6), pp.569–581. </w:t>
      </w:r>
      <w:proofErr w:type="spellStart"/>
      <w:r w:rsidRPr="00FA5C0A">
        <w:rPr>
          <w:lang w:val="en-GB"/>
        </w:rPr>
        <w:t>doi:https</w:t>
      </w:r>
      <w:proofErr w:type="spellEnd"/>
      <w:r w:rsidRPr="00FA5C0A">
        <w:rPr>
          <w:lang w:val="en-GB"/>
        </w:rPr>
        <w:t>://doi.org/10.1111/jocn.15914.</w:t>
      </w:r>
    </w:p>
    <w:p w14:paraId="68F13043" w14:textId="77777777" w:rsidR="00FA5C0A" w:rsidRPr="00FA5C0A" w:rsidRDefault="00FA5C0A" w:rsidP="00FA5C0A">
      <w:pPr>
        <w:rPr>
          <w:lang w:val="en-GB"/>
        </w:rPr>
      </w:pPr>
      <w:r w:rsidRPr="00FA5C0A">
        <w:rPr>
          <w:lang w:val="en-GB"/>
        </w:rPr>
        <w:t xml:space="preserve">Rababa, M., Alhawatmeh, H., Al Ali, N. and Kassab, M. (2020). Testing the Effectiveness of Cognitive </w:t>
      </w:r>
      <w:proofErr w:type="spellStart"/>
      <w:r w:rsidRPr="00FA5C0A">
        <w:rPr>
          <w:lang w:val="en-GB"/>
        </w:rPr>
        <w:t>Behavioral</w:t>
      </w:r>
      <w:proofErr w:type="spellEnd"/>
      <w:r w:rsidRPr="00FA5C0A">
        <w:rPr>
          <w:lang w:val="en-GB"/>
        </w:rPr>
        <w:t xml:space="preserve"> Therapy in Relieving Nurses’ Ageism Toward Older Adults: A Randomized Controlled Trial. </w:t>
      </w:r>
      <w:r w:rsidRPr="00FA5C0A">
        <w:rPr>
          <w:i/>
          <w:iCs/>
          <w:lang w:val="en-GB"/>
        </w:rPr>
        <w:t>Cognitive Therapy and Research</w:t>
      </w:r>
      <w:r w:rsidRPr="00FA5C0A">
        <w:rPr>
          <w:lang w:val="en-GB"/>
        </w:rPr>
        <w:t xml:space="preserve">, 45(2). </w:t>
      </w:r>
      <w:proofErr w:type="spellStart"/>
      <w:r w:rsidRPr="00FA5C0A">
        <w:rPr>
          <w:lang w:val="en-GB"/>
        </w:rPr>
        <w:t>doi:https</w:t>
      </w:r>
      <w:proofErr w:type="spellEnd"/>
      <w:r w:rsidRPr="00FA5C0A">
        <w:rPr>
          <w:lang w:val="en-GB"/>
        </w:rPr>
        <w:t>://doi.org/10.1007/s10608-020-10167-4.</w:t>
      </w:r>
    </w:p>
    <w:p w14:paraId="07D57719" w14:textId="77777777" w:rsidR="00FA5C0A" w:rsidRPr="00FA5C0A" w:rsidRDefault="00FA5C0A" w:rsidP="00FA5C0A">
      <w:pPr>
        <w:rPr>
          <w:lang w:val="en-GB"/>
        </w:rPr>
      </w:pPr>
      <w:r w:rsidRPr="00FA5C0A">
        <w:rPr>
          <w:lang w:val="en-GB"/>
        </w:rPr>
        <w:lastRenderedPageBreak/>
        <w:t xml:space="preserve">Santana, M.J., Manalili, K., Jolley, R.J., Zelinsky, S., Quan, H. and Lu, M. (2018). How to practice person-centred care: A conceptual framework. </w:t>
      </w:r>
      <w:r w:rsidRPr="00FA5C0A">
        <w:rPr>
          <w:i/>
          <w:iCs/>
          <w:lang w:val="en-GB"/>
        </w:rPr>
        <w:t>Health Expectations</w:t>
      </w:r>
      <w:r w:rsidRPr="00FA5C0A">
        <w:rPr>
          <w:lang w:val="en-GB"/>
        </w:rPr>
        <w:t xml:space="preserve">, [online] 21(2), pp.429–440. </w:t>
      </w:r>
      <w:proofErr w:type="spellStart"/>
      <w:r w:rsidRPr="00FA5C0A">
        <w:rPr>
          <w:lang w:val="en-GB"/>
        </w:rPr>
        <w:t>doi:https</w:t>
      </w:r>
      <w:proofErr w:type="spellEnd"/>
      <w:r w:rsidRPr="00FA5C0A">
        <w:rPr>
          <w:lang w:val="en-GB"/>
        </w:rPr>
        <w:t>://doi.org/10.1111/hex.12640.</w:t>
      </w:r>
    </w:p>
    <w:p w14:paraId="2346BE1E" w14:textId="77777777" w:rsidR="00FA5C0A" w:rsidRPr="00FA5C0A" w:rsidRDefault="00FA5C0A" w:rsidP="00FA5C0A">
      <w:pPr>
        <w:rPr>
          <w:lang w:val="en-GB"/>
        </w:rPr>
      </w:pPr>
      <w:r w:rsidRPr="00FA5C0A">
        <w:rPr>
          <w:lang w:val="en-GB"/>
        </w:rPr>
        <w:t xml:space="preserve">Skills for Health (2025). </w:t>
      </w:r>
      <w:r w:rsidRPr="00FA5C0A">
        <w:rPr>
          <w:i/>
          <w:iCs/>
          <w:lang w:val="en-GB"/>
        </w:rPr>
        <w:t>Person Centred Care Meaning &amp; Implications</w:t>
      </w:r>
      <w:r w:rsidRPr="00FA5C0A">
        <w:rPr>
          <w:lang w:val="en-GB"/>
        </w:rPr>
        <w:t>. [online] Skills for Health. Available at: https://www.skillsforhealth.org.uk/article/person-centred-care-meaning-implications/ [Accessed 7 Dec. 2025].</w:t>
      </w:r>
    </w:p>
    <w:p w14:paraId="6BF85C0A" w14:textId="77777777" w:rsidR="00FA5C0A" w:rsidRPr="00FA5C0A" w:rsidRDefault="00FA5C0A" w:rsidP="00FA5C0A">
      <w:pPr>
        <w:rPr>
          <w:lang w:val="en-GB"/>
        </w:rPr>
      </w:pPr>
      <w:r w:rsidRPr="00FA5C0A">
        <w:rPr>
          <w:lang w:val="en-GB"/>
        </w:rPr>
        <w:t xml:space="preserve">Toot, S., Swinson, T., Devine, M., Challis, D. and Orrell, M. (2016). Causes of nursing home placement for older people with dementia: a systematic review and meta-analysis. </w:t>
      </w:r>
      <w:r w:rsidRPr="00FA5C0A">
        <w:rPr>
          <w:i/>
          <w:iCs/>
          <w:lang w:val="en-GB"/>
        </w:rPr>
        <w:t>International Psychogeriatrics</w:t>
      </w:r>
      <w:r w:rsidRPr="00FA5C0A">
        <w:rPr>
          <w:lang w:val="en-GB"/>
        </w:rPr>
        <w:t xml:space="preserve">, 29(2), pp.195–208. </w:t>
      </w:r>
      <w:proofErr w:type="spellStart"/>
      <w:r w:rsidRPr="00FA5C0A">
        <w:rPr>
          <w:lang w:val="en-GB"/>
        </w:rPr>
        <w:t>doi:https</w:t>
      </w:r>
      <w:proofErr w:type="spellEnd"/>
      <w:r w:rsidRPr="00FA5C0A">
        <w:rPr>
          <w:lang w:val="en-GB"/>
        </w:rPr>
        <w:t>://doi.org/10.1017/s1041610216001654.</w:t>
      </w:r>
    </w:p>
    <w:p w14:paraId="31EFCEFD" w14:textId="77777777" w:rsidR="00FA5C0A" w:rsidRPr="00FA5C0A" w:rsidRDefault="00FA5C0A" w:rsidP="00FA5C0A">
      <w:pPr>
        <w:rPr>
          <w:lang w:val="en-GB"/>
        </w:rPr>
      </w:pPr>
      <w:proofErr w:type="spellStart"/>
      <w:r w:rsidRPr="00FA5C0A">
        <w:rPr>
          <w:lang w:val="en-GB"/>
        </w:rPr>
        <w:t>Wallström</w:t>
      </w:r>
      <w:proofErr w:type="spellEnd"/>
      <w:r w:rsidRPr="00FA5C0A">
        <w:rPr>
          <w:lang w:val="en-GB"/>
        </w:rPr>
        <w:t xml:space="preserve">, S. and Ekman, I. (2018). Person-centred care in clinical assessment. </w:t>
      </w:r>
      <w:r w:rsidRPr="00FA5C0A">
        <w:rPr>
          <w:i/>
          <w:iCs/>
          <w:lang w:val="en-GB"/>
        </w:rPr>
        <w:t>European Journal of Cardiovascular Nursing</w:t>
      </w:r>
      <w:r w:rsidRPr="00FA5C0A">
        <w:rPr>
          <w:lang w:val="en-GB"/>
        </w:rPr>
        <w:t xml:space="preserve">, 17(7), pp.576–579. </w:t>
      </w:r>
      <w:proofErr w:type="spellStart"/>
      <w:r w:rsidRPr="00FA5C0A">
        <w:rPr>
          <w:lang w:val="en-GB"/>
        </w:rPr>
        <w:t>doi:https</w:t>
      </w:r>
      <w:proofErr w:type="spellEnd"/>
      <w:r w:rsidRPr="00FA5C0A">
        <w:rPr>
          <w:lang w:val="en-GB"/>
        </w:rPr>
        <w:t>://doi.org/10.1177/1474515118758139.</w:t>
      </w:r>
    </w:p>
    <w:p w14:paraId="2E9E79F7" w14:textId="77777777" w:rsidR="00FA5C0A" w:rsidRPr="00FA5C0A" w:rsidRDefault="00FA5C0A" w:rsidP="00FA5C0A"/>
    <w:p w14:paraId="55C1D5FE" w14:textId="16D6BCEB" w:rsidR="00FA5C0A" w:rsidRDefault="00FA5C0A"/>
    <w:sectPr w:rsidR="00FA5C0A" w:rsidSect="00FA5C0A">
      <w:footerReference w:type="default" r:id="rId12"/>
      <w:pgSz w:w="11906" w:h="16838" w:code="9"/>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35946F" w14:textId="77777777" w:rsidR="00106B3F" w:rsidRDefault="00106B3F">
      <w:pPr>
        <w:spacing w:line="240" w:lineRule="auto"/>
      </w:pPr>
      <w:r>
        <w:separator/>
      </w:r>
    </w:p>
  </w:endnote>
  <w:endnote w:type="continuationSeparator" w:id="0">
    <w:p w14:paraId="59AB38CB" w14:textId="77777777" w:rsidR="00106B3F" w:rsidRDefault="00106B3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45CB6FE-98F5-4CA3-9418-A9B3656A6116}"/>
  </w:font>
  <w:font w:name="Cambria Math">
    <w:panose1 w:val="02040503050406030204"/>
    <w:charset w:val="00"/>
    <w:family w:val="roman"/>
    <w:pitch w:val="variable"/>
    <w:sig w:usb0="E00006FF" w:usb1="420024FF" w:usb2="02000000" w:usb3="00000000" w:csb0="0000019F" w:csb1="00000000"/>
    <w:embedRegular r:id="rId2" w:fontKey="{6705D230-BC7D-4B06-8DDA-2694631A1A39}"/>
  </w:font>
  <w:font w:name="Cambria">
    <w:panose1 w:val="02040503050406030204"/>
    <w:charset w:val="00"/>
    <w:family w:val="roman"/>
    <w:pitch w:val="variable"/>
    <w:sig w:usb0="E00006FF" w:usb1="420024FF" w:usb2="02000000" w:usb3="00000000" w:csb0="0000019F" w:csb1="00000000"/>
    <w:embedRegular r:id="rId3" w:fontKey="{F43068B0-F843-41F0-B6BD-22C1E35CD26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4990439"/>
      <w:docPartObj>
        <w:docPartGallery w:val="Page Numbers (Bottom of Page)"/>
        <w:docPartUnique/>
      </w:docPartObj>
    </w:sdtPr>
    <w:sdtEndPr>
      <w:rPr>
        <w:noProof/>
      </w:rPr>
    </w:sdtEndPr>
    <w:sdtContent>
      <w:p w14:paraId="0AAD1128" w14:textId="035A6AB3" w:rsidR="00FA5C0A" w:rsidRDefault="00FA5C0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650533" w14:textId="77777777" w:rsidR="00FA5C0A" w:rsidRDefault="00FA5C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CE5839" w14:textId="77777777" w:rsidR="00106B3F" w:rsidRDefault="00106B3F">
      <w:pPr>
        <w:spacing w:line="240" w:lineRule="auto"/>
      </w:pPr>
      <w:r>
        <w:separator/>
      </w:r>
    </w:p>
  </w:footnote>
  <w:footnote w:type="continuationSeparator" w:id="0">
    <w:p w14:paraId="2683C680" w14:textId="77777777" w:rsidR="00106B3F" w:rsidRDefault="00106B3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297C5E"/>
    <w:multiLevelType w:val="multilevel"/>
    <w:tmpl w:val="E446EB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364759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52A7"/>
    <w:rsid w:val="000245F2"/>
    <w:rsid w:val="000E5EFD"/>
    <w:rsid w:val="00106B3F"/>
    <w:rsid w:val="00142ABC"/>
    <w:rsid w:val="002E0291"/>
    <w:rsid w:val="00355E74"/>
    <w:rsid w:val="003D7797"/>
    <w:rsid w:val="005861B5"/>
    <w:rsid w:val="005C2193"/>
    <w:rsid w:val="008239B0"/>
    <w:rsid w:val="0096313A"/>
    <w:rsid w:val="009957FA"/>
    <w:rsid w:val="00B452A7"/>
    <w:rsid w:val="00FA5C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A467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color w:val="023E8A"/>
      <w:sz w:val="30"/>
      <w:szCs w:val="30"/>
    </w:rPr>
  </w:style>
  <w:style w:type="paragraph" w:styleId="Heading2">
    <w:name w:val="heading 2"/>
    <w:basedOn w:val="Normal"/>
    <w:next w:val="Normal"/>
    <w:uiPriority w:val="9"/>
    <w:unhideWhenUsed/>
    <w:qFormat/>
    <w:pPr>
      <w:keepNext/>
      <w:keepLines/>
      <w:spacing w:before="280" w:after="80"/>
      <w:outlineLvl w:val="1"/>
    </w:pPr>
    <w:rPr>
      <w:b/>
      <w:bCs/>
      <w:color w:val="03045E"/>
      <w:sz w:val="26"/>
      <w:szCs w:val="26"/>
    </w:rPr>
  </w:style>
  <w:style w:type="paragraph" w:styleId="Heading3">
    <w:name w:val="heading 3"/>
    <w:basedOn w:val="Normal"/>
    <w:next w:val="Normal"/>
    <w:uiPriority w:val="9"/>
    <w:semiHidden/>
    <w:unhideWhenUsed/>
    <w:qFormat/>
    <w:pPr>
      <w:keepNext/>
      <w:keepLines/>
      <w:outlineLvl w:val="2"/>
    </w:pPr>
    <w:rPr>
      <w:b/>
      <w:bCs/>
      <w:i/>
      <w:iCs/>
      <w:color w:val="0077B6"/>
      <w:sz w:val="26"/>
      <w:szCs w:val="26"/>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Caption">
    <w:name w:val="caption"/>
    <w:basedOn w:val="Normal"/>
    <w:next w:val="Normal"/>
    <w:uiPriority w:val="35"/>
    <w:unhideWhenUsed/>
    <w:qFormat/>
    <w:rsid w:val="00FA5C0A"/>
    <w:pPr>
      <w:spacing w:after="200" w:line="240" w:lineRule="auto"/>
      <w:jc w:val="center"/>
    </w:pPr>
    <w:rPr>
      <w:b/>
      <w:bCs/>
      <w:i/>
      <w:iCs/>
      <w:color w:val="1F497D" w:themeColor="text2"/>
    </w:rPr>
  </w:style>
  <w:style w:type="paragraph" w:styleId="Header">
    <w:name w:val="header"/>
    <w:basedOn w:val="Normal"/>
    <w:link w:val="HeaderChar"/>
    <w:uiPriority w:val="99"/>
    <w:unhideWhenUsed/>
    <w:rsid w:val="00FA5C0A"/>
    <w:pPr>
      <w:tabs>
        <w:tab w:val="center" w:pos="4513"/>
        <w:tab w:val="right" w:pos="9026"/>
      </w:tabs>
      <w:spacing w:line="240" w:lineRule="auto"/>
    </w:pPr>
  </w:style>
  <w:style w:type="character" w:customStyle="1" w:styleId="HeaderChar">
    <w:name w:val="Header Char"/>
    <w:basedOn w:val="DefaultParagraphFont"/>
    <w:link w:val="Header"/>
    <w:uiPriority w:val="99"/>
    <w:rsid w:val="00FA5C0A"/>
  </w:style>
  <w:style w:type="paragraph" w:styleId="Footer">
    <w:name w:val="footer"/>
    <w:basedOn w:val="Normal"/>
    <w:link w:val="FooterChar"/>
    <w:uiPriority w:val="99"/>
    <w:unhideWhenUsed/>
    <w:rsid w:val="00FA5C0A"/>
    <w:pPr>
      <w:tabs>
        <w:tab w:val="center" w:pos="4513"/>
        <w:tab w:val="right" w:pos="9026"/>
      </w:tabs>
      <w:spacing w:line="240" w:lineRule="auto"/>
    </w:pPr>
  </w:style>
  <w:style w:type="character" w:customStyle="1" w:styleId="FooterChar">
    <w:name w:val="Footer Char"/>
    <w:basedOn w:val="DefaultParagraphFont"/>
    <w:link w:val="Footer"/>
    <w:uiPriority w:val="99"/>
    <w:rsid w:val="00FA5C0A"/>
  </w:style>
  <w:style w:type="paragraph" w:styleId="TOCHeading">
    <w:name w:val="TOC Heading"/>
    <w:basedOn w:val="Heading1"/>
    <w:next w:val="Normal"/>
    <w:uiPriority w:val="39"/>
    <w:unhideWhenUsed/>
    <w:qFormat/>
    <w:rsid w:val="00FA5C0A"/>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FA5C0A"/>
    <w:pPr>
      <w:spacing w:after="100"/>
    </w:pPr>
  </w:style>
  <w:style w:type="paragraph" w:styleId="TOC2">
    <w:name w:val="toc 2"/>
    <w:basedOn w:val="Normal"/>
    <w:next w:val="Normal"/>
    <w:autoRedefine/>
    <w:uiPriority w:val="39"/>
    <w:unhideWhenUsed/>
    <w:rsid w:val="00FA5C0A"/>
    <w:pPr>
      <w:spacing w:after="100"/>
      <w:ind w:left="220"/>
    </w:pPr>
  </w:style>
  <w:style w:type="character" w:styleId="Hyperlink">
    <w:name w:val="Hyperlink"/>
    <w:basedOn w:val="DefaultParagraphFont"/>
    <w:uiPriority w:val="99"/>
    <w:unhideWhenUsed/>
    <w:rsid w:val="00FA5C0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7A427A-6770-44C7-B31E-46FAABF9D1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2269</Words>
  <Characters>12937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2025-12-16T18:34:00Z</dcterms:created>
  <dcterms:modified xsi:type="dcterms:W3CDTF">2025-12-16T18:34:00Z</dcterms:modified>
</cp:coreProperties>
</file>