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HAnsi" w:eastAsiaTheme="minorEastAsia" w:hAnsiTheme="minorHAnsi" w:cstheme="minorBidi"/>
          <w:spacing w:val="0"/>
          <w:kern w:val="2"/>
          <w:sz w:val="24"/>
          <w:szCs w:val="24"/>
        </w:rPr>
        <w:id w:val="-298457929"/>
        <w:docPartObj>
          <w:docPartGallery w:val="Cover Pages"/>
          <w:docPartUnique/>
        </w:docPartObj>
      </w:sdtPr>
      <w:sdtEndPr>
        <w:rPr>
          <w:rStyle w:val="s1"/>
          <w:rFonts w:ascii="Arial" w:hAnsi="Arial" w:cs="Arial"/>
          <w:sz w:val="36"/>
          <w:szCs w:val="36"/>
        </w:rPr>
      </w:sdtEndPr>
      <w:sdtContent>
        <w:p w14:paraId="55E47BF9" w14:textId="77777777" w:rsidR="00583CBC" w:rsidRPr="00FE08B7" w:rsidRDefault="00583CBC" w:rsidP="00583CBC">
          <w:pPr>
            <w:pStyle w:val="Title"/>
            <w:rPr>
              <w:sz w:val="96"/>
              <w:szCs w:val="96"/>
            </w:rPr>
          </w:pPr>
          <w:r w:rsidRPr="00FE08B7">
            <w:rPr>
              <w:sz w:val="96"/>
              <w:szCs w:val="96"/>
            </w:rPr>
            <w:t>Social Epidemiology and Public Health Development</w:t>
          </w:r>
        </w:p>
        <w:p w14:paraId="1FEC6A46" w14:textId="3974ED01" w:rsidR="00EE0939" w:rsidRDefault="00583CBC" w:rsidP="00583CBC">
          <w:r>
            <w:t>LCHS7000</w:t>
          </w:r>
        </w:p>
        <w:p w14:paraId="157C36B0" w14:textId="77777777" w:rsidR="00583CBC" w:rsidRDefault="00583CBC" w:rsidP="00583CBC"/>
        <w:p w14:paraId="4CF9612C" w14:textId="77777777" w:rsidR="00583CBC" w:rsidRDefault="00583CBC" w:rsidP="00583CBC"/>
        <w:p w14:paraId="3EAEEEDC" w14:textId="77777777" w:rsidR="00583CBC" w:rsidRDefault="00583CBC" w:rsidP="00583CBC"/>
        <w:p w14:paraId="79DAD3D6" w14:textId="77777777" w:rsidR="00FE08B7" w:rsidRDefault="00FE08B7" w:rsidP="00583CBC"/>
        <w:p w14:paraId="4EEFC431" w14:textId="77777777" w:rsidR="00FE08B7" w:rsidRDefault="00FE08B7" w:rsidP="00583CBC"/>
        <w:p w14:paraId="292C47F8" w14:textId="77777777" w:rsidR="00FE08B7" w:rsidRDefault="00FE08B7" w:rsidP="00583CBC"/>
        <w:p w14:paraId="644A6C06" w14:textId="77777777" w:rsidR="00FE08B7" w:rsidRDefault="00FE08B7" w:rsidP="00583CBC"/>
        <w:p w14:paraId="3EEAAFA7" w14:textId="77777777" w:rsidR="00FE08B7" w:rsidRDefault="00FE08B7" w:rsidP="00583CBC"/>
        <w:p w14:paraId="4EB09565" w14:textId="77777777" w:rsidR="00FE08B7" w:rsidRDefault="00FE08B7" w:rsidP="00583CBC"/>
        <w:p w14:paraId="6C42E89F" w14:textId="77777777" w:rsidR="00FE08B7" w:rsidRDefault="00FE08B7" w:rsidP="00583CBC"/>
        <w:p w14:paraId="694DAB96" w14:textId="77777777" w:rsidR="00FE08B7" w:rsidRDefault="00FE08B7" w:rsidP="00583CBC"/>
        <w:p w14:paraId="18FF0C06" w14:textId="77777777" w:rsidR="00FE08B7" w:rsidRDefault="00FE08B7" w:rsidP="00583CBC"/>
        <w:p w14:paraId="5627E5D6" w14:textId="77777777" w:rsidR="00FE08B7" w:rsidRDefault="00FE08B7" w:rsidP="00583CBC"/>
        <w:p w14:paraId="1C9FF070" w14:textId="77777777" w:rsidR="00FE08B7" w:rsidRDefault="00FE08B7" w:rsidP="00583CBC"/>
        <w:p w14:paraId="748706D2" w14:textId="77777777" w:rsidR="00FE08B7" w:rsidRDefault="00FE08B7" w:rsidP="00583CBC"/>
        <w:p w14:paraId="3B3E44E2" w14:textId="77777777" w:rsidR="00FE08B7" w:rsidRDefault="00FE08B7" w:rsidP="00583CBC"/>
        <w:p w14:paraId="2237108D" w14:textId="77777777" w:rsidR="00FE08B7" w:rsidRDefault="00FE08B7" w:rsidP="00583CBC"/>
        <w:p w14:paraId="52B7D1FC" w14:textId="77777777" w:rsidR="00FE08B7" w:rsidRDefault="00FE08B7" w:rsidP="00583CBC"/>
        <w:p w14:paraId="3756D057" w14:textId="02AB0AF7" w:rsidR="00583CBC" w:rsidRPr="00FE08B7" w:rsidRDefault="00583CBC" w:rsidP="00583CBC">
          <w:r w:rsidRPr="00FE08B7">
            <w:t>Emilia Milewska (</w:t>
          </w:r>
          <w:r w:rsidR="00BB564A" w:rsidRPr="00FE08B7">
            <w:t>224</w:t>
          </w:r>
          <w:r w:rsidR="00D051E0" w:rsidRPr="00FE08B7">
            <w:t>5</w:t>
          </w:r>
          <w:r w:rsidR="00FE08B7" w:rsidRPr="00FE08B7">
            <w:t>525)</w:t>
          </w:r>
        </w:p>
        <w:p w14:paraId="307149A6" w14:textId="43C9111C" w:rsidR="00FE08B7" w:rsidRPr="00FE08B7" w:rsidRDefault="00FE08B7" w:rsidP="00583CBC">
          <w:r w:rsidRPr="00FE08B7">
            <w:t>Lecturer: Muhammad Aliyu</w:t>
          </w:r>
        </w:p>
        <w:p w14:paraId="7216F2C4" w14:textId="7F6040CE" w:rsidR="00EE0939" w:rsidRDefault="00E57152">
          <w:pPr>
            <w:rPr>
              <w:rStyle w:val="s1"/>
              <w:rFonts w:ascii="Arial" w:hAnsi="Arial" w:cs="Arial"/>
              <w:kern w:val="0"/>
              <w:sz w:val="36"/>
              <w:szCs w:val="36"/>
              <w14:ligatures w14:val="none"/>
            </w:rPr>
          </w:pPr>
        </w:p>
      </w:sdtContent>
    </w:sdt>
    <w:sdt>
      <w:sdtPr>
        <w:rPr>
          <w:rFonts w:asciiTheme="minorHAnsi" w:eastAsiaTheme="minorEastAsia" w:hAnsiTheme="minorHAnsi" w:cstheme="minorBidi"/>
          <w:color w:val="auto"/>
          <w:kern w:val="2"/>
          <w:sz w:val="24"/>
          <w:szCs w:val="24"/>
          <w:lang w:val="en-GB" w:eastAsia="en-GB"/>
          <w14:ligatures w14:val="standardContextual"/>
        </w:rPr>
        <w:id w:val="-26643802"/>
        <w:docPartObj>
          <w:docPartGallery w:val="Table of Contents"/>
          <w:docPartUnique/>
        </w:docPartObj>
      </w:sdtPr>
      <w:sdtEndPr>
        <w:rPr>
          <w:b/>
          <w:bCs/>
          <w:noProof/>
        </w:rPr>
      </w:sdtEndPr>
      <w:sdtContent>
        <w:p w14:paraId="7B01CE69" w14:textId="4E0A60ED" w:rsidR="004107E7" w:rsidRDefault="004107E7">
          <w:pPr>
            <w:pStyle w:val="TOCHeading"/>
          </w:pPr>
          <w:r>
            <w:t>Table of Contents</w:t>
          </w:r>
        </w:p>
        <w:p w14:paraId="7F127019" w14:textId="001EA214" w:rsidR="009301E0" w:rsidRDefault="004107E7">
          <w:pPr>
            <w:pStyle w:val="TOC1"/>
            <w:tabs>
              <w:tab w:val="right" w:leader="dot" w:pos="9016"/>
            </w:tabs>
            <w:rPr>
              <w:noProof/>
            </w:rPr>
          </w:pPr>
          <w:r>
            <w:fldChar w:fldCharType="begin"/>
          </w:r>
          <w:r>
            <w:instrText xml:space="preserve"> TOC \o "1-3" \h \z \u </w:instrText>
          </w:r>
          <w:r>
            <w:fldChar w:fldCharType="separate"/>
          </w:r>
          <w:hyperlink w:anchor="_Toc237612390" w:history="1">
            <w:r w:rsidR="009301E0" w:rsidRPr="005E7CD2">
              <w:rPr>
                <w:rStyle w:val="Hyperlink"/>
                <w:noProof/>
              </w:rPr>
              <w:t>Task 1: Social Epidemiological Analysis</w:t>
            </w:r>
            <w:r w:rsidR="009301E0">
              <w:rPr>
                <w:noProof/>
                <w:webHidden/>
              </w:rPr>
              <w:tab/>
            </w:r>
            <w:r w:rsidR="009301E0">
              <w:rPr>
                <w:noProof/>
                <w:webHidden/>
              </w:rPr>
              <w:fldChar w:fldCharType="begin"/>
            </w:r>
            <w:r w:rsidR="009301E0">
              <w:rPr>
                <w:noProof/>
                <w:webHidden/>
              </w:rPr>
              <w:instrText xml:space="preserve"> PAGEREF _Toc237612390 \h </w:instrText>
            </w:r>
            <w:r w:rsidR="009301E0">
              <w:rPr>
                <w:noProof/>
                <w:webHidden/>
              </w:rPr>
            </w:r>
            <w:r w:rsidR="009301E0">
              <w:rPr>
                <w:noProof/>
                <w:webHidden/>
              </w:rPr>
              <w:fldChar w:fldCharType="separate"/>
            </w:r>
            <w:r w:rsidR="009301E0">
              <w:rPr>
                <w:noProof/>
                <w:webHidden/>
              </w:rPr>
              <w:t>2</w:t>
            </w:r>
            <w:r w:rsidR="009301E0">
              <w:rPr>
                <w:noProof/>
                <w:webHidden/>
              </w:rPr>
              <w:fldChar w:fldCharType="end"/>
            </w:r>
          </w:hyperlink>
        </w:p>
        <w:p w14:paraId="01636C71" w14:textId="5A460BCC" w:rsidR="009301E0" w:rsidRDefault="009301E0">
          <w:pPr>
            <w:pStyle w:val="TOC2"/>
            <w:tabs>
              <w:tab w:val="right" w:leader="dot" w:pos="9016"/>
            </w:tabs>
            <w:rPr>
              <w:noProof/>
            </w:rPr>
          </w:pPr>
          <w:hyperlink w:anchor="_Toc237612391" w:history="1">
            <w:r w:rsidRPr="005E7CD2">
              <w:rPr>
                <w:rStyle w:val="Hyperlink"/>
                <w:noProof/>
              </w:rPr>
              <w:t>Disability and Health Inequality in the United Kingdom: A Social Epidemiological Analysis</w:t>
            </w:r>
            <w:r>
              <w:rPr>
                <w:noProof/>
                <w:webHidden/>
              </w:rPr>
              <w:tab/>
            </w:r>
            <w:r>
              <w:rPr>
                <w:noProof/>
                <w:webHidden/>
              </w:rPr>
              <w:fldChar w:fldCharType="begin"/>
            </w:r>
            <w:r>
              <w:rPr>
                <w:noProof/>
                <w:webHidden/>
              </w:rPr>
              <w:instrText xml:space="preserve"> PAGEREF _Toc237612391 \h </w:instrText>
            </w:r>
            <w:r>
              <w:rPr>
                <w:noProof/>
                <w:webHidden/>
              </w:rPr>
            </w:r>
            <w:r>
              <w:rPr>
                <w:noProof/>
                <w:webHidden/>
              </w:rPr>
              <w:fldChar w:fldCharType="separate"/>
            </w:r>
            <w:r>
              <w:rPr>
                <w:noProof/>
                <w:webHidden/>
              </w:rPr>
              <w:t>2</w:t>
            </w:r>
            <w:r>
              <w:rPr>
                <w:noProof/>
                <w:webHidden/>
              </w:rPr>
              <w:fldChar w:fldCharType="end"/>
            </w:r>
          </w:hyperlink>
        </w:p>
        <w:p w14:paraId="5E43DA2E" w14:textId="38137CA8" w:rsidR="009301E0" w:rsidRDefault="009301E0">
          <w:pPr>
            <w:pStyle w:val="TOC3"/>
            <w:tabs>
              <w:tab w:val="right" w:leader="dot" w:pos="9016"/>
            </w:tabs>
            <w:rPr>
              <w:noProof/>
            </w:rPr>
          </w:pPr>
          <w:hyperlink w:anchor="_Toc237612392" w:history="1">
            <w:r w:rsidRPr="005E7CD2">
              <w:rPr>
                <w:rStyle w:val="Hyperlink"/>
                <w:noProof/>
              </w:rPr>
              <w:t>Introduction</w:t>
            </w:r>
            <w:r>
              <w:rPr>
                <w:noProof/>
                <w:webHidden/>
              </w:rPr>
              <w:tab/>
            </w:r>
            <w:r>
              <w:rPr>
                <w:noProof/>
                <w:webHidden/>
              </w:rPr>
              <w:fldChar w:fldCharType="begin"/>
            </w:r>
            <w:r>
              <w:rPr>
                <w:noProof/>
                <w:webHidden/>
              </w:rPr>
              <w:instrText xml:space="preserve"> PAGEREF _Toc237612392 \h </w:instrText>
            </w:r>
            <w:r>
              <w:rPr>
                <w:noProof/>
                <w:webHidden/>
              </w:rPr>
            </w:r>
            <w:r>
              <w:rPr>
                <w:noProof/>
                <w:webHidden/>
              </w:rPr>
              <w:fldChar w:fldCharType="separate"/>
            </w:r>
            <w:r>
              <w:rPr>
                <w:noProof/>
                <w:webHidden/>
              </w:rPr>
              <w:t>2</w:t>
            </w:r>
            <w:r>
              <w:rPr>
                <w:noProof/>
                <w:webHidden/>
              </w:rPr>
              <w:fldChar w:fldCharType="end"/>
            </w:r>
          </w:hyperlink>
        </w:p>
        <w:p w14:paraId="6C15FA37" w14:textId="0A3C4C61" w:rsidR="009301E0" w:rsidRDefault="009301E0">
          <w:pPr>
            <w:pStyle w:val="TOC3"/>
            <w:tabs>
              <w:tab w:val="right" w:leader="dot" w:pos="9016"/>
            </w:tabs>
            <w:rPr>
              <w:noProof/>
            </w:rPr>
          </w:pPr>
          <w:hyperlink w:anchor="_Toc237612393" w:history="1">
            <w:r w:rsidRPr="005E7CD2">
              <w:rPr>
                <w:rStyle w:val="Hyperlink"/>
                <w:noProof/>
              </w:rPr>
              <w:t>Higher Rates of Depression and Anxiety</w:t>
            </w:r>
            <w:r>
              <w:rPr>
                <w:noProof/>
                <w:webHidden/>
              </w:rPr>
              <w:tab/>
            </w:r>
            <w:r>
              <w:rPr>
                <w:noProof/>
                <w:webHidden/>
              </w:rPr>
              <w:fldChar w:fldCharType="begin"/>
            </w:r>
            <w:r>
              <w:rPr>
                <w:noProof/>
                <w:webHidden/>
              </w:rPr>
              <w:instrText xml:space="preserve"> PAGEREF _Toc237612393 \h </w:instrText>
            </w:r>
            <w:r>
              <w:rPr>
                <w:noProof/>
                <w:webHidden/>
              </w:rPr>
            </w:r>
            <w:r>
              <w:rPr>
                <w:noProof/>
                <w:webHidden/>
              </w:rPr>
              <w:fldChar w:fldCharType="separate"/>
            </w:r>
            <w:r>
              <w:rPr>
                <w:noProof/>
                <w:webHidden/>
              </w:rPr>
              <w:t>2</w:t>
            </w:r>
            <w:r>
              <w:rPr>
                <w:noProof/>
                <w:webHidden/>
              </w:rPr>
              <w:fldChar w:fldCharType="end"/>
            </w:r>
          </w:hyperlink>
        </w:p>
        <w:p w14:paraId="222CFDAD" w14:textId="3EC50909" w:rsidR="009301E0" w:rsidRDefault="009301E0">
          <w:pPr>
            <w:pStyle w:val="TOC3"/>
            <w:tabs>
              <w:tab w:val="right" w:leader="dot" w:pos="9016"/>
            </w:tabs>
            <w:rPr>
              <w:noProof/>
            </w:rPr>
          </w:pPr>
          <w:hyperlink w:anchor="_Toc237612394" w:history="1">
            <w:r w:rsidRPr="005E7CD2">
              <w:rPr>
                <w:rStyle w:val="Hyperlink"/>
                <w:noProof/>
              </w:rPr>
              <w:t>Higher Rates of Chronic Physical Illness</w:t>
            </w:r>
            <w:r>
              <w:rPr>
                <w:noProof/>
                <w:webHidden/>
              </w:rPr>
              <w:tab/>
            </w:r>
            <w:r>
              <w:rPr>
                <w:noProof/>
                <w:webHidden/>
              </w:rPr>
              <w:fldChar w:fldCharType="begin"/>
            </w:r>
            <w:r>
              <w:rPr>
                <w:noProof/>
                <w:webHidden/>
              </w:rPr>
              <w:instrText xml:space="preserve"> PAGEREF _Toc237612394 \h </w:instrText>
            </w:r>
            <w:r>
              <w:rPr>
                <w:noProof/>
                <w:webHidden/>
              </w:rPr>
            </w:r>
            <w:r>
              <w:rPr>
                <w:noProof/>
                <w:webHidden/>
              </w:rPr>
              <w:fldChar w:fldCharType="separate"/>
            </w:r>
            <w:r>
              <w:rPr>
                <w:noProof/>
                <w:webHidden/>
              </w:rPr>
              <w:t>3</w:t>
            </w:r>
            <w:r>
              <w:rPr>
                <w:noProof/>
                <w:webHidden/>
              </w:rPr>
              <w:fldChar w:fldCharType="end"/>
            </w:r>
          </w:hyperlink>
        </w:p>
        <w:p w14:paraId="330CACB1" w14:textId="0041B193" w:rsidR="009301E0" w:rsidRDefault="009301E0">
          <w:pPr>
            <w:pStyle w:val="TOC3"/>
            <w:tabs>
              <w:tab w:val="right" w:leader="dot" w:pos="9016"/>
            </w:tabs>
            <w:rPr>
              <w:noProof/>
            </w:rPr>
          </w:pPr>
          <w:hyperlink w:anchor="_Toc237612395" w:history="1">
            <w:r w:rsidRPr="005E7CD2">
              <w:rPr>
                <w:rStyle w:val="Hyperlink"/>
                <w:noProof/>
              </w:rPr>
              <w:t>Premature Mortality</w:t>
            </w:r>
            <w:r>
              <w:rPr>
                <w:noProof/>
                <w:webHidden/>
              </w:rPr>
              <w:tab/>
            </w:r>
            <w:r>
              <w:rPr>
                <w:noProof/>
                <w:webHidden/>
              </w:rPr>
              <w:fldChar w:fldCharType="begin"/>
            </w:r>
            <w:r>
              <w:rPr>
                <w:noProof/>
                <w:webHidden/>
              </w:rPr>
              <w:instrText xml:space="preserve"> PAGEREF _Toc237612395 \h </w:instrText>
            </w:r>
            <w:r>
              <w:rPr>
                <w:noProof/>
                <w:webHidden/>
              </w:rPr>
            </w:r>
            <w:r>
              <w:rPr>
                <w:noProof/>
                <w:webHidden/>
              </w:rPr>
              <w:fldChar w:fldCharType="separate"/>
            </w:r>
            <w:r>
              <w:rPr>
                <w:noProof/>
                <w:webHidden/>
              </w:rPr>
              <w:t>3</w:t>
            </w:r>
            <w:r>
              <w:rPr>
                <w:noProof/>
                <w:webHidden/>
              </w:rPr>
              <w:fldChar w:fldCharType="end"/>
            </w:r>
          </w:hyperlink>
        </w:p>
        <w:p w14:paraId="0849C9C9" w14:textId="60DCD215" w:rsidR="009301E0" w:rsidRDefault="009301E0">
          <w:pPr>
            <w:pStyle w:val="TOC3"/>
            <w:tabs>
              <w:tab w:val="right" w:leader="dot" w:pos="9016"/>
            </w:tabs>
            <w:rPr>
              <w:noProof/>
            </w:rPr>
          </w:pPr>
          <w:hyperlink w:anchor="_Toc237612396" w:history="1">
            <w:r w:rsidRPr="005E7CD2">
              <w:rPr>
                <w:rStyle w:val="Hyperlink"/>
                <w:noProof/>
              </w:rPr>
              <w:t>Social Isolation and Loneliness</w:t>
            </w:r>
            <w:r>
              <w:rPr>
                <w:noProof/>
                <w:webHidden/>
              </w:rPr>
              <w:tab/>
            </w:r>
            <w:r>
              <w:rPr>
                <w:noProof/>
                <w:webHidden/>
              </w:rPr>
              <w:fldChar w:fldCharType="begin"/>
            </w:r>
            <w:r>
              <w:rPr>
                <w:noProof/>
                <w:webHidden/>
              </w:rPr>
              <w:instrText xml:space="preserve"> PAGEREF _Toc237612396 \h </w:instrText>
            </w:r>
            <w:r>
              <w:rPr>
                <w:noProof/>
                <w:webHidden/>
              </w:rPr>
            </w:r>
            <w:r>
              <w:rPr>
                <w:noProof/>
                <w:webHidden/>
              </w:rPr>
              <w:fldChar w:fldCharType="separate"/>
            </w:r>
            <w:r>
              <w:rPr>
                <w:noProof/>
                <w:webHidden/>
              </w:rPr>
              <w:t>3</w:t>
            </w:r>
            <w:r>
              <w:rPr>
                <w:noProof/>
                <w:webHidden/>
              </w:rPr>
              <w:fldChar w:fldCharType="end"/>
            </w:r>
          </w:hyperlink>
        </w:p>
        <w:p w14:paraId="11CEE270" w14:textId="14ABB5D1" w:rsidR="009301E0" w:rsidRDefault="009301E0">
          <w:pPr>
            <w:pStyle w:val="TOC3"/>
            <w:tabs>
              <w:tab w:val="right" w:leader="dot" w:pos="9016"/>
            </w:tabs>
            <w:rPr>
              <w:noProof/>
            </w:rPr>
          </w:pPr>
          <w:hyperlink w:anchor="_Toc237612397" w:history="1">
            <w:r w:rsidRPr="005E7CD2">
              <w:rPr>
                <w:rStyle w:val="Hyperlink"/>
                <w:noProof/>
              </w:rPr>
              <w:t>Poverty and Unemployment</w:t>
            </w:r>
            <w:r>
              <w:rPr>
                <w:noProof/>
                <w:webHidden/>
              </w:rPr>
              <w:tab/>
            </w:r>
            <w:r>
              <w:rPr>
                <w:noProof/>
                <w:webHidden/>
              </w:rPr>
              <w:fldChar w:fldCharType="begin"/>
            </w:r>
            <w:r>
              <w:rPr>
                <w:noProof/>
                <w:webHidden/>
              </w:rPr>
              <w:instrText xml:space="preserve"> PAGEREF _Toc237612397 \h </w:instrText>
            </w:r>
            <w:r>
              <w:rPr>
                <w:noProof/>
                <w:webHidden/>
              </w:rPr>
            </w:r>
            <w:r>
              <w:rPr>
                <w:noProof/>
                <w:webHidden/>
              </w:rPr>
              <w:fldChar w:fldCharType="separate"/>
            </w:r>
            <w:r>
              <w:rPr>
                <w:noProof/>
                <w:webHidden/>
              </w:rPr>
              <w:t>3</w:t>
            </w:r>
            <w:r>
              <w:rPr>
                <w:noProof/>
                <w:webHidden/>
              </w:rPr>
              <w:fldChar w:fldCharType="end"/>
            </w:r>
          </w:hyperlink>
        </w:p>
        <w:p w14:paraId="48D1A1ED" w14:textId="0F55578E" w:rsidR="009301E0" w:rsidRDefault="009301E0">
          <w:pPr>
            <w:pStyle w:val="TOC3"/>
            <w:tabs>
              <w:tab w:val="right" w:leader="dot" w:pos="9016"/>
            </w:tabs>
            <w:rPr>
              <w:noProof/>
            </w:rPr>
          </w:pPr>
          <w:hyperlink w:anchor="_Toc237612398" w:history="1">
            <w:r w:rsidRPr="005E7CD2">
              <w:rPr>
                <w:rStyle w:val="Hyperlink"/>
                <w:noProof/>
              </w:rPr>
              <w:t>Housing and Accessibility Issues</w:t>
            </w:r>
            <w:r>
              <w:rPr>
                <w:noProof/>
                <w:webHidden/>
              </w:rPr>
              <w:tab/>
            </w:r>
            <w:r>
              <w:rPr>
                <w:noProof/>
                <w:webHidden/>
              </w:rPr>
              <w:fldChar w:fldCharType="begin"/>
            </w:r>
            <w:r>
              <w:rPr>
                <w:noProof/>
                <w:webHidden/>
              </w:rPr>
              <w:instrText xml:space="preserve"> PAGEREF _Toc237612398 \h </w:instrText>
            </w:r>
            <w:r>
              <w:rPr>
                <w:noProof/>
                <w:webHidden/>
              </w:rPr>
            </w:r>
            <w:r>
              <w:rPr>
                <w:noProof/>
                <w:webHidden/>
              </w:rPr>
              <w:fldChar w:fldCharType="separate"/>
            </w:r>
            <w:r>
              <w:rPr>
                <w:noProof/>
                <w:webHidden/>
              </w:rPr>
              <w:t>4</w:t>
            </w:r>
            <w:r>
              <w:rPr>
                <w:noProof/>
                <w:webHidden/>
              </w:rPr>
              <w:fldChar w:fldCharType="end"/>
            </w:r>
          </w:hyperlink>
        </w:p>
        <w:p w14:paraId="2D3DE6A1" w14:textId="78699883" w:rsidR="009301E0" w:rsidRDefault="009301E0">
          <w:pPr>
            <w:pStyle w:val="TOC3"/>
            <w:tabs>
              <w:tab w:val="right" w:leader="dot" w:pos="9016"/>
            </w:tabs>
            <w:rPr>
              <w:noProof/>
            </w:rPr>
          </w:pPr>
          <w:hyperlink w:anchor="_Toc237612399" w:history="1">
            <w:r w:rsidRPr="005E7CD2">
              <w:rPr>
                <w:rStyle w:val="Hyperlink"/>
                <w:noProof/>
              </w:rPr>
              <w:t>National Responses to Reduce Health Inequalities</w:t>
            </w:r>
            <w:r>
              <w:rPr>
                <w:noProof/>
                <w:webHidden/>
              </w:rPr>
              <w:tab/>
            </w:r>
            <w:r>
              <w:rPr>
                <w:noProof/>
                <w:webHidden/>
              </w:rPr>
              <w:fldChar w:fldCharType="begin"/>
            </w:r>
            <w:r>
              <w:rPr>
                <w:noProof/>
                <w:webHidden/>
              </w:rPr>
              <w:instrText xml:space="preserve"> PAGEREF _Toc237612399 \h </w:instrText>
            </w:r>
            <w:r>
              <w:rPr>
                <w:noProof/>
                <w:webHidden/>
              </w:rPr>
            </w:r>
            <w:r>
              <w:rPr>
                <w:noProof/>
                <w:webHidden/>
              </w:rPr>
              <w:fldChar w:fldCharType="separate"/>
            </w:r>
            <w:r>
              <w:rPr>
                <w:noProof/>
                <w:webHidden/>
              </w:rPr>
              <w:t>4</w:t>
            </w:r>
            <w:r>
              <w:rPr>
                <w:noProof/>
                <w:webHidden/>
              </w:rPr>
              <w:fldChar w:fldCharType="end"/>
            </w:r>
          </w:hyperlink>
        </w:p>
        <w:p w14:paraId="3AC566AF" w14:textId="359ED769" w:rsidR="009301E0" w:rsidRDefault="009301E0">
          <w:pPr>
            <w:pStyle w:val="TOC3"/>
            <w:tabs>
              <w:tab w:val="right" w:leader="dot" w:pos="9016"/>
            </w:tabs>
            <w:rPr>
              <w:noProof/>
            </w:rPr>
          </w:pPr>
          <w:hyperlink w:anchor="_Toc237612400" w:history="1">
            <w:r w:rsidRPr="005E7CD2">
              <w:rPr>
                <w:rStyle w:val="Hyperlink"/>
                <w:noProof/>
              </w:rPr>
              <w:t>Organisation Supporting the Chosen Group: Scope</w:t>
            </w:r>
            <w:r>
              <w:rPr>
                <w:noProof/>
                <w:webHidden/>
              </w:rPr>
              <w:tab/>
            </w:r>
            <w:r>
              <w:rPr>
                <w:noProof/>
                <w:webHidden/>
              </w:rPr>
              <w:fldChar w:fldCharType="begin"/>
            </w:r>
            <w:r>
              <w:rPr>
                <w:noProof/>
                <w:webHidden/>
              </w:rPr>
              <w:instrText xml:space="preserve"> PAGEREF _Toc237612400 \h </w:instrText>
            </w:r>
            <w:r>
              <w:rPr>
                <w:noProof/>
                <w:webHidden/>
              </w:rPr>
            </w:r>
            <w:r>
              <w:rPr>
                <w:noProof/>
                <w:webHidden/>
              </w:rPr>
              <w:fldChar w:fldCharType="separate"/>
            </w:r>
            <w:r>
              <w:rPr>
                <w:noProof/>
                <w:webHidden/>
              </w:rPr>
              <w:t>4</w:t>
            </w:r>
            <w:r>
              <w:rPr>
                <w:noProof/>
                <w:webHidden/>
              </w:rPr>
              <w:fldChar w:fldCharType="end"/>
            </w:r>
          </w:hyperlink>
        </w:p>
        <w:p w14:paraId="42012A41" w14:textId="75D796BF" w:rsidR="009301E0" w:rsidRDefault="009301E0">
          <w:pPr>
            <w:pStyle w:val="TOC3"/>
            <w:tabs>
              <w:tab w:val="right" w:leader="dot" w:pos="9016"/>
            </w:tabs>
            <w:rPr>
              <w:noProof/>
            </w:rPr>
          </w:pPr>
          <w:hyperlink w:anchor="_Toc237612401" w:history="1">
            <w:r w:rsidRPr="005E7CD2">
              <w:rPr>
                <w:rStyle w:val="Hyperlink"/>
                <w:noProof/>
              </w:rPr>
              <w:t>Conclusion</w:t>
            </w:r>
            <w:r>
              <w:rPr>
                <w:noProof/>
                <w:webHidden/>
              </w:rPr>
              <w:tab/>
            </w:r>
            <w:r>
              <w:rPr>
                <w:noProof/>
                <w:webHidden/>
              </w:rPr>
              <w:fldChar w:fldCharType="begin"/>
            </w:r>
            <w:r>
              <w:rPr>
                <w:noProof/>
                <w:webHidden/>
              </w:rPr>
              <w:instrText xml:space="preserve"> PAGEREF _Toc237612401 \h </w:instrText>
            </w:r>
            <w:r>
              <w:rPr>
                <w:noProof/>
                <w:webHidden/>
              </w:rPr>
            </w:r>
            <w:r>
              <w:rPr>
                <w:noProof/>
                <w:webHidden/>
              </w:rPr>
              <w:fldChar w:fldCharType="separate"/>
            </w:r>
            <w:r>
              <w:rPr>
                <w:noProof/>
                <w:webHidden/>
              </w:rPr>
              <w:t>4</w:t>
            </w:r>
            <w:r>
              <w:rPr>
                <w:noProof/>
                <w:webHidden/>
              </w:rPr>
              <w:fldChar w:fldCharType="end"/>
            </w:r>
          </w:hyperlink>
        </w:p>
        <w:p w14:paraId="41BEE1EB" w14:textId="419F9303" w:rsidR="009301E0" w:rsidRDefault="009301E0">
          <w:pPr>
            <w:pStyle w:val="TOC1"/>
            <w:tabs>
              <w:tab w:val="right" w:leader="dot" w:pos="9016"/>
            </w:tabs>
            <w:rPr>
              <w:noProof/>
            </w:rPr>
          </w:pPr>
          <w:hyperlink w:anchor="_Toc237612402" w:history="1">
            <w:r w:rsidRPr="005E7CD2">
              <w:rPr>
                <w:rStyle w:val="Hyperlink"/>
                <w:noProof/>
              </w:rPr>
              <w:t>Task 2: Epidemiological Analysis</w:t>
            </w:r>
            <w:r>
              <w:rPr>
                <w:noProof/>
                <w:webHidden/>
              </w:rPr>
              <w:tab/>
            </w:r>
            <w:r>
              <w:rPr>
                <w:noProof/>
                <w:webHidden/>
              </w:rPr>
              <w:fldChar w:fldCharType="begin"/>
            </w:r>
            <w:r>
              <w:rPr>
                <w:noProof/>
                <w:webHidden/>
              </w:rPr>
              <w:instrText xml:space="preserve"> PAGEREF _Toc237612402 \h </w:instrText>
            </w:r>
            <w:r>
              <w:rPr>
                <w:noProof/>
                <w:webHidden/>
              </w:rPr>
            </w:r>
            <w:r>
              <w:rPr>
                <w:noProof/>
                <w:webHidden/>
              </w:rPr>
              <w:fldChar w:fldCharType="separate"/>
            </w:r>
            <w:r>
              <w:rPr>
                <w:noProof/>
                <w:webHidden/>
              </w:rPr>
              <w:t>5</w:t>
            </w:r>
            <w:r>
              <w:rPr>
                <w:noProof/>
                <w:webHidden/>
              </w:rPr>
              <w:fldChar w:fldCharType="end"/>
            </w:r>
          </w:hyperlink>
        </w:p>
        <w:p w14:paraId="52EDDA33" w14:textId="6C0198EA" w:rsidR="009301E0" w:rsidRDefault="009301E0">
          <w:pPr>
            <w:pStyle w:val="TOC2"/>
            <w:tabs>
              <w:tab w:val="right" w:leader="dot" w:pos="9016"/>
            </w:tabs>
            <w:rPr>
              <w:noProof/>
            </w:rPr>
          </w:pPr>
          <w:hyperlink w:anchor="_Toc237612403" w:history="1">
            <w:r w:rsidRPr="005E7CD2">
              <w:rPr>
                <w:rStyle w:val="Hyperlink"/>
                <w:noProof/>
              </w:rPr>
              <w:t>Dementia in Wandsworth: Epidemiological Identification, Assessment and Management of a Major Public Health Problem</w:t>
            </w:r>
            <w:r>
              <w:rPr>
                <w:noProof/>
                <w:webHidden/>
              </w:rPr>
              <w:tab/>
            </w:r>
            <w:r>
              <w:rPr>
                <w:noProof/>
                <w:webHidden/>
              </w:rPr>
              <w:fldChar w:fldCharType="begin"/>
            </w:r>
            <w:r>
              <w:rPr>
                <w:noProof/>
                <w:webHidden/>
              </w:rPr>
              <w:instrText xml:space="preserve"> PAGEREF _Toc237612403 \h </w:instrText>
            </w:r>
            <w:r>
              <w:rPr>
                <w:noProof/>
                <w:webHidden/>
              </w:rPr>
            </w:r>
            <w:r>
              <w:rPr>
                <w:noProof/>
                <w:webHidden/>
              </w:rPr>
              <w:fldChar w:fldCharType="separate"/>
            </w:r>
            <w:r>
              <w:rPr>
                <w:noProof/>
                <w:webHidden/>
              </w:rPr>
              <w:t>5</w:t>
            </w:r>
            <w:r>
              <w:rPr>
                <w:noProof/>
                <w:webHidden/>
              </w:rPr>
              <w:fldChar w:fldCharType="end"/>
            </w:r>
          </w:hyperlink>
        </w:p>
        <w:p w14:paraId="09D8AA9A" w14:textId="7DAC6F44" w:rsidR="009301E0" w:rsidRDefault="009301E0">
          <w:pPr>
            <w:pStyle w:val="TOC3"/>
            <w:tabs>
              <w:tab w:val="right" w:leader="dot" w:pos="9016"/>
            </w:tabs>
            <w:rPr>
              <w:noProof/>
            </w:rPr>
          </w:pPr>
          <w:hyperlink w:anchor="_Toc237612404" w:history="1">
            <w:r w:rsidRPr="005E7CD2">
              <w:rPr>
                <w:rStyle w:val="Hyperlink"/>
                <w:noProof/>
              </w:rPr>
              <w:t>Introduction</w:t>
            </w:r>
            <w:r>
              <w:rPr>
                <w:noProof/>
                <w:webHidden/>
              </w:rPr>
              <w:tab/>
            </w:r>
            <w:r>
              <w:rPr>
                <w:noProof/>
                <w:webHidden/>
              </w:rPr>
              <w:fldChar w:fldCharType="begin"/>
            </w:r>
            <w:r>
              <w:rPr>
                <w:noProof/>
                <w:webHidden/>
              </w:rPr>
              <w:instrText xml:space="preserve"> PAGEREF _Toc237612404 \h </w:instrText>
            </w:r>
            <w:r>
              <w:rPr>
                <w:noProof/>
                <w:webHidden/>
              </w:rPr>
            </w:r>
            <w:r>
              <w:rPr>
                <w:noProof/>
                <w:webHidden/>
              </w:rPr>
              <w:fldChar w:fldCharType="separate"/>
            </w:r>
            <w:r>
              <w:rPr>
                <w:noProof/>
                <w:webHidden/>
              </w:rPr>
              <w:t>5</w:t>
            </w:r>
            <w:r>
              <w:rPr>
                <w:noProof/>
                <w:webHidden/>
              </w:rPr>
              <w:fldChar w:fldCharType="end"/>
            </w:r>
          </w:hyperlink>
        </w:p>
        <w:p w14:paraId="581581C7" w14:textId="2B82F61A" w:rsidR="009301E0" w:rsidRDefault="009301E0">
          <w:pPr>
            <w:pStyle w:val="TOC3"/>
            <w:tabs>
              <w:tab w:val="right" w:leader="dot" w:pos="9016"/>
            </w:tabs>
            <w:rPr>
              <w:noProof/>
            </w:rPr>
          </w:pPr>
          <w:hyperlink w:anchor="_Toc237612405" w:history="1">
            <w:r w:rsidRPr="005E7CD2">
              <w:rPr>
                <w:rStyle w:val="Hyperlink"/>
                <w:noProof/>
              </w:rPr>
              <w:t>Determinants and Risk Factors</w:t>
            </w:r>
            <w:r>
              <w:rPr>
                <w:noProof/>
                <w:webHidden/>
              </w:rPr>
              <w:tab/>
            </w:r>
            <w:r>
              <w:rPr>
                <w:noProof/>
                <w:webHidden/>
              </w:rPr>
              <w:fldChar w:fldCharType="begin"/>
            </w:r>
            <w:r>
              <w:rPr>
                <w:noProof/>
                <w:webHidden/>
              </w:rPr>
              <w:instrText xml:space="preserve"> PAGEREF _Toc237612405 \h </w:instrText>
            </w:r>
            <w:r>
              <w:rPr>
                <w:noProof/>
                <w:webHidden/>
              </w:rPr>
            </w:r>
            <w:r>
              <w:rPr>
                <w:noProof/>
                <w:webHidden/>
              </w:rPr>
              <w:fldChar w:fldCharType="separate"/>
            </w:r>
            <w:r>
              <w:rPr>
                <w:noProof/>
                <w:webHidden/>
              </w:rPr>
              <w:t>5</w:t>
            </w:r>
            <w:r>
              <w:rPr>
                <w:noProof/>
                <w:webHidden/>
              </w:rPr>
              <w:fldChar w:fldCharType="end"/>
            </w:r>
          </w:hyperlink>
        </w:p>
        <w:p w14:paraId="4C209319" w14:textId="4C8B92A3" w:rsidR="009301E0" w:rsidRDefault="009301E0">
          <w:pPr>
            <w:pStyle w:val="TOC3"/>
            <w:tabs>
              <w:tab w:val="right" w:leader="dot" w:pos="9016"/>
            </w:tabs>
            <w:rPr>
              <w:noProof/>
            </w:rPr>
          </w:pPr>
          <w:hyperlink w:anchor="_Toc237612406" w:history="1">
            <w:r w:rsidRPr="005E7CD2">
              <w:rPr>
                <w:rStyle w:val="Hyperlink"/>
                <w:noProof/>
              </w:rPr>
              <w:t>Health Needs Assessment and Identification of Those at Risk</w:t>
            </w:r>
            <w:r>
              <w:rPr>
                <w:noProof/>
                <w:webHidden/>
              </w:rPr>
              <w:tab/>
            </w:r>
            <w:r>
              <w:rPr>
                <w:noProof/>
                <w:webHidden/>
              </w:rPr>
              <w:fldChar w:fldCharType="begin"/>
            </w:r>
            <w:r>
              <w:rPr>
                <w:noProof/>
                <w:webHidden/>
              </w:rPr>
              <w:instrText xml:space="preserve"> PAGEREF _Toc237612406 \h </w:instrText>
            </w:r>
            <w:r>
              <w:rPr>
                <w:noProof/>
                <w:webHidden/>
              </w:rPr>
            </w:r>
            <w:r>
              <w:rPr>
                <w:noProof/>
                <w:webHidden/>
              </w:rPr>
              <w:fldChar w:fldCharType="separate"/>
            </w:r>
            <w:r>
              <w:rPr>
                <w:noProof/>
                <w:webHidden/>
              </w:rPr>
              <w:t>6</w:t>
            </w:r>
            <w:r>
              <w:rPr>
                <w:noProof/>
                <w:webHidden/>
              </w:rPr>
              <w:fldChar w:fldCharType="end"/>
            </w:r>
          </w:hyperlink>
        </w:p>
        <w:p w14:paraId="18B7FDD3" w14:textId="1116482F" w:rsidR="009301E0" w:rsidRDefault="009301E0">
          <w:pPr>
            <w:pStyle w:val="TOC3"/>
            <w:tabs>
              <w:tab w:val="right" w:leader="dot" w:pos="9016"/>
            </w:tabs>
            <w:rPr>
              <w:noProof/>
            </w:rPr>
          </w:pPr>
          <w:hyperlink w:anchor="_Toc237612407" w:history="1">
            <w:r w:rsidRPr="005E7CD2">
              <w:rPr>
                <w:rStyle w:val="Hyperlink"/>
                <w:noProof/>
              </w:rPr>
              <w:t>Epidemiological Studies and Their Use</w:t>
            </w:r>
            <w:r>
              <w:rPr>
                <w:noProof/>
                <w:webHidden/>
              </w:rPr>
              <w:tab/>
            </w:r>
            <w:r>
              <w:rPr>
                <w:noProof/>
                <w:webHidden/>
              </w:rPr>
              <w:fldChar w:fldCharType="begin"/>
            </w:r>
            <w:r>
              <w:rPr>
                <w:noProof/>
                <w:webHidden/>
              </w:rPr>
              <w:instrText xml:space="preserve"> PAGEREF _Toc237612407 \h </w:instrText>
            </w:r>
            <w:r>
              <w:rPr>
                <w:noProof/>
                <w:webHidden/>
              </w:rPr>
            </w:r>
            <w:r>
              <w:rPr>
                <w:noProof/>
                <w:webHidden/>
              </w:rPr>
              <w:fldChar w:fldCharType="separate"/>
            </w:r>
            <w:r>
              <w:rPr>
                <w:noProof/>
                <w:webHidden/>
              </w:rPr>
              <w:t>6</w:t>
            </w:r>
            <w:r>
              <w:rPr>
                <w:noProof/>
                <w:webHidden/>
              </w:rPr>
              <w:fldChar w:fldCharType="end"/>
            </w:r>
          </w:hyperlink>
        </w:p>
        <w:p w14:paraId="65915606" w14:textId="78C8F71E" w:rsidR="009301E0" w:rsidRDefault="009301E0">
          <w:pPr>
            <w:pStyle w:val="TOC3"/>
            <w:tabs>
              <w:tab w:val="right" w:leader="dot" w:pos="9016"/>
            </w:tabs>
            <w:rPr>
              <w:noProof/>
            </w:rPr>
          </w:pPr>
          <w:hyperlink w:anchor="_Toc237612408" w:history="1">
            <w:r w:rsidRPr="005E7CD2">
              <w:rPr>
                <w:rStyle w:val="Hyperlink"/>
                <w:noProof/>
              </w:rPr>
              <w:t>Public Health Measures Using the 3 Ps</w:t>
            </w:r>
            <w:r>
              <w:rPr>
                <w:noProof/>
                <w:webHidden/>
              </w:rPr>
              <w:tab/>
            </w:r>
            <w:r>
              <w:rPr>
                <w:noProof/>
                <w:webHidden/>
              </w:rPr>
              <w:fldChar w:fldCharType="begin"/>
            </w:r>
            <w:r>
              <w:rPr>
                <w:noProof/>
                <w:webHidden/>
              </w:rPr>
              <w:instrText xml:space="preserve"> PAGEREF _Toc237612408 \h </w:instrText>
            </w:r>
            <w:r>
              <w:rPr>
                <w:noProof/>
                <w:webHidden/>
              </w:rPr>
            </w:r>
            <w:r>
              <w:rPr>
                <w:noProof/>
                <w:webHidden/>
              </w:rPr>
              <w:fldChar w:fldCharType="separate"/>
            </w:r>
            <w:r>
              <w:rPr>
                <w:noProof/>
                <w:webHidden/>
              </w:rPr>
              <w:t>6</w:t>
            </w:r>
            <w:r>
              <w:rPr>
                <w:noProof/>
                <w:webHidden/>
              </w:rPr>
              <w:fldChar w:fldCharType="end"/>
            </w:r>
          </w:hyperlink>
        </w:p>
        <w:p w14:paraId="139E243C" w14:textId="081715DA" w:rsidR="009301E0" w:rsidRDefault="009301E0">
          <w:pPr>
            <w:pStyle w:val="TOC3"/>
            <w:tabs>
              <w:tab w:val="right" w:leader="dot" w:pos="9016"/>
            </w:tabs>
            <w:rPr>
              <w:noProof/>
            </w:rPr>
          </w:pPr>
          <w:hyperlink w:anchor="_Toc237612409" w:history="1">
            <w:r w:rsidRPr="005E7CD2">
              <w:rPr>
                <w:rStyle w:val="Hyperlink"/>
                <w:noProof/>
              </w:rPr>
              <w:t>Monitoring and Surveillance</w:t>
            </w:r>
            <w:r>
              <w:rPr>
                <w:noProof/>
                <w:webHidden/>
              </w:rPr>
              <w:tab/>
            </w:r>
            <w:r>
              <w:rPr>
                <w:noProof/>
                <w:webHidden/>
              </w:rPr>
              <w:fldChar w:fldCharType="begin"/>
            </w:r>
            <w:r>
              <w:rPr>
                <w:noProof/>
                <w:webHidden/>
              </w:rPr>
              <w:instrText xml:space="preserve"> PAGEREF _Toc237612409 \h </w:instrText>
            </w:r>
            <w:r>
              <w:rPr>
                <w:noProof/>
                <w:webHidden/>
              </w:rPr>
            </w:r>
            <w:r>
              <w:rPr>
                <w:noProof/>
                <w:webHidden/>
              </w:rPr>
              <w:fldChar w:fldCharType="separate"/>
            </w:r>
            <w:r>
              <w:rPr>
                <w:noProof/>
                <w:webHidden/>
              </w:rPr>
              <w:t>7</w:t>
            </w:r>
            <w:r>
              <w:rPr>
                <w:noProof/>
                <w:webHidden/>
              </w:rPr>
              <w:fldChar w:fldCharType="end"/>
            </w:r>
          </w:hyperlink>
        </w:p>
        <w:p w14:paraId="34E0D588" w14:textId="461C5C52" w:rsidR="009301E0" w:rsidRDefault="009301E0">
          <w:pPr>
            <w:pStyle w:val="TOC3"/>
            <w:tabs>
              <w:tab w:val="right" w:leader="dot" w:pos="9016"/>
            </w:tabs>
            <w:rPr>
              <w:noProof/>
            </w:rPr>
          </w:pPr>
          <w:hyperlink w:anchor="_Toc237612410" w:history="1">
            <w:r w:rsidRPr="005E7CD2">
              <w:rPr>
                <w:rStyle w:val="Hyperlink"/>
                <w:noProof/>
              </w:rPr>
              <w:t>Public Health Impact and Consequences</w:t>
            </w:r>
            <w:r>
              <w:rPr>
                <w:noProof/>
                <w:webHidden/>
              </w:rPr>
              <w:tab/>
            </w:r>
            <w:r>
              <w:rPr>
                <w:noProof/>
                <w:webHidden/>
              </w:rPr>
              <w:fldChar w:fldCharType="begin"/>
            </w:r>
            <w:r>
              <w:rPr>
                <w:noProof/>
                <w:webHidden/>
              </w:rPr>
              <w:instrText xml:space="preserve"> PAGEREF _Toc237612410 \h </w:instrText>
            </w:r>
            <w:r>
              <w:rPr>
                <w:noProof/>
                <w:webHidden/>
              </w:rPr>
            </w:r>
            <w:r>
              <w:rPr>
                <w:noProof/>
                <w:webHidden/>
              </w:rPr>
              <w:fldChar w:fldCharType="separate"/>
            </w:r>
            <w:r>
              <w:rPr>
                <w:noProof/>
                <w:webHidden/>
              </w:rPr>
              <w:t>7</w:t>
            </w:r>
            <w:r>
              <w:rPr>
                <w:noProof/>
                <w:webHidden/>
              </w:rPr>
              <w:fldChar w:fldCharType="end"/>
            </w:r>
          </w:hyperlink>
        </w:p>
        <w:p w14:paraId="306CA40A" w14:textId="4E69A801" w:rsidR="009301E0" w:rsidRDefault="009301E0">
          <w:pPr>
            <w:pStyle w:val="TOC3"/>
            <w:tabs>
              <w:tab w:val="right" w:leader="dot" w:pos="9016"/>
            </w:tabs>
            <w:rPr>
              <w:noProof/>
            </w:rPr>
          </w:pPr>
          <w:hyperlink w:anchor="_Toc237612411" w:history="1">
            <w:r w:rsidRPr="005E7CD2">
              <w:rPr>
                <w:rStyle w:val="Hyperlink"/>
                <w:noProof/>
              </w:rPr>
              <w:t>Proposed Health Intervention Programme</w:t>
            </w:r>
            <w:r>
              <w:rPr>
                <w:noProof/>
                <w:webHidden/>
              </w:rPr>
              <w:tab/>
            </w:r>
            <w:r>
              <w:rPr>
                <w:noProof/>
                <w:webHidden/>
              </w:rPr>
              <w:fldChar w:fldCharType="begin"/>
            </w:r>
            <w:r>
              <w:rPr>
                <w:noProof/>
                <w:webHidden/>
              </w:rPr>
              <w:instrText xml:space="preserve"> PAGEREF _Toc237612411 \h </w:instrText>
            </w:r>
            <w:r>
              <w:rPr>
                <w:noProof/>
                <w:webHidden/>
              </w:rPr>
            </w:r>
            <w:r>
              <w:rPr>
                <w:noProof/>
                <w:webHidden/>
              </w:rPr>
              <w:fldChar w:fldCharType="separate"/>
            </w:r>
            <w:r>
              <w:rPr>
                <w:noProof/>
                <w:webHidden/>
              </w:rPr>
              <w:t>8</w:t>
            </w:r>
            <w:r>
              <w:rPr>
                <w:noProof/>
                <w:webHidden/>
              </w:rPr>
              <w:fldChar w:fldCharType="end"/>
            </w:r>
          </w:hyperlink>
        </w:p>
        <w:p w14:paraId="52DDE11C" w14:textId="48CFED49" w:rsidR="009301E0" w:rsidRDefault="009301E0">
          <w:pPr>
            <w:pStyle w:val="TOC3"/>
            <w:tabs>
              <w:tab w:val="right" w:leader="dot" w:pos="9016"/>
            </w:tabs>
            <w:rPr>
              <w:noProof/>
            </w:rPr>
          </w:pPr>
          <w:hyperlink w:anchor="_Toc237612412" w:history="1">
            <w:r w:rsidRPr="005E7CD2">
              <w:rPr>
                <w:rStyle w:val="Hyperlink"/>
                <w:noProof/>
              </w:rPr>
              <w:t>Evaluation of the Intervention</w:t>
            </w:r>
            <w:r>
              <w:rPr>
                <w:noProof/>
                <w:webHidden/>
              </w:rPr>
              <w:tab/>
            </w:r>
            <w:r>
              <w:rPr>
                <w:noProof/>
                <w:webHidden/>
              </w:rPr>
              <w:fldChar w:fldCharType="begin"/>
            </w:r>
            <w:r>
              <w:rPr>
                <w:noProof/>
                <w:webHidden/>
              </w:rPr>
              <w:instrText xml:space="preserve"> PAGEREF _Toc237612412 \h </w:instrText>
            </w:r>
            <w:r>
              <w:rPr>
                <w:noProof/>
                <w:webHidden/>
              </w:rPr>
            </w:r>
            <w:r>
              <w:rPr>
                <w:noProof/>
                <w:webHidden/>
              </w:rPr>
              <w:fldChar w:fldCharType="separate"/>
            </w:r>
            <w:r>
              <w:rPr>
                <w:noProof/>
                <w:webHidden/>
              </w:rPr>
              <w:t>8</w:t>
            </w:r>
            <w:r>
              <w:rPr>
                <w:noProof/>
                <w:webHidden/>
              </w:rPr>
              <w:fldChar w:fldCharType="end"/>
            </w:r>
          </w:hyperlink>
        </w:p>
        <w:p w14:paraId="2511C1F8" w14:textId="78F5691C" w:rsidR="009301E0" w:rsidRDefault="009301E0">
          <w:pPr>
            <w:pStyle w:val="TOC3"/>
            <w:tabs>
              <w:tab w:val="right" w:leader="dot" w:pos="9016"/>
            </w:tabs>
            <w:rPr>
              <w:noProof/>
            </w:rPr>
          </w:pPr>
          <w:hyperlink w:anchor="_Toc237612413" w:history="1">
            <w:r w:rsidRPr="005E7CD2">
              <w:rPr>
                <w:rStyle w:val="Hyperlink"/>
                <w:noProof/>
              </w:rPr>
              <w:t>Strengths and Weaknesses of the Epidemiological Approach</w:t>
            </w:r>
            <w:r>
              <w:rPr>
                <w:noProof/>
                <w:webHidden/>
              </w:rPr>
              <w:tab/>
            </w:r>
            <w:r>
              <w:rPr>
                <w:noProof/>
                <w:webHidden/>
              </w:rPr>
              <w:fldChar w:fldCharType="begin"/>
            </w:r>
            <w:r>
              <w:rPr>
                <w:noProof/>
                <w:webHidden/>
              </w:rPr>
              <w:instrText xml:space="preserve"> PAGEREF _Toc237612413 \h </w:instrText>
            </w:r>
            <w:r>
              <w:rPr>
                <w:noProof/>
                <w:webHidden/>
              </w:rPr>
            </w:r>
            <w:r>
              <w:rPr>
                <w:noProof/>
                <w:webHidden/>
              </w:rPr>
              <w:fldChar w:fldCharType="separate"/>
            </w:r>
            <w:r>
              <w:rPr>
                <w:noProof/>
                <w:webHidden/>
              </w:rPr>
              <w:t>8</w:t>
            </w:r>
            <w:r>
              <w:rPr>
                <w:noProof/>
                <w:webHidden/>
              </w:rPr>
              <w:fldChar w:fldCharType="end"/>
            </w:r>
          </w:hyperlink>
        </w:p>
        <w:p w14:paraId="354B15EB" w14:textId="7C9BC860" w:rsidR="009301E0" w:rsidRDefault="009301E0">
          <w:pPr>
            <w:pStyle w:val="TOC3"/>
            <w:tabs>
              <w:tab w:val="right" w:leader="dot" w:pos="9016"/>
            </w:tabs>
            <w:rPr>
              <w:noProof/>
            </w:rPr>
          </w:pPr>
          <w:hyperlink w:anchor="_Toc237612414" w:history="1">
            <w:r w:rsidRPr="005E7CD2">
              <w:rPr>
                <w:rStyle w:val="Hyperlink"/>
                <w:noProof/>
              </w:rPr>
              <w:t>Conclusion</w:t>
            </w:r>
            <w:r>
              <w:rPr>
                <w:noProof/>
                <w:webHidden/>
              </w:rPr>
              <w:tab/>
            </w:r>
            <w:r>
              <w:rPr>
                <w:noProof/>
                <w:webHidden/>
              </w:rPr>
              <w:fldChar w:fldCharType="begin"/>
            </w:r>
            <w:r>
              <w:rPr>
                <w:noProof/>
                <w:webHidden/>
              </w:rPr>
              <w:instrText xml:space="preserve"> PAGEREF _Toc237612414 \h </w:instrText>
            </w:r>
            <w:r>
              <w:rPr>
                <w:noProof/>
                <w:webHidden/>
              </w:rPr>
            </w:r>
            <w:r>
              <w:rPr>
                <w:noProof/>
                <w:webHidden/>
              </w:rPr>
              <w:fldChar w:fldCharType="separate"/>
            </w:r>
            <w:r>
              <w:rPr>
                <w:noProof/>
                <w:webHidden/>
              </w:rPr>
              <w:t>9</w:t>
            </w:r>
            <w:r>
              <w:rPr>
                <w:noProof/>
                <w:webHidden/>
              </w:rPr>
              <w:fldChar w:fldCharType="end"/>
            </w:r>
          </w:hyperlink>
        </w:p>
        <w:p w14:paraId="1C94B582" w14:textId="1692C5AB" w:rsidR="009301E0" w:rsidRDefault="009301E0">
          <w:pPr>
            <w:pStyle w:val="TOC1"/>
            <w:tabs>
              <w:tab w:val="right" w:leader="dot" w:pos="9016"/>
            </w:tabs>
            <w:rPr>
              <w:noProof/>
            </w:rPr>
          </w:pPr>
          <w:hyperlink w:anchor="_Toc237612415" w:history="1">
            <w:r w:rsidRPr="005E7CD2">
              <w:rPr>
                <w:rStyle w:val="Hyperlink"/>
                <w:noProof/>
              </w:rPr>
              <w:t>References</w:t>
            </w:r>
            <w:r>
              <w:rPr>
                <w:noProof/>
                <w:webHidden/>
              </w:rPr>
              <w:tab/>
            </w:r>
            <w:r>
              <w:rPr>
                <w:noProof/>
                <w:webHidden/>
              </w:rPr>
              <w:fldChar w:fldCharType="begin"/>
            </w:r>
            <w:r>
              <w:rPr>
                <w:noProof/>
                <w:webHidden/>
              </w:rPr>
              <w:instrText xml:space="preserve"> PAGEREF _Toc237612415 \h </w:instrText>
            </w:r>
            <w:r>
              <w:rPr>
                <w:noProof/>
                <w:webHidden/>
              </w:rPr>
            </w:r>
            <w:r>
              <w:rPr>
                <w:noProof/>
                <w:webHidden/>
              </w:rPr>
              <w:fldChar w:fldCharType="separate"/>
            </w:r>
            <w:r>
              <w:rPr>
                <w:noProof/>
                <w:webHidden/>
              </w:rPr>
              <w:t>10</w:t>
            </w:r>
            <w:r>
              <w:rPr>
                <w:noProof/>
                <w:webHidden/>
              </w:rPr>
              <w:fldChar w:fldCharType="end"/>
            </w:r>
          </w:hyperlink>
        </w:p>
        <w:p w14:paraId="0F589280" w14:textId="10040D9A" w:rsidR="004107E7" w:rsidRDefault="004107E7">
          <w:r>
            <w:rPr>
              <w:b/>
              <w:bCs/>
              <w:noProof/>
            </w:rPr>
            <w:fldChar w:fldCharType="end"/>
          </w:r>
        </w:p>
      </w:sdtContent>
    </w:sdt>
    <w:p w14:paraId="063838BF" w14:textId="77777777" w:rsidR="00503C0C" w:rsidRPr="00046C10" w:rsidRDefault="00503C0C" w:rsidP="00046C10">
      <w:pPr>
        <w:pStyle w:val="p1"/>
        <w:spacing w:line="360" w:lineRule="auto"/>
        <w:rPr>
          <w:rStyle w:val="s1"/>
          <w:rFonts w:ascii="Arial" w:hAnsi="Arial" w:cs="Arial"/>
          <w:sz w:val="22"/>
          <w:szCs w:val="22"/>
        </w:rPr>
      </w:pPr>
    </w:p>
    <w:p w14:paraId="47208EB9" w14:textId="77777777" w:rsidR="00503C0C" w:rsidRPr="00046C10" w:rsidRDefault="00503C0C" w:rsidP="00046C10">
      <w:pPr>
        <w:pStyle w:val="p1"/>
        <w:spacing w:line="360" w:lineRule="auto"/>
        <w:rPr>
          <w:rStyle w:val="s1"/>
          <w:rFonts w:ascii="Arial" w:hAnsi="Arial" w:cs="Arial"/>
          <w:sz w:val="22"/>
          <w:szCs w:val="22"/>
        </w:rPr>
      </w:pPr>
    </w:p>
    <w:p w14:paraId="6F9895BC" w14:textId="77777777" w:rsidR="00A96F5F" w:rsidRPr="00A96F5F" w:rsidRDefault="00A96F5F" w:rsidP="00A96F5F">
      <w:pPr>
        <w:pStyle w:val="Heading1"/>
        <w:rPr>
          <w:rStyle w:val="s1"/>
          <w:rFonts w:asciiTheme="majorHAnsi" w:hAnsiTheme="majorHAnsi"/>
          <w:sz w:val="40"/>
          <w:szCs w:val="40"/>
        </w:rPr>
      </w:pPr>
      <w:bookmarkStart w:id="0" w:name="_Toc237612390"/>
      <w:r w:rsidRPr="00A96F5F">
        <w:rPr>
          <w:rStyle w:val="s1"/>
          <w:rFonts w:asciiTheme="majorHAnsi" w:hAnsiTheme="majorHAnsi"/>
          <w:sz w:val="40"/>
          <w:szCs w:val="40"/>
        </w:rPr>
        <w:t>Task 1: Social Epidemiological Analysis</w:t>
      </w:r>
      <w:bookmarkEnd w:id="0"/>
      <w:r w:rsidRPr="00A96F5F">
        <w:rPr>
          <w:rStyle w:val="s1"/>
          <w:rFonts w:asciiTheme="majorHAnsi" w:hAnsiTheme="majorHAnsi"/>
          <w:sz w:val="40"/>
          <w:szCs w:val="40"/>
        </w:rPr>
        <w:t xml:space="preserve"> </w:t>
      </w:r>
    </w:p>
    <w:p w14:paraId="36DE21D1" w14:textId="010FAB6E" w:rsidR="00BA19A8" w:rsidRPr="00A96F5F" w:rsidRDefault="00A96F5F" w:rsidP="00A96F5F">
      <w:pPr>
        <w:pStyle w:val="Heading2"/>
        <w:rPr>
          <w:rStyle w:val="s1"/>
          <w:rFonts w:asciiTheme="majorHAnsi" w:hAnsiTheme="majorHAnsi"/>
          <w:sz w:val="32"/>
          <w:szCs w:val="32"/>
        </w:rPr>
      </w:pPr>
      <w:bookmarkStart w:id="1" w:name="_Toc237612391"/>
      <w:r w:rsidRPr="00A96F5F">
        <w:rPr>
          <w:rStyle w:val="s1"/>
          <w:rFonts w:asciiTheme="majorHAnsi" w:hAnsiTheme="majorHAnsi"/>
          <w:sz w:val="32"/>
          <w:szCs w:val="32"/>
        </w:rPr>
        <w:t>Disability and Health Inequality in the United Kingdom: A Social Epidemiological Analysis</w:t>
      </w:r>
      <w:bookmarkEnd w:id="1"/>
      <w:r w:rsidRPr="00A96F5F">
        <w:rPr>
          <w:rStyle w:val="s1"/>
          <w:rFonts w:asciiTheme="majorHAnsi" w:hAnsiTheme="majorHAnsi"/>
          <w:sz w:val="32"/>
          <w:szCs w:val="32"/>
        </w:rPr>
        <w:t xml:space="preserve"> </w:t>
      </w:r>
    </w:p>
    <w:p w14:paraId="67A26E53" w14:textId="315F4612" w:rsidR="00C93B47" w:rsidRPr="004057CD" w:rsidRDefault="007B4A11" w:rsidP="00A96F5F">
      <w:pPr>
        <w:pStyle w:val="Heading3"/>
        <w:rPr>
          <w:rStyle w:val="s1"/>
          <w:rFonts w:ascii="Arial" w:hAnsi="Arial" w:cs="Arial"/>
          <w:sz w:val="36"/>
          <w:szCs w:val="36"/>
        </w:rPr>
      </w:pPr>
      <w:bookmarkStart w:id="2" w:name="_Toc237612392"/>
      <w:r w:rsidRPr="00A96F5F">
        <w:rPr>
          <w:rStyle w:val="s1"/>
          <w:rFonts w:asciiTheme="minorHAnsi" w:hAnsiTheme="minorHAnsi"/>
          <w:sz w:val="28"/>
          <w:szCs w:val="28"/>
        </w:rPr>
        <w:t>Introduction</w:t>
      </w:r>
      <w:bookmarkEnd w:id="2"/>
    </w:p>
    <w:p w14:paraId="068C6150" w14:textId="53D23991" w:rsidR="00034470" w:rsidRPr="00034470" w:rsidRDefault="00034470" w:rsidP="00034470">
      <w:pPr>
        <w:pStyle w:val="p1"/>
        <w:spacing w:line="360" w:lineRule="auto"/>
        <w:divId w:val="598297075"/>
        <w:rPr>
          <w:rStyle w:val="s1"/>
          <w:rFonts w:ascii="Arial" w:hAnsi="Arial" w:cs="Arial"/>
          <w:sz w:val="22"/>
          <w:szCs w:val="22"/>
        </w:rPr>
      </w:pPr>
      <w:r w:rsidRPr="00034470">
        <w:rPr>
          <w:rStyle w:val="s1"/>
          <w:rFonts w:ascii="Arial" w:hAnsi="Arial" w:cs="Arial"/>
          <w:sz w:val="22"/>
          <w:szCs w:val="22"/>
        </w:rPr>
        <w:t xml:space="preserve">The target group is disabled people living in the United Kingdom. Under the Equality Act 2010, a person is disabled if they have a physical or mental impairment with a substantial and long-term negative effect on normal day-to-day activities (UK Government, 2010). Disability is common: one in four people in the UK </w:t>
      </w:r>
      <w:r w:rsidR="008121F6">
        <w:rPr>
          <w:rStyle w:val="s1"/>
          <w:rFonts w:ascii="Arial" w:hAnsi="Arial" w:cs="Arial"/>
          <w:sz w:val="22"/>
          <w:szCs w:val="22"/>
        </w:rPr>
        <w:t>was</w:t>
      </w:r>
      <w:r w:rsidRPr="00034470">
        <w:rPr>
          <w:rStyle w:val="s1"/>
          <w:rFonts w:ascii="Arial" w:hAnsi="Arial" w:cs="Arial"/>
          <w:sz w:val="22"/>
          <w:szCs w:val="22"/>
        </w:rPr>
        <w:t xml:space="preserve"> disabled in 2024/25 (Department for Work and Pensions, 2026). Disability does not inevitably cause poor health. Inequalities arise when impairment interacts with inaccessible services, discrimination, poverty, unemployment, unsuitable housing and restricted social participation. WHO (2022) describes many of these differences as avoidable, unfair and unjust. Social epidemiology is therefore useful because it examines how social conditions shape patterns of health and disease. Health inequality refers to systematic differences in health between population groups; the key concern is whether those differences are avoidable and socially produced. This perspective prevents disability from being treated only as an individual medical problem and instead highlights the role of environments, institutions and unequal access to resources. </w:t>
      </w:r>
    </w:p>
    <w:p w14:paraId="430BE472" w14:textId="77777777" w:rsidR="00034470" w:rsidRPr="0086152D" w:rsidRDefault="00034470" w:rsidP="00847D5B">
      <w:pPr>
        <w:pStyle w:val="Heading3"/>
        <w:divId w:val="598297075"/>
        <w:rPr>
          <w:rStyle w:val="s1"/>
          <w:rFonts w:asciiTheme="minorHAnsi" w:hAnsiTheme="minorHAnsi"/>
          <w:sz w:val="28"/>
          <w:szCs w:val="28"/>
        </w:rPr>
      </w:pPr>
      <w:bookmarkStart w:id="3" w:name="_Toc237612393"/>
      <w:r w:rsidRPr="0086152D">
        <w:rPr>
          <w:rStyle w:val="s1"/>
          <w:rFonts w:asciiTheme="minorHAnsi" w:hAnsiTheme="minorHAnsi"/>
          <w:sz w:val="28"/>
          <w:szCs w:val="28"/>
        </w:rPr>
        <w:t>Higher Rates of Depression and Anxiety</w:t>
      </w:r>
      <w:bookmarkEnd w:id="3"/>
      <w:r w:rsidRPr="0086152D">
        <w:rPr>
          <w:rStyle w:val="s1"/>
          <w:rFonts w:asciiTheme="minorHAnsi" w:hAnsiTheme="minorHAnsi"/>
          <w:sz w:val="28"/>
          <w:szCs w:val="28"/>
        </w:rPr>
        <w:t xml:space="preserve"> </w:t>
      </w:r>
    </w:p>
    <w:p w14:paraId="6C207D0B" w14:textId="77777777" w:rsidR="00034470" w:rsidRDefault="00034470" w:rsidP="00034470">
      <w:pPr>
        <w:pStyle w:val="p1"/>
        <w:spacing w:line="360" w:lineRule="auto"/>
        <w:divId w:val="598297075"/>
        <w:rPr>
          <w:rStyle w:val="s1"/>
          <w:rFonts w:ascii="Arial" w:hAnsi="Arial" w:cs="Arial"/>
          <w:sz w:val="22"/>
          <w:szCs w:val="22"/>
        </w:rPr>
      </w:pPr>
      <w:r w:rsidRPr="00034470">
        <w:rPr>
          <w:rStyle w:val="s1"/>
          <w:rFonts w:ascii="Arial" w:hAnsi="Arial" w:cs="Arial"/>
          <w:sz w:val="22"/>
          <w:szCs w:val="22"/>
        </w:rPr>
        <w:t xml:space="preserve">Mental ill-health is a major inequality. ONS found that 35% of disabled adults experienced some form of depression compared with 7% of non-disabled adults (ONS, 2022a). Chronic pain, discrimination, social exclusion, insecure income and barriers to work can all contribute. Some mental health conditions are themselves disabling, so the relationship is bidirectional rather than simply causal. Inequality can be reduced through accessible psychological therapies, reasonable adjustments, flexible appointments and action on poverty and discrimination. </w:t>
      </w:r>
    </w:p>
    <w:p w14:paraId="4915C9D0" w14:textId="77777777" w:rsidR="00B44794" w:rsidRDefault="00B44794" w:rsidP="00034470">
      <w:pPr>
        <w:pStyle w:val="p1"/>
        <w:spacing w:line="360" w:lineRule="auto"/>
        <w:divId w:val="598297075"/>
        <w:rPr>
          <w:rStyle w:val="s1"/>
          <w:rFonts w:ascii="Arial" w:hAnsi="Arial" w:cs="Arial"/>
          <w:sz w:val="22"/>
          <w:szCs w:val="22"/>
        </w:rPr>
      </w:pPr>
    </w:p>
    <w:p w14:paraId="6F555A3D" w14:textId="5E6B339A" w:rsidR="00B44794" w:rsidRDefault="00EB4075" w:rsidP="00034470">
      <w:pPr>
        <w:pStyle w:val="p1"/>
        <w:spacing w:line="360" w:lineRule="auto"/>
        <w:divId w:val="598297075"/>
        <w:rPr>
          <w:rStyle w:val="s1"/>
          <w:rFonts w:ascii="Arial" w:hAnsi="Arial" w:cs="Arial"/>
          <w:sz w:val="22"/>
          <w:szCs w:val="22"/>
        </w:rPr>
      </w:pPr>
      <w:r>
        <w:rPr>
          <w:rFonts w:ascii="Arial" w:hAnsi="Arial" w:cs="Arial"/>
          <w:noProof/>
          <w:sz w:val="22"/>
          <w:szCs w:val="22"/>
          <w14:ligatures w14:val="standardContextual"/>
        </w:rPr>
        <w:lastRenderedPageBreak/>
        <w:drawing>
          <wp:inline distT="0" distB="0" distL="0" distR="0" wp14:anchorId="51A79561" wp14:editId="37D5849D">
            <wp:extent cx="5486400" cy="3200400"/>
            <wp:effectExtent l="0" t="0" r="0" b="0"/>
            <wp:docPr id="1545470709"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3FB2055" w14:textId="762BE9F5" w:rsidR="00976A45" w:rsidRPr="00D77322" w:rsidRDefault="00D77322" w:rsidP="00976A45">
      <w:pPr>
        <w:pStyle w:val="p1"/>
        <w:spacing w:line="360" w:lineRule="auto"/>
        <w:divId w:val="598297075"/>
        <w:rPr>
          <w:rFonts w:ascii="Arial" w:hAnsi="Arial" w:cs="Arial"/>
          <w:sz w:val="22"/>
          <w:szCs w:val="22"/>
        </w:rPr>
      </w:pPr>
      <w:r w:rsidRPr="00D77322">
        <w:rPr>
          <w:rFonts w:ascii="Arial" w:hAnsi="Arial" w:cs="Arial"/>
          <w:sz w:val="22"/>
          <w:szCs w:val="22"/>
        </w:rPr>
        <w:t>Figure 1:</w:t>
      </w:r>
      <w:r w:rsidR="00976A45" w:rsidRPr="00D77322">
        <w:rPr>
          <w:rFonts w:ascii="Arial" w:hAnsi="Arial" w:cs="Arial"/>
          <w:sz w:val="22"/>
          <w:szCs w:val="22"/>
        </w:rPr>
        <w:t xml:space="preserve"> Prevalence of depression among disabled and non-disabled adults</w:t>
      </w:r>
      <w:r w:rsidR="001C66FC" w:rsidRPr="00D77322">
        <w:rPr>
          <w:rFonts w:ascii="Arial" w:hAnsi="Arial" w:cs="Arial"/>
          <w:sz w:val="22"/>
          <w:szCs w:val="22"/>
        </w:rPr>
        <w:t xml:space="preserve"> (ONS, 20</w:t>
      </w:r>
      <w:r w:rsidR="00133E03" w:rsidRPr="00D77322">
        <w:rPr>
          <w:rFonts w:ascii="Arial" w:hAnsi="Arial" w:cs="Arial"/>
          <w:sz w:val="22"/>
          <w:szCs w:val="22"/>
        </w:rPr>
        <w:t>22a).</w:t>
      </w:r>
    </w:p>
    <w:p w14:paraId="403AB042" w14:textId="77777777" w:rsidR="00034470" w:rsidRPr="00847D5B" w:rsidRDefault="00034470" w:rsidP="00847D5B">
      <w:pPr>
        <w:pStyle w:val="Heading3"/>
        <w:divId w:val="598297075"/>
        <w:rPr>
          <w:rStyle w:val="s1"/>
          <w:rFonts w:asciiTheme="minorHAnsi" w:hAnsiTheme="minorHAnsi"/>
          <w:sz w:val="28"/>
          <w:szCs w:val="28"/>
        </w:rPr>
      </w:pPr>
      <w:bookmarkStart w:id="4" w:name="_Toc237612394"/>
      <w:r w:rsidRPr="00847D5B">
        <w:rPr>
          <w:rStyle w:val="s1"/>
          <w:rFonts w:asciiTheme="minorHAnsi" w:hAnsiTheme="minorHAnsi"/>
          <w:sz w:val="28"/>
          <w:szCs w:val="28"/>
        </w:rPr>
        <w:t>Higher Rates of Chronic Physical Illness</w:t>
      </w:r>
      <w:bookmarkEnd w:id="4"/>
      <w:r w:rsidRPr="00847D5B">
        <w:rPr>
          <w:rStyle w:val="s1"/>
          <w:rFonts w:asciiTheme="minorHAnsi" w:hAnsiTheme="minorHAnsi"/>
          <w:sz w:val="28"/>
          <w:szCs w:val="28"/>
        </w:rPr>
        <w:t xml:space="preserve"> </w:t>
      </w:r>
    </w:p>
    <w:p w14:paraId="6455DE89" w14:textId="77777777" w:rsidR="00034470" w:rsidRDefault="00034470" w:rsidP="00034470">
      <w:pPr>
        <w:pStyle w:val="p1"/>
        <w:spacing w:line="360" w:lineRule="auto"/>
        <w:divId w:val="598297075"/>
        <w:rPr>
          <w:rStyle w:val="s1"/>
          <w:rFonts w:ascii="Arial" w:hAnsi="Arial" w:cs="Arial"/>
          <w:sz w:val="22"/>
          <w:szCs w:val="22"/>
        </w:rPr>
      </w:pPr>
      <w:r w:rsidRPr="00034470">
        <w:rPr>
          <w:rStyle w:val="s1"/>
          <w:rFonts w:ascii="Arial" w:hAnsi="Arial" w:cs="Arial"/>
          <w:sz w:val="22"/>
          <w:szCs w:val="22"/>
        </w:rPr>
        <w:t xml:space="preserve">Disabled people also experience a greater burden of secondary and chronic physical illness. WHO (2023) reports up to twice the risk of conditions including asthma, diabetes, stroke and obesity. One pathway is unequal opportunity for health-promoting activity: 43% of disabled people are physically inactive compared with 23% of non-disabled people (Sport England, 2026). Inaccessible facilities, transport, cost and pain can restrict participation. Inclusive physical-activity programmes, accessible preventive services, screening and support for self-management can reduce this inequality. </w:t>
      </w:r>
    </w:p>
    <w:p w14:paraId="6CADEABF" w14:textId="77777777" w:rsidR="00D77322" w:rsidRDefault="00D77322" w:rsidP="00034470">
      <w:pPr>
        <w:pStyle w:val="p1"/>
        <w:spacing w:line="360" w:lineRule="auto"/>
        <w:divId w:val="598297075"/>
        <w:rPr>
          <w:rStyle w:val="s1"/>
          <w:rFonts w:ascii="Arial" w:hAnsi="Arial" w:cs="Arial"/>
          <w:sz w:val="22"/>
          <w:szCs w:val="22"/>
        </w:rPr>
      </w:pPr>
    </w:p>
    <w:p w14:paraId="6A74FFFC" w14:textId="08025B3E" w:rsidR="0002215E" w:rsidRPr="00034470" w:rsidRDefault="0002215E" w:rsidP="00034470">
      <w:pPr>
        <w:pStyle w:val="p1"/>
        <w:spacing w:line="360" w:lineRule="auto"/>
        <w:divId w:val="598297075"/>
        <w:rPr>
          <w:rStyle w:val="s1"/>
          <w:rFonts w:ascii="Arial" w:hAnsi="Arial" w:cs="Arial"/>
          <w:sz w:val="22"/>
          <w:szCs w:val="22"/>
        </w:rPr>
      </w:pPr>
      <w:r>
        <w:rPr>
          <w:rFonts w:ascii="Arial" w:hAnsi="Arial" w:cs="Arial"/>
          <w:noProof/>
          <w:sz w:val="22"/>
          <w:szCs w:val="22"/>
          <w14:ligatures w14:val="standardContextual"/>
        </w:rPr>
        <w:lastRenderedPageBreak/>
        <w:drawing>
          <wp:inline distT="0" distB="0" distL="0" distR="0" wp14:anchorId="5D730AD3" wp14:editId="6E7AB21E">
            <wp:extent cx="5486400" cy="3200400"/>
            <wp:effectExtent l="0" t="0" r="0" b="0"/>
            <wp:docPr id="1079206973"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D471E9C" w14:textId="5D05DC24" w:rsidR="00034470" w:rsidRPr="00034470" w:rsidRDefault="00D77322" w:rsidP="00034470">
      <w:pPr>
        <w:pStyle w:val="p1"/>
        <w:spacing w:line="360" w:lineRule="auto"/>
        <w:divId w:val="598297075"/>
        <w:rPr>
          <w:rStyle w:val="s1"/>
          <w:rFonts w:ascii="Arial" w:hAnsi="Arial" w:cs="Arial"/>
          <w:sz w:val="22"/>
          <w:szCs w:val="22"/>
        </w:rPr>
      </w:pPr>
      <w:r w:rsidRPr="00D77322">
        <w:rPr>
          <w:rStyle w:val="s1"/>
          <w:rFonts w:ascii="Arial" w:hAnsi="Arial" w:cs="Arial"/>
          <w:sz w:val="22"/>
          <w:szCs w:val="22"/>
        </w:rPr>
        <w:t>Figure 2</w:t>
      </w:r>
      <w:r>
        <w:rPr>
          <w:rStyle w:val="s1"/>
          <w:rFonts w:ascii="Arial" w:hAnsi="Arial" w:cs="Arial"/>
          <w:sz w:val="22"/>
          <w:szCs w:val="22"/>
        </w:rPr>
        <w:t xml:space="preserve">: </w:t>
      </w:r>
      <w:r w:rsidRPr="00D77322">
        <w:rPr>
          <w:rStyle w:val="s1"/>
          <w:rFonts w:ascii="Arial" w:hAnsi="Arial" w:cs="Arial"/>
          <w:sz w:val="22"/>
          <w:szCs w:val="22"/>
        </w:rPr>
        <w:t>Physical inactivity among disabled and non-disabled people</w:t>
      </w:r>
      <w:r>
        <w:rPr>
          <w:rStyle w:val="s1"/>
          <w:rFonts w:ascii="Arial" w:hAnsi="Arial" w:cs="Arial"/>
          <w:sz w:val="22"/>
          <w:szCs w:val="22"/>
        </w:rPr>
        <w:t xml:space="preserve"> (WHO, 2023).</w:t>
      </w:r>
    </w:p>
    <w:p w14:paraId="3C6E35A4" w14:textId="77777777" w:rsidR="00034470" w:rsidRPr="00691F51" w:rsidRDefault="00034470" w:rsidP="00C41540">
      <w:pPr>
        <w:pStyle w:val="Heading3"/>
        <w:divId w:val="598297075"/>
        <w:rPr>
          <w:rStyle w:val="s1"/>
          <w:rFonts w:asciiTheme="minorHAnsi" w:hAnsiTheme="minorHAnsi"/>
          <w:sz w:val="28"/>
          <w:szCs w:val="28"/>
        </w:rPr>
      </w:pPr>
      <w:bookmarkStart w:id="5" w:name="_Toc237612395"/>
      <w:r w:rsidRPr="00691F51">
        <w:rPr>
          <w:rStyle w:val="s1"/>
          <w:rFonts w:asciiTheme="minorHAnsi" w:hAnsiTheme="minorHAnsi"/>
          <w:sz w:val="28"/>
          <w:szCs w:val="28"/>
        </w:rPr>
        <w:t>Premature Mortality</w:t>
      </w:r>
      <w:bookmarkEnd w:id="5"/>
      <w:r w:rsidRPr="00691F51">
        <w:rPr>
          <w:rStyle w:val="s1"/>
          <w:rFonts w:asciiTheme="minorHAnsi" w:hAnsiTheme="minorHAnsi"/>
          <w:sz w:val="28"/>
          <w:szCs w:val="28"/>
        </w:rPr>
        <w:t xml:space="preserve"> </w:t>
      </w:r>
    </w:p>
    <w:p w14:paraId="609A6FE5" w14:textId="77777777" w:rsidR="00034470" w:rsidRPr="00034470" w:rsidRDefault="00034470" w:rsidP="00034470">
      <w:pPr>
        <w:pStyle w:val="p1"/>
        <w:spacing w:line="360" w:lineRule="auto"/>
        <w:divId w:val="598297075"/>
        <w:rPr>
          <w:rStyle w:val="s1"/>
          <w:rFonts w:ascii="Arial" w:hAnsi="Arial" w:cs="Arial"/>
          <w:sz w:val="22"/>
          <w:szCs w:val="22"/>
        </w:rPr>
      </w:pPr>
      <w:r w:rsidRPr="00034470">
        <w:rPr>
          <w:rStyle w:val="s1"/>
          <w:rFonts w:ascii="Arial" w:hAnsi="Arial" w:cs="Arial"/>
          <w:sz w:val="22"/>
          <w:szCs w:val="22"/>
        </w:rPr>
        <w:t xml:space="preserve">Premature mortality is one of the clearest health inequalities. WHO (2022) reports that some disabled people die up to 20 years earlier than people without disabilities. In England, LeDeR continues to identify preventable or treatable causes contributing to early deaths among people with learning disabilities (NHS England, 2025a). Diagnostic overshadowing, delayed recognition of illness, communication barriers and failure to make reasonable adjustments can contribute. Earlier investigation, annual health checks, accessible communication and better staff training are therefore important. </w:t>
      </w:r>
    </w:p>
    <w:p w14:paraId="2C61AC93" w14:textId="77777777" w:rsidR="00034470" w:rsidRPr="00691F51" w:rsidRDefault="00034470" w:rsidP="00C41540">
      <w:pPr>
        <w:pStyle w:val="Heading3"/>
        <w:divId w:val="598297075"/>
        <w:rPr>
          <w:rStyle w:val="s1"/>
          <w:rFonts w:asciiTheme="minorHAnsi" w:hAnsiTheme="minorHAnsi"/>
          <w:sz w:val="28"/>
          <w:szCs w:val="28"/>
        </w:rPr>
      </w:pPr>
      <w:bookmarkStart w:id="6" w:name="_Toc237612396"/>
      <w:r w:rsidRPr="00691F51">
        <w:rPr>
          <w:rStyle w:val="s1"/>
          <w:rFonts w:asciiTheme="minorHAnsi" w:hAnsiTheme="minorHAnsi"/>
          <w:sz w:val="28"/>
          <w:szCs w:val="28"/>
        </w:rPr>
        <w:t>Social Isolation and Loneliness</w:t>
      </w:r>
      <w:bookmarkEnd w:id="6"/>
      <w:r w:rsidRPr="00691F51">
        <w:rPr>
          <w:rStyle w:val="s1"/>
          <w:rFonts w:asciiTheme="minorHAnsi" w:hAnsiTheme="minorHAnsi"/>
          <w:sz w:val="28"/>
          <w:szCs w:val="28"/>
        </w:rPr>
        <w:t xml:space="preserve"> </w:t>
      </w:r>
    </w:p>
    <w:p w14:paraId="6D35A0CC" w14:textId="77777777" w:rsidR="00034470" w:rsidRDefault="00034470" w:rsidP="00034470">
      <w:pPr>
        <w:pStyle w:val="p1"/>
        <w:spacing w:line="360" w:lineRule="auto"/>
        <w:divId w:val="598297075"/>
        <w:rPr>
          <w:rStyle w:val="s1"/>
          <w:rFonts w:ascii="Arial" w:hAnsi="Arial" w:cs="Arial"/>
          <w:sz w:val="22"/>
          <w:szCs w:val="22"/>
        </w:rPr>
      </w:pPr>
      <w:r w:rsidRPr="00034470">
        <w:rPr>
          <w:rStyle w:val="s1"/>
          <w:rFonts w:ascii="Arial" w:hAnsi="Arial" w:cs="Arial"/>
          <w:sz w:val="22"/>
          <w:szCs w:val="22"/>
        </w:rPr>
        <w:t xml:space="preserve">Disabled people experience substantially higher loneliness. In England, 15.1% of disabled people reported feeling lonely “often or always” compared with 3.6% of non-disabled people (ONS, 2022b). Inaccessible transport, public spaces, communication barriers, unemployment and stigma can reduce social contact. Loneliness can worsen mental wellbeing and reduce participation. Accessible transport, inclusive community activities, peer support and digital inclusion can help address this social inequality. </w:t>
      </w:r>
    </w:p>
    <w:p w14:paraId="4C7FE812" w14:textId="62635087" w:rsidR="00F07714" w:rsidRDefault="00D964E6" w:rsidP="00034470">
      <w:pPr>
        <w:pStyle w:val="p1"/>
        <w:spacing w:line="360" w:lineRule="auto"/>
        <w:divId w:val="598297075"/>
        <w:rPr>
          <w:rStyle w:val="s1"/>
          <w:rFonts w:ascii="Arial" w:hAnsi="Arial" w:cs="Arial"/>
          <w:sz w:val="22"/>
          <w:szCs w:val="22"/>
        </w:rPr>
      </w:pPr>
      <w:r>
        <w:rPr>
          <w:rFonts w:ascii="Arial" w:hAnsi="Arial" w:cs="Arial"/>
          <w:noProof/>
          <w:sz w:val="22"/>
          <w:szCs w:val="22"/>
          <w14:ligatures w14:val="standardContextual"/>
        </w:rPr>
        <w:lastRenderedPageBreak/>
        <w:drawing>
          <wp:inline distT="0" distB="0" distL="0" distR="0" wp14:anchorId="171539CA" wp14:editId="359B5B4D">
            <wp:extent cx="5486400" cy="3200400"/>
            <wp:effectExtent l="0" t="0" r="0" b="0"/>
            <wp:docPr id="1547784822"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0BCF93C" w14:textId="3651203B" w:rsidR="00C230ED" w:rsidRPr="00F275A4" w:rsidRDefault="00C230ED" w:rsidP="00C230ED">
      <w:pPr>
        <w:pStyle w:val="p1"/>
        <w:spacing w:line="360" w:lineRule="auto"/>
        <w:divId w:val="598297075"/>
        <w:rPr>
          <w:rFonts w:ascii="Arial" w:hAnsi="Arial" w:cs="Arial"/>
          <w:sz w:val="22"/>
          <w:szCs w:val="22"/>
        </w:rPr>
      </w:pPr>
      <w:r w:rsidRPr="00F275A4">
        <w:rPr>
          <w:rFonts w:ascii="Arial" w:hAnsi="Arial" w:cs="Arial"/>
          <w:sz w:val="22"/>
          <w:szCs w:val="22"/>
        </w:rPr>
        <w:t>Figure 3</w:t>
      </w:r>
      <w:r w:rsidR="00F275A4">
        <w:rPr>
          <w:rFonts w:ascii="Arial" w:hAnsi="Arial" w:cs="Arial"/>
          <w:sz w:val="22"/>
          <w:szCs w:val="22"/>
        </w:rPr>
        <w:t xml:space="preserve">: </w:t>
      </w:r>
      <w:r w:rsidRPr="00F275A4">
        <w:rPr>
          <w:rFonts w:ascii="Arial" w:hAnsi="Arial" w:cs="Arial"/>
          <w:sz w:val="22"/>
          <w:szCs w:val="22"/>
        </w:rPr>
        <w:t>Loneliness among disabled and non-disabled people in England</w:t>
      </w:r>
      <w:r w:rsidR="00F275A4" w:rsidRPr="00F275A4">
        <w:rPr>
          <w:rFonts w:ascii="Arial" w:hAnsi="Arial" w:cs="Arial"/>
          <w:sz w:val="22"/>
          <w:szCs w:val="22"/>
        </w:rPr>
        <w:t xml:space="preserve"> (</w:t>
      </w:r>
      <w:r w:rsidRPr="00F275A4">
        <w:rPr>
          <w:rFonts w:ascii="Arial" w:hAnsi="Arial" w:cs="Arial"/>
          <w:sz w:val="22"/>
          <w:szCs w:val="22"/>
        </w:rPr>
        <w:t>ONS</w:t>
      </w:r>
      <w:r w:rsidR="00F275A4" w:rsidRPr="00F275A4">
        <w:rPr>
          <w:rFonts w:ascii="Arial" w:hAnsi="Arial" w:cs="Arial"/>
          <w:sz w:val="22"/>
          <w:szCs w:val="22"/>
        </w:rPr>
        <w:t xml:space="preserve">, </w:t>
      </w:r>
      <w:r w:rsidRPr="00F275A4">
        <w:rPr>
          <w:rFonts w:ascii="Arial" w:hAnsi="Arial" w:cs="Arial"/>
          <w:sz w:val="22"/>
          <w:szCs w:val="22"/>
        </w:rPr>
        <w:t>2022b</w:t>
      </w:r>
      <w:r w:rsidR="00F275A4" w:rsidRPr="00F275A4">
        <w:rPr>
          <w:rFonts w:ascii="Arial" w:hAnsi="Arial" w:cs="Arial"/>
          <w:sz w:val="22"/>
          <w:szCs w:val="22"/>
        </w:rPr>
        <w:t>)</w:t>
      </w:r>
    </w:p>
    <w:p w14:paraId="240224C8" w14:textId="77777777" w:rsidR="00034470" w:rsidRPr="00691F51" w:rsidRDefault="00034470" w:rsidP="00C41540">
      <w:pPr>
        <w:pStyle w:val="Heading3"/>
        <w:divId w:val="598297075"/>
        <w:rPr>
          <w:rStyle w:val="s1"/>
          <w:rFonts w:asciiTheme="minorHAnsi" w:hAnsiTheme="minorHAnsi"/>
          <w:sz w:val="28"/>
          <w:szCs w:val="28"/>
        </w:rPr>
      </w:pPr>
      <w:bookmarkStart w:id="7" w:name="_Toc237612397"/>
      <w:r w:rsidRPr="00691F51">
        <w:rPr>
          <w:rStyle w:val="s1"/>
          <w:rFonts w:asciiTheme="minorHAnsi" w:hAnsiTheme="minorHAnsi"/>
          <w:sz w:val="28"/>
          <w:szCs w:val="28"/>
        </w:rPr>
        <w:t>Poverty and Unemployment</w:t>
      </w:r>
      <w:bookmarkEnd w:id="7"/>
      <w:r w:rsidRPr="00691F51">
        <w:rPr>
          <w:rStyle w:val="s1"/>
          <w:rFonts w:asciiTheme="minorHAnsi" w:hAnsiTheme="minorHAnsi"/>
          <w:sz w:val="28"/>
          <w:szCs w:val="28"/>
        </w:rPr>
        <w:t xml:space="preserve"> </w:t>
      </w:r>
    </w:p>
    <w:p w14:paraId="09591C1E" w14:textId="77777777" w:rsidR="00034470" w:rsidRPr="00034470" w:rsidRDefault="00034470" w:rsidP="00034470">
      <w:pPr>
        <w:pStyle w:val="p1"/>
        <w:spacing w:line="360" w:lineRule="auto"/>
        <w:divId w:val="598297075"/>
        <w:rPr>
          <w:rStyle w:val="s1"/>
          <w:rFonts w:ascii="Arial" w:hAnsi="Arial" w:cs="Arial"/>
          <w:sz w:val="22"/>
          <w:szCs w:val="22"/>
        </w:rPr>
      </w:pPr>
      <w:r w:rsidRPr="00034470">
        <w:rPr>
          <w:rStyle w:val="s1"/>
          <w:rFonts w:ascii="Arial" w:hAnsi="Arial" w:cs="Arial"/>
          <w:sz w:val="22"/>
          <w:szCs w:val="22"/>
        </w:rPr>
        <w:t xml:space="preserve">Economic disadvantage is a major determinant of health. In quarter two of 2025, the disability employment rate was 52.8%, compared with 82.5% for non-disabled people (Department for Work and Pensions, 2025). Lower employment interacts with the extra costs of disability. Scope estimated in 2025 that disabled households required an additional £1,095 per month on average to achieve a similar living standard to non-disabled households (Scope, 2025). Financial strain can affect food, heating, transport and healthcare access. Workplace adjustments, accessible recruitment, flexible work, social security and Access to Work can reduce these pressures. </w:t>
      </w:r>
    </w:p>
    <w:p w14:paraId="51DBBCA2" w14:textId="603AC92D" w:rsidR="00034470" w:rsidRPr="00691F51" w:rsidRDefault="00034470" w:rsidP="00402E2D">
      <w:pPr>
        <w:pStyle w:val="Heading3"/>
        <w:divId w:val="598297075"/>
        <w:rPr>
          <w:rStyle w:val="s1"/>
          <w:rFonts w:asciiTheme="minorHAnsi" w:hAnsiTheme="minorHAnsi"/>
          <w:sz w:val="28"/>
          <w:szCs w:val="28"/>
        </w:rPr>
      </w:pPr>
      <w:bookmarkStart w:id="8" w:name="_Toc237612398"/>
      <w:r w:rsidRPr="00691F51">
        <w:rPr>
          <w:rStyle w:val="s1"/>
          <w:rFonts w:asciiTheme="minorHAnsi" w:hAnsiTheme="minorHAnsi"/>
          <w:sz w:val="28"/>
          <w:szCs w:val="28"/>
        </w:rPr>
        <w:t>Housing and Accessibility Issues</w:t>
      </w:r>
      <w:bookmarkEnd w:id="8"/>
      <w:r w:rsidRPr="00691F51">
        <w:rPr>
          <w:rStyle w:val="s1"/>
          <w:rFonts w:asciiTheme="minorHAnsi" w:hAnsiTheme="minorHAnsi"/>
          <w:sz w:val="28"/>
          <w:szCs w:val="28"/>
        </w:rPr>
        <w:t xml:space="preserve"> </w:t>
      </w:r>
    </w:p>
    <w:p w14:paraId="75E0826B" w14:textId="77777777" w:rsidR="00034470" w:rsidRPr="00034470" w:rsidRDefault="00034470" w:rsidP="00034470">
      <w:pPr>
        <w:pStyle w:val="p1"/>
        <w:spacing w:line="360" w:lineRule="auto"/>
        <w:divId w:val="598297075"/>
        <w:rPr>
          <w:rStyle w:val="s1"/>
          <w:rFonts w:ascii="Arial" w:hAnsi="Arial" w:cs="Arial"/>
          <w:sz w:val="22"/>
          <w:szCs w:val="22"/>
        </w:rPr>
      </w:pPr>
      <w:r w:rsidRPr="00034470">
        <w:rPr>
          <w:rStyle w:val="s1"/>
          <w:rFonts w:ascii="Arial" w:hAnsi="Arial" w:cs="Arial"/>
          <w:sz w:val="22"/>
          <w:szCs w:val="22"/>
        </w:rPr>
        <w:t xml:space="preserve">Unsuitable housing can restrict independence and worsen health. A UK government evidence review found continuing barriers in the availability, suitability and affordability of housing for disabled people (UK Government, 2026). Homes without level access, adapted bathrooms or sufficient space can increase falls risk, pain and dependence on carers. Stronger accessible-housing standards, timely home adaptations, Disabled Facilities Grants and closer coordination between housing, health and social care are important solutions. </w:t>
      </w:r>
    </w:p>
    <w:p w14:paraId="0DD3516E" w14:textId="77777777" w:rsidR="00034470" w:rsidRPr="00691F51" w:rsidRDefault="00034470" w:rsidP="00402E2D">
      <w:pPr>
        <w:pStyle w:val="Heading3"/>
        <w:divId w:val="598297075"/>
        <w:rPr>
          <w:rStyle w:val="s1"/>
          <w:rFonts w:asciiTheme="minorHAnsi" w:hAnsiTheme="minorHAnsi"/>
          <w:sz w:val="28"/>
          <w:szCs w:val="28"/>
        </w:rPr>
      </w:pPr>
      <w:bookmarkStart w:id="9" w:name="_Toc237612399"/>
      <w:r w:rsidRPr="00691F51">
        <w:rPr>
          <w:rStyle w:val="s1"/>
          <w:rFonts w:asciiTheme="minorHAnsi" w:hAnsiTheme="minorHAnsi"/>
          <w:sz w:val="28"/>
          <w:szCs w:val="28"/>
        </w:rPr>
        <w:t>National Responses to Reduce Health Inequalities</w:t>
      </w:r>
      <w:bookmarkEnd w:id="9"/>
      <w:r w:rsidRPr="00691F51">
        <w:rPr>
          <w:rStyle w:val="s1"/>
          <w:rFonts w:asciiTheme="minorHAnsi" w:hAnsiTheme="minorHAnsi"/>
          <w:sz w:val="28"/>
          <w:szCs w:val="28"/>
        </w:rPr>
        <w:t xml:space="preserve"> </w:t>
      </w:r>
    </w:p>
    <w:p w14:paraId="17FE9421" w14:textId="77777777" w:rsidR="00034470" w:rsidRPr="00034470" w:rsidRDefault="00034470" w:rsidP="00034470">
      <w:pPr>
        <w:pStyle w:val="p1"/>
        <w:spacing w:line="360" w:lineRule="auto"/>
        <w:divId w:val="598297075"/>
        <w:rPr>
          <w:rStyle w:val="s1"/>
          <w:rFonts w:ascii="Arial" w:hAnsi="Arial" w:cs="Arial"/>
          <w:sz w:val="22"/>
          <w:szCs w:val="22"/>
        </w:rPr>
      </w:pPr>
      <w:r w:rsidRPr="00034470">
        <w:rPr>
          <w:rStyle w:val="s1"/>
          <w:rFonts w:ascii="Arial" w:hAnsi="Arial" w:cs="Arial"/>
          <w:sz w:val="22"/>
          <w:szCs w:val="22"/>
        </w:rPr>
        <w:t xml:space="preserve">The Equality Act 2010 is a central national response because it prohibits disability discrimination and requires reasonable adjustments where disabled people would otherwise be substantially disadvantaged (UK Government, 2010). In healthcare, NHS England’s </w:t>
      </w:r>
      <w:r w:rsidRPr="00034470">
        <w:rPr>
          <w:rStyle w:val="s1"/>
          <w:rFonts w:ascii="Arial" w:hAnsi="Arial" w:cs="Arial"/>
          <w:sz w:val="22"/>
          <w:szCs w:val="22"/>
        </w:rPr>
        <w:lastRenderedPageBreak/>
        <w:t xml:space="preserve">Accessible Information Standard requires NHS and publicly funded adult social care services to identify, record, flag, share, meet and review disability-related information and communication needs (NHS England, 2025b). The Reasonable Adjustment Digital Flag is also being implemented so adjustments can follow patients across services. For people with learning disabilities, annual health checks provide targeted prevention; 79.9% of eligible people on GP learning-disability registers received one in 2024/25 (NHS England, 2025a). These policies are important, although effectiveness depends on consistent implementation. </w:t>
      </w:r>
    </w:p>
    <w:p w14:paraId="4445D640" w14:textId="77777777" w:rsidR="00034470" w:rsidRPr="00691F51" w:rsidRDefault="00034470" w:rsidP="00402E2D">
      <w:pPr>
        <w:pStyle w:val="Heading3"/>
        <w:divId w:val="598297075"/>
        <w:rPr>
          <w:rStyle w:val="s1"/>
          <w:rFonts w:asciiTheme="minorHAnsi" w:hAnsiTheme="minorHAnsi"/>
          <w:sz w:val="28"/>
          <w:szCs w:val="28"/>
        </w:rPr>
      </w:pPr>
      <w:bookmarkStart w:id="10" w:name="_Toc237612400"/>
      <w:r w:rsidRPr="00691F51">
        <w:rPr>
          <w:rStyle w:val="s1"/>
          <w:rFonts w:asciiTheme="minorHAnsi" w:hAnsiTheme="minorHAnsi"/>
          <w:sz w:val="28"/>
          <w:szCs w:val="28"/>
        </w:rPr>
        <w:t>Organisation Supporting the Chosen Group: Scope</w:t>
      </w:r>
      <w:bookmarkEnd w:id="10"/>
      <w:r w:rsidRPr="00691F51">
        <w:rPr>
          <w:rStyle w:val="s1"/>
          <w:rFonts w:asciiTheme="minorHAnsi" w:hAnsiTheme="minorHAnsi"/>
          <w:sz w:val="28"/>
          <w:szCs w:val="28"/>
        </w:rPr>
        <w:t xml:space="preserve"> </w:t>
      </w:r>
    </w:p>
    <w:p w14:paraId="16CAFC55" w14:textId="2D851A3E" w:rsidR="00034470" w:rsidRPr="00034470" w:rsidRDefault="00034470" w:rsidP="00402E2D">
      <w:pPr>
        <w:pStyle w:val="p1"/>
        <w:spacing w:line="360" w:lineRule="auto"/>
        <w:divId w:val="598297075"/>
        <w:rPr>
          <w:rStyle w:val="s1"/>
          <w:rFonts w:ascii="Arial" w:hAnsi="Arial" w:cs="Arial"/>
          <w:sz w:val="22"/>
          <w:szCs w:val="22"/>
        </w:rPr>
      </w:pPr>
      <w:r w:rsidRPr="00034470">
        <w:rPr>
          <w:rStyle w:val="s1"/>
          <w:rFonts w:ascii="Arial" w:hAnsi="Arial" w:cs="Arial"/>
          <w:sz w:val="22"/>
          <w:szCs w:val="22"/>
        </w:rPr>
        <w:t xml:space="preserve">Scope is a national disability equality charity providing advice, campaigning and research. It supports disabled people with information about rights, benefits, work and independent living, while also challenging structural discrimination. Its Disability Price Tag research quantifies the additional costs disabled households face and is used to influence policy and public debate (Scope, 2025). Scope’s wider goal is an equal future in which disabled people have the same opportunities as everyone else. Its combination of direct support, research and advocacy therefore addresses both individual need and wider social injustice. </w:t>
      </w:r>
    </w:p>
    <w:p w14:paraId="043F13A9" w14:textId="77777777" w:rsidR="00034470" w:rsidRPr="00402E2D" w:rsidRDefault="00034470" w:rsidP="00402E2D">
      <w:pPr>
        <w:pStyle w:val="Heading3"/>
        <w:divId w:val="598297075"/>
        <w:rPr>
          <w:rStyle w:val="s1"/>
          <w:rFonts w:asciiTheme="minorHAnsi" w:hAnsiTheme="minorHAnsi"/>
          <w:sz w:val="28"/>
          <w:szCs w:val="28"/>
        </w:rPr>
      </w:pPr>
      <w:bookmarkStart w:id="11" w:name="_Toc237612401"/>
      <w:r w:rsidRPr="00402E2D">
        <w:rPr>
          <w:rStyle w:val="s1"/>
          <w:rFonts w:asciiTheme="minorHAnsi" w:hAnsiTheme="minorHAnsi"/>
          <w:sz w:val="28"/>
          <w:szCs w:val="28"/>
        </w:rPr>
        <w:t>Conclusion</w:t>
      </w:r>
      <w:bookmarkEnd w:id="11"/>
      <w:r w:rsidRPr="00402E2D">
        <w:rPr>
          <w:rStyle w:val="s1"/>
          <w:rFonts w:asciiTheme="minorHAnsi" w:hAnsiTheme="minorHAnsi"/>
          <w:sz w:val="28"/>
          <w:szCs w:val="28"/>
        </w:rPr>
        <w:t xml:space="preserve"> </w:t>
      </w:r>
    </w:p>
    <w:p w14:paraId="4B574028" w14:textId="32078352" w:rsidR="009342A5" w:rsidRPr="00046C10" w:rsidRDefault="00034470" w:rsidP="00034470">
      <w:pPr>
        <w:pStyle w:val="p1"/>
        <w:spacing w:line="360" w:lineRule="auto"/>
        <w:divId w:val="598297075"/>
        <w:rPr>
          <w:rStyle w:val="s1"/>
          <w:rFonts w:ascii="Arial" w:hAnsi="Arial" w:cs="Arial"/>
          <w:sz w:val="22"/>
          <w:szCs w:val="22"/>
        </w:rPr>
      </w:pPr>
      <w:r w:rsidRPr="00034470">
        <w:rPr>
          <w:rStyle w:val="s1"/>
          <w:rFonts w:ascii="Arial" w:hAnsi="Arial" w:cs="Arial"/>
          <w:sz w:val="22"/>
          <w:szCs w:val="22"/>
        </w:rPr>
        <w:t xml:space="preserve">Disabled people in the UK experience interconnected health and social inequalities. Higher depression, chronic illness and premature mortality are reinforced by loneliness, poverty, employment disadvantage and inaccessible housing. These patterns cannot be explained by impairment alone. Equality law, accessible NHS standards, reasonable adjustments and targeted health checks can reduce barriers, while Scope contributes through support, evidence and campaigning. Long-term improvement requires action on healthcare access and the wider social determinants of health. In practice, this means measuring outcomes by disability status, involving disabled people in service design, and ensuring that national rights translate into consistent local access. </w:t>
      </w:r>
    </w:p>
    <w:p w14:paraId="698BB548" w14:textId="77777777" w:rsidR="001C2070" w:rsidRPr="001C2070" w:rsidRDefault="001C2070" w:rsidP="001C2070">
      <w:pPr>
        <w:pStyle w:val="Heading1"/>
        <w:divId w:val="1901597824"/>
        <w:rPr>
          <w:rStyle w:val="s1"/>
          <w:rFonts w:asciiTheme="majorHAnsi" w:hAnsiTheme="majorHAnsi"/>
          <w:sz w:val="40"/>
          <w:szCs w:val="40"/>
        </w:rPr>
      </w:pPr>
      <w:bookmarkStart w:id="12" w:name="_Toc237612402"/>
      <w:r w:rsidRPr="001C2070">
        <w:rPr>
          <w:rStyle w:val="s1"/>
          <w:rFonts w:asciiTheme="majorHAnsi" w:hAnsiTheme="majorHAnsi"/>
          <w:sz w:val="40"/>
          <w:szCs w:val="40"/>
        </w:rPr>
        <w:t>Task 2: Epidemiological Analysis</w:t>
      </w:r>
      <w:bookmarkEnd w:id="12"/>
      <w:r w:rsidRPr="001C2070">
        <w:rPr>
          <w:rStyle w:val="s1"/>
          <w:rFonts w:asciiTheme="majorHAnsi" w:hAnsiTheme="majorHAnsi"/>
          <w:sz w:val="40"/>
          <w:szCs w:val="40"/>
        </w:rPr>
        <w:t xml:space="preserve"> </w:t>
      </w:r>
    </w:p>
    <w:p w14:paraId="6811C8C3" w14:textId="77777777" w:rsidR="001C2070" w:rsidRPr="001C2070" w:rsidRDefault="001C2070" w:rsidP="001C2070">
      <w:pPr>
        <w:pStyle w:val="Heading2"/>
        <w:divId w:val="1901597824"/>
        <w:rPr>
          <w:rStyle w:val="s1"/>
          <w:rFonts w:asciiTheme="majorHAnsi" w:hAnsiTheme="majorHAnsi"/>
          <w:sz w:val="32"/>
          <w:szCs w:val="32"/>
        </w:rPr>
      </w:pPr>
      <w:bookmarkStart w:id="13" w:name="_Toc237612403"/>
      <w:r w:rsidRPr="001C2070">
        <w:rPr>
          <w:rStyle w:val="s1"/>
          <w:rFonts w:asciiTheme="majorHAnsi" w:hAnsiTheme="majorHAnsi"/>
          <w:sz w:val="32"/>
          <w:szCs w:val="32"/>
        </w:rPr>
        <w:t>Dementia in Wandsworth: Epidemiological Identification, Assessment and Management of a Major Public Health Problem</w:t>
      </w:r>
      <w:bookmarkEnd w:id="13"/>
      <w:r w:rsidRPr="001C2070">
        <w:rPr>
          <w:rStyle w:val="s1"/>
          <w:rFonts w:asciiTheme="majorHAnsi" w:hAnsiTheme="majorHAnsi"/>
          <w:sz w:val="32"/>
          <w:szCs w:val="32"/>
        </w:rPr>
        <w:t xml:space="preserve"> </w:t>
      </w:r>
    </w:p>
    <w:p w14:paraId="5F34A17F" w14:textId="65256E9F" w:rsidR="00875EBE" w:rsidRPr="001C2070" w:rsidRDefault="00875EBE" w:rsidP="001C2070">
      <w:pPr>
        <w:pStyle w:val="Heading3"/>
        <w:divId w:val="1901597824"/>
        <w:rPr>
          <w:rStyle w:val="s1"/>
          <w:rFonts w:asciiTheme="minorHAnsi" w:hAnsiTheme="minorHAnsi"/>
          <w:sz w:val="28"/>
          <w:szCs w:val="28"/>
        </w:rPr>
      </w:pPr>
      <w:bookmarkStart w:id="14" w:name="_Toc237612404"/>
      <w:r w:rsidRPr="001C2070">
        <w:rPr>
          <w:rStyle w:val="s1"/>
          <w:rFonts w:asciiTheme="minorHAnsi" w:hAnsiTheme="minorHAnsi"/>
          <w:sz w:val="28"/>
          <w:szCs w:val="28"/>
        </w:rPr>
        <w:t>Introduction</w:t>
      </w:r>
      <w:bookmarkEnd w:id="14"/>
    </w:p>
    <w:p w14:paraId="29C90EAC" w14:textId="0C967F7B" w:rsidR="00475A5E" w:rsidRPr="00475A5E" w:rsidRDefault="00475A5E" w:rsidP="00475A5E">
      <w:pPr>
        <w:pStyle w:val="p1"/>
        <w:spacing w:line="360" w:lineRule="auto"/>
        <w:divId w:val="275262032"/>
        <w:rPr>
          <w:rFonts w:ascii="Arial" w:hAnsi="Arial" w:cs="Arial"/>
          <w:sz w:val="22"/>
          <w:szCs w:val="22"/>
        </w:rPr>
      </w:pPr>
      <w:r w:rsidRPr="00475A5E">
        <w:rPr>
          <w:rFonts w:ascii="Arial" w:hAnsi="Arial" w:cs="Arial"/>
          <w:sz w:val="22"/>
          <w:szCs w:val="22"/>
        </w:rPr>
        <w:t xml:space="preserve">Dementia is a syndrome caused by diseases and injuries affecting the brain, producing progressive impairment in memory, thinking, behaviour and everyday functioning. Alzheimer disease accounts for about 60–70% of cases (World Health </w:t>
      </w:r>
      <w:r w:rsidR="00742834">
        <w:rPr>
          <w:rFonts w:ascii="Arial" w:hAnsi="Arial" w:cs="Arial"/>
          <w:sz w:val="22"/>
          <w:szCs w:val="22"/>
        </w:rPr>
        <w:t>Organisation</w:t>
      </w:r>
      <w:r w:rsidRPr="00475A5E">
        <w:rPr>
          <w:rFonts w:ascii="Arial" w:hAnsi="Arial" w:cs="Arial"/>
          <w:sz w:val="22"/>
          <w:szCs w:val="22"/>
        </w:rPr>
        <w:t xml:space="preserve">, 2026). Dementia </w:t>
      </w:r>
      <w:r w:rsidRPr="00475A5E">
        <w:rPr>
          <w:rFonts w:ascii="Arial" w:hAnsi="Arial" w:cs="Arial"/>
          <w:sz w:val="22"/>
          <w:szCs w:val="22"/>
        </w:rPr>
        <w:lastRenderedPageBreak/>
        <w:t>can lead to loss of independence, communication difficulties, hospitalisation and increasing dependence on unpaid and formal care. Families may experience emotional distress, lost employment and financial pressure. In epidemiology, prevalence describes all existing cases in a population at a specified time, whereas incidence measures new cases developing over a period. Globally, around 57 million people were living with dementia in 2021</w:t>
      </w:r>
      <w:r w:rsidR="001C2070">
        <w:rPr>
          <w:rFonts w:ascii="Arial" w:hAnsi="Arial" w:cs="Arial"/>
          <w:sz w:val="22"/>
          <w:szCs w:val="22"/>
        </w:rPr>
        <w:t>,</w:t>
      </w:r>
      <w:r w:rsidRPr="00475A5E">
        <w:rPr>
          <w:rFonts w:ascii="Arial" w:hAnsi="Arial" w:cs="Arial"/>
          <w:sz w:val="22"/>
          <w:szCs w:val="22"/>
        </w:rPr>
        <w:t xml:space="preserve"> and nearly 10 million new cases occur each year (WHO, 2026). Because local dementia incidence is not routinely measured as completely as recorded diagnoses, prevalence and diagnosis-rate indicators are especially important for borough-level planning. In the UK, about 982,000 people are estimated to live with dementia, projected to rise to 1.4 million by 2040 (Alzheimer’s Society, 2024a). Dementia and Alzheimer’s disease remained the leading cause of death in England and Wales in 2025, with 72,272 registered deaths (ONS, 2026). </w:t>
      </w:r>
    </w:p>
    <w:p w14:paraId="76E1F535" w14:textId="77777777" w:rsidR="003A5D84" w:rsidRDefault="003A5D84" w:rsidP="00475A5E">
      <w:pPr>
        <w:pStyle w:val="p1"/>
        <w:spacing w:line="360" w:lineRule="auto"/>
        <w:divId w:val="275262032"/>
        <w:rPr>
          <w:rFonts w:ascii="Arial" w:hAnsi="Arial" w:cs="Arial"/>
          <w:sz w:val="22"/>
          <w:szCs w:val="22"/>
        </w:rPr>
      </w:pPr>
    </w:p>
    <w:p w14:paraId="51D58BD9" w14:textId="6AF5E869" w:rsidR="00D65E5D" w:rsidRPr="00475A5E" w:rsidRDefault="00475A5E" w:rsidP="00475A5E">
      <w:pPr>
        <w:pStyle w:val="p1"/>
        <w:spacing w:line="360" w:lineRule="auto"/>
        <w:divId w:val="275262032"/>
        <w:rPr>
          <w:rFonts w:ascii="Arial" w:hAnsi="Arial" w:cs="Arial"/>
          <w:sz w:val="22"/>
          <w:szCs w:val="22"/>
        </w:rPr>
      </w:pPr>
      <w:r w:rsidRPr="00475A5E">
        <w:rPr>
          <w:rFonts w:ascii="Arial" w:hAnsi="Arial" w:cs="Arial"/>
          <w:sz w:val="22"/>
          <w:szCs w:val="22"/>
        </w:rPr>
        <w:t xml:space="preserve">This report focuses on adults aged 65+ in the London Borough of Wandsworth. Wandsworth had an estimated population of 331,456 in 2025; 6.7% were aged 66–79 and 2.6% were 80+ (Wandsworth Council, 2025). The local JSNA reports a dementia diagnosis rate of 78.1% among people aged 65+, representing 1,868 diagnosed residents in 2025 (Wandsworth Council, 2026a). Although this exceeds national performance, it also indicates that some residents with dementia remain undiagnosed. </w:t>
      </w:r>
    </w:p>
    <w:p w14:paraId="5BAD7D0B" w14:textId="77777777" w:rsidR="00475A5E" w:rsidRPr="00475A5E" w:rsidRDefault="00475A5E" w:rsidP="001C2070">
      <w:pPr>
        <w:pStyle w:val="Heading3"/>
        <w:divId w:val="275262032"/>
      </w:pPr>
      <w:bookmarkStart w:id="15" w:name="_Toc237612405"/>
      <w:r w:rsidRPr="00475A5E">
        <w:t>Determinants and Risk Factors</w:t>
      </w:r>
      <w:bookmarkEnd w:id="15"/>
      <w:r w:rsidRPr="00475A5E">
        <w:t xml:space="preserve"> </w:t>
      </w:r>
    </w:p>
    <w:p w14:paraId="6D82A09B" w14:textId="77777777" w:rsidR="00475A5E" w:rsidRPr="00475A5E" w:rsidRDefault="00475A5E" w:rsidP="00475A5E">
      <w:pPr>
        <w:pStyle w:val="p1"/>
        <w:spacing w:line="360" w:lineRule="auto"/>
        <w:divId w:val="275262032"/>
        <w:rPr>
          <w:rFonts w:ascii="Arial" w:hAnsi="Arial" w:cs="Arial"/>
          <w:sz w:val="22"/>
          <w:szCs w:val="22"/>
        </w:rPr>
      </w:pPr>
      <w:r w:rsidRPr="00475A5E">
        <w:rPr>
          <w:rFonts w:ascii="Arial" w:hAnsi="Arial" w:cs="Arial"/>
          <w:sz w:val="22"/>
          <w:szCs w:val="22"/>
        </w:rPr>
        <w:t xml:space="preserve">Age is the strongest non-modifiable risk factor, although dementia is not an inevitable consequence of ageing. Genetic susceptibility also contributes. The 2024 Lancet Commission identified 14 potentially modifiable factors, including lower education, hearing loss, hypertension, smoking, obesity, depression, physical inactivity, diabetes, excessive alcohol, traumatic brain injury, air pollution, social isolation, untreated vision loss and high LDL cholesterol. Together they were estimated to account for around 45% of dementia cases globally (Livingston et al., 2024). These risks are socially patterned because income, housing, education and access to preventive care influence exposure and management. UK cohort evidence also supports a life-course approach; Whitehall II analyses linked poorer cardiovascular health and earlier multimorbidity with higher later dementia risk (Sabia et al., 2019; Ben Hassen et al., 2022). </w:t>
      </w:r>
    </w:p>
    <w:p w14:paraId="2050AAE6" w14:textId="77777777" w:rsidR="00475A5E" w:rsidRPr="001C2070" w:rsidRDefault="00475A5E" w:rsidP="001C2070">
      <w:pPr>
        <w:pStyle w:val="Heading3"/>
        <w:divId w:val="275262032"/>
      </w:pPr>
      <w:bookmarkStart w:id="16" w:name="_Toc237612406"/>
      <w:r w:rsidRPr="001C2070">
        <w:t>Health Needs Assessment and Identification of Those at Risk</w:t>
      </w:r>
      <w:bookmarkEnd w:id="16"/>
      <w:r w:rsidRPr="001C2070">
        <w:t xml:space="preserve"> </w:t>
      </w:r>
    </w:p>
    <w:p w14:paraId="3FD72D27" w14:textId="77777777" w:rsidR="00475A5E" w:rsidRPr="00475A5E" w:rsidRDefault="00475A5E" w:rsidP="00475A5E">
      <w:pPr>
        <w:pStyle w:val="p1"/>
        <w:spacing w:line="360" w:lineRule="auto"/>
        <w:divId w:val="275262032"/>
        <w:rPr>
          <w:rFonts w:ascii="Arial" w:hAnsi="Arial" w:cs="Arial"/>
          <w:sz w:val="22"/>
          <w:szCs w:val="22"/>
        </w:rPr>
      </w:pPr>
      <w:r w:rsidRPr="00475A5E">
        <w:rPr>
          <w:rFonts w:ascii="Arial" w:hAnsi="Arial" w:cs="Arial"/>
          <w:sz w:val="22"/>
          <w:szCs w:val="22"/>
        </w:rPr>
        <w:t xml:space="preserve">A health needs assessment combines epidemiological, service-use and community information to identify unmet need and priorities. In Wandsworth, highest-risk groups include older adults, especially the oldest residents, and people with cardiovascular disease, diabetes, hearing or vision loss, smoking history, social isolation or socioeconomic </w:t>
      </w:r>
      <w:r w:rsidRPr="00475A5E">
        <w:rPr>
          <w:rFonts w:ascii="Arial" w:hAnsi="Arial" w:cs="Arial"/>
          <w:sz w:val="22"/>
          <w:szCs w:val="22"/>
        </w:rPr>
        <w:lastRenderedPageBreak/>
        <w:t xml:space="preserve">disadvantage. Wandsworth’s population aged 65+ is projected to increase by about 38% by 2039, increasing future dementia-related need (Wandsworth Council, 2024). </w:t>
      </w:r>
    </w:p>
    <w:p w14:paraId="3CEC1845" w14:textId="77777777" w:rsidR="00475A5E" w:rsidRPr="00475A5E" w:rsidRDefault="00475A5E" w:rsidP="00475A5E">
      <w:pPr>
        <w:pStyle w:val="p1"/>
        <w:spacing w:line="360" w:lineRule="auto"/>
        <w:divId w:val="275262032"/>
        <w:rPr>
          <w:rFonts w:ascii="Arial" w:hAnsi="Arial" w:cs="Arial"/>
          <w:sz w:val="22"/>
          <w:szCs w:val="22"/>
        </w:rPr>
      </w:pPr>
    </w:p>
    <w:p w14:paraId="486BE682" w14:textId="77777777" w:rsidR="00475A5E" w:rsidRPr="00475A5E" w:rsidRDefault="00475A5E" w:rsidP="00475A5E">
      <w:pPr>
        <w:pStyle w:val="p1"/>
        <w:spacing w:line="360" w:lineRule="auto"/>
        <w:divId w:val="275262032"/>
        <w:rPr>
          <w:rFonts w:ascii="Arial" w:hAnsi="Arial" w:cs="Arial"/>
          <w:sz w:val="22"/>
          <w:szCs w:val="22"/>
        </w:rPr>
      </w:pPr>
      <w:r w:rsidRPr="00475A5E">
        <w:rPr>
          <w:rFonts w:ascii="Arial" w:hAnsi="Arial" w:cs="Arial"/>
          <w:sz w:val="22"/>
          <w:szCs w:val="22"/>
        </w:rPr>
        <w:t xml:space="preserve">The HNA should compare expected prevalence with recorded diagnoses, map variation by GP practice and neighbourhood, and examine age, sex, ethnicity, deprivation and access to memory assessment. Wandsworth’s 78.1% diagnosis rate is positive, but it does not establish whether diagnoses are timely or equitable. This distinction matters because the local NHS trust has reported demand and staffing pressures affecting six-week memory-service performance, including Wandsworth (South West London and St George’s Mental Health NHS Trust, 2025). </w:t>
      </w:r>
    </w:p>
    <w:p w14:paraId="7BEC01B7" w14:textId="4B593A42" w:rsidR="00475A5E" w:rsidRPr="00475A5E" w:rsidRDefault="00475A5E" w:rsidP="001C2070">
      <w:pPr>
        <w:pStyle w:val="Heading3"/>
        <w:divId w:val="275262032"/>
      </w:pPr>
      <w:bookmarkStart w:id="17" w:name="_Toc237612407"/>
      <w:r w:rsidRPr="00475A5E">
        <w:t>Epidemiological Studies and Their Use</w:t>
      </w:r>
      <w:bookmarkEnd w:id="17"/>
      <w:r w:rsidRPr="00475A5E">
        <w:t xml:space="preserve"> </w:t>
      </w:r>
    </w:p>
    <w:p w14:paraId="280AC02B" w14:textId="77777777" w:rsidR="00475A5E" w:rsidRPr="00475A5E" w:rsidRDefault="00475A5E" w:rsidP="00475A5E">
      <w:pPr>
        <w:pStyle w:val="p1"/>
        <w:spacing w:line="360" w:lineRule="auto"/>
        <w:divId w:val="275262032"/>
        <w:rPr>
          <w:rFonts w:ascii="Arial" w:hAnsi="Arial" w:cs="Arial"/>
          <w:sz w:val="22"/>
          <w:szCs w:val="22"/>
        </w:rPr>
      </w:pPr>
      <w:r w:rsidRPr="00475A5E">
        <w:rPr>
          <w:rFonts w:ascii="Arial" w:hAnsi="Arial" w:cs="Arial"/>
          <w:sz w:val="22"/>
          <w:szCs w:val="22"/>
        </w:rPr>
        <w:t xml:space="preserve">Cohort studies are valuable because dementia risk factors may act decades before diagnosis. The London-based Whitehall II cohort has examined cardiovascular health, alcohol, multimorbidity and later dementia. Its strengths are temporality and long follow-up, but participants were civil servants and may not represent Wandsworth’s whole population. Cross-sectional studies and routine primary-care data estimate current prevalence and service need but cannot establish causation. Case-control studies can examine previous exposures efficiently but may suffer recall bias. For local planning, evidence should therefore be triangulated: longitudinal research helps explain risk while local routine data describe current burden. </w:t>
      </w:r>
    </w:p>
    <w:p w14:paraId="6CD59229" w14:textId="77777777" w:rsidR="00475A5E" w:rsidRPr="00475A5E" w:rsidRDefault="00475A5E" w:rsidP="001C2070">
      <w:pPr>
        <w:pStyle w:val="Heading3"/>
        <w:divId w:val="275262032"/>
      </w:pPr>
      <w:bookmarkStart w:id="18" w:name="_Toc237612408"/>
      <w:r w:rsidRPr="00475A5E">
        <w:t>Public Health Measures Using the 3 Ps</w:t>
      </w:r>
      <w:bookmarkEnd w:id="18"/>
      <w:r w:rsidRPr="00475A5E">
        <w:t xml:space="preserve"> </w:t>
      </w:r>
    </w:p>
    <w:p w14:paraId="53DD87C8" w14:textId="77777777" w:rsidR="00475A5E" w:rsidRDefault="00475A5E" w:rsidP="00475A5E">
      <w:pPr>
        <w:pStyle w:val="p1"/>
        <w:spacing w:line="360" w:lineRule="auto"/>
        <w:divId w:val="275262032"/>
        <w:rPr>
          <w:rFonts w:ascii="Arial" w:hAnsi="Arial" w:cs="Arial"/>
          <w:sz w:val="22"/>
          <w:szCs w:val="22"/>
        </w:rPr>
      </w:pPr>
      <w:r w:rsidRPr="00475A5E">
        <w:rPr>
          <w:rFonts w:ascii="Arial" w:hAnsi="Arial" w:cs="Arial"/>
          <w:sz w:val="22"/>
          <w:szCs w:val="22"/>
        </w:rPr>
        <w:t xml:space="preserve">Health promotion should focus on brain health across the life course through smoking cessation, physical activity, healthy weight, reduced harmful alcohol use, social participation, hearing and vision support and management of hypertension, cholesterol and diabetes. Outreach should be proportionate to need so that residents with poorer access to preventive services are not missed. </w:t>
      </w:r>
    </w:p>
    <w:p w14:paraId="4D6AADFB" w14:textId="77777777" w:rsidR="00685D70" w:rsidRPr="00475A5E" w:rsidRDefault="00685D70" w:rsidP="00475A5E">
      <w:pPr>
        <w:pStyle w:val="p1"/>
        <w:spacing w:line="360" w:lineRule="auto"/>
        <w:divId w:val="275262032"/>
        <w:rPr>
          <w:rFonts w:ascii="Arial" w:hAnsi="Arial" w:cs="Arial"/>
          <w:sz w:val="22"/>
          <w:szCs w:val="22"/>
        </w:rPr>
      </w:pPr>
    </w:p>
    <w:p w14:paraId="73A5009B" w14:textId="77777777" w:rsidR="00475A5E" w:rsidRPr="00475A5E" w:rsidRDefault="00475A5E" w:rsidP="00475A5E">
      <w:pPr>
        <w:pStyle w:val="p1"/>
        <w:spacing w:line="360" w:lineRule="auto"/>
        <w:divId w:val="275262032"/>
        <w:rPr>
          <w:rFonts w:ascii="Arial" w:hAnsi="Arial" w:cs="Arial"/>
          <w:sz w:val="22"/>
          <w:szCs w:val="22"/>
        </w:rPr>
      </w:pPr>
      <w:r w:rsidRPr="00475A5E">
        <w:rPr>
          <w:rFonts w:ascii="Arial" w:hAnsi="Arial" w:cs="Arial"/>
          <w:sz w:val="22"/>
          <w:szCs w:val="22"/>
        </w:rPr>
        <w:t xml:space="preserve">Disease prevention includes primary, secondary and tertiary prevention. Primary prevention reduces modifiable risks before dementia develops. Secondary prevention focuses on timely recognition and diagnosis. Wandsworth’s Memory Assessment Service provides specialist cognitive assessment, diagnosis, investigations and post-diagnostic support following referral (South West London and St George’s Mental Health NHS Trust, 2026). The borough’s 2026 Dementia Guide also identifies post-diagnostic support, including a Life after Diagnosis programme and dementia support services, showing how secondary prevention links with ongoing social and clinical care (Wandsworth Council, 2026b). Tertiary prevention </w:t>
      </w:r>
      <w:r w:rsidRPr="00475A5E">
        <w:rPr>
          <w:rFonts w:ascii="Arial" w:hAnsi="Arial" w:cs="Arial"/>
          <w:sz w:val="22"/>
          <w:szCs w:val="22"/>
        </w:rPr>
        <w:lastRenderedPageBreak/>
        <w:t xml:space="preserve">seeks to reduce complications and maintain quality of life through appropriate medication, cognitive stimulation, falls prevention, carer support, advance care planning and coordinated social care, consistent with NICE NG97 (NICE, 2018). </w:t>
      </w:r>
    </w:p>
    <w:p w14:paraId="1C1540CF" w14:textId="77777777" w:rsidR="00475A5E" w:rsidRPr="00475A5E" w:rsidRDefault="00475A5E" w:rsidP="00475A5E">
      <w:pPr>
        <w:pStyle w:val="p1"/>
        <w:spacing w:line="360" w:lineRule="auto"/>
        <w:divId w:val="275262032"/>
        <w:rPr>
          <w:rFonts w:ascii="Arial" w:hAnsi="Arial" w:cs="Arial"/>
          <w:sz w:val="22"/>
          <w:szCs w:val="22"/>
        </w:rPr>
      </w:pPr>
    </w:p>
    <w:p w14:paraId="7663FA78" w14:textId="77777777" w:rsidR="00475A5E" w:rsidRPr="00475A5E" w:rsidRDefault="00475A5E" w:rsidP="00475A5E">
      <w:pPr>
        <w:pStyle w:val="p1"/>
        <w:spacing w:line="360" w:lineRule="auto"/>
        <w:divId w:val="275262032"/>
        <w:rPr>
          <w:rFonts w:ascii="Arial" w:hAnsi="Arial" w:cs="Arial"/>
          <w:sz w:val="22"/>
          <w:szCs w:val="22"/>
        </w:rPr>
      </w:pPr>
      <w:r w:rsidRPr="00475A5E">
        <w:rPr>
          <w:rFonts w:ascii="Arial" w:hAnsi="Arial" w:cs="Arial"/>
          <w:sz w:val="22"/>
          <w:szCs w:val="22"/>
        </w:rPr>
        <w:t xml:space="preserve">Health protection aims to prevent additional harm. People with dementia may be particularly vulnerable to infection, falls, medication errors, dehydration and safeguarding risks. Vaccination, infection prevention, medicines review, safe care environments and adult safeguarding are therefore essential components of dementia public health management. </w:t>
      </w:r>
    </w:p>
    <w:p w14:paraId="5997733B" w14:textId="77777777" w:rsidR="00475A5E" w:rsidRPr="00475A5E" w:rsidRDefault="00475A5E" w:rsidP="001C2070">
      <w:pPr>
        <w:pStyle w:val="Heading3"/>
        <w:divId w:val="275262032"/>
      </w:pPr>
      <w:bookmarkStart w:id="19" w:name="_Toc237612409"/>
      <w:r w:rsidRPr="00475A5E">
        <w:t>Monitoring and Surveillance</w:t>
      </w:r>
      <w:bookmarkEnd w:id="19"/>
      <w:r w:rsidRPr="00475A5E">
        <w:t xml:space="preserve"> </w:t>
      </w:r>
    </w:p>
    <w:p w14:paraId="20C3D372" w14:textId="35D2CC35" w:rsidR="00475A5E" w:rsidRPr="00475A5E" w:rsidRDefault="00475A5E" w:rsidP="00475A5E">
      <w:pPr>
        <w:pStyle w:val="p1"/>
        <w:spacing w:line="360" w:lineRule="auto"/>
        <w:divId w:val="275262032"/>
        <w:rPr>
          <w:rFonts w:ascii="Arial" w:hAnsi="Arial" w:cs="Arial"/>
          <w:sz w:val="22"/>
          <w:szCs w:val="22"/>
        </w:rPr>
      </w:pPr>
      <w:r w:rsidRPr="00475A5E">
        <w:rPr>
          <w:rFonts w:ascii="Arial" w:hAnsi="Arial" w:cs="Arial"/>
          <w:sz w:val="22"/>
          <w:szCs w:val="22"/>
        </w:rPr>
        <w:t xml:space="preserve">Dementia surveillance should combine several systems. GP dementia registers and NHS primary-care datasets provide recorded diagnoses and diagnosis rates. OHID Fingertips and the Wandsworth JSNA enable comparison with London and England. Hospital Episode Statistics identify emergency admissions and inpatient use, while ONS death-registration data monitor mortality. Memory Assessment Service data can monitor referrals, waiting times and diagnostic activity, and local authority data can track social-care and carer-support demand. </w:t>
      </w:r>
      <w:r w:rsidR="00351565">
        <w:rPr>
          <w:rFonts w:ascii="Arial" w:hAnsi="Arial" w:cs="Arial"/>
          <w:sz w:val="22"/>
          <w:szCs w:val="22"/>
        </w:rPr>
        <w:t xml:space="preserve"> (NHS England, 2005c)</w:t>
      </w:r>
    </w:p>
    <w:p w14:paraId="13938938" w14:textId="77777777" w:rsidR="00475A5E" w:rsidRPr="00475A5E" w:rsidRDefault="00475A5E" w:rsidP="00475A5E">
      <w:pPr>
        <w:pStyle w:val="p1"/>
        <w:spacing w:line="360" w:lineRule="auto"/>
        <w:divId w:val="275262032"/>
        <w:rPr>
          <w:rFonts w:ascii="Arial" w:hAnsi="Arial" w:cs="Arial"/>
          <w:sz w:val="22"/>
          <w:szCs w:val="22"/>
        </w:rPr>
      </w:pPr>
    </w:p>
    <w:p w14:paraId="1E03E3CA" w14:textId="77777777" w:rsidR="00475A5E" w:rsidRPr="00475A5E" w:rsidRDefault="00475A5E" w:rsidP="00475A5E">
      <w:pPr>
        <w:pStyle w:val="p1"/>
        <w:spacing w:line="360" w:lineRule="auto"/>
        <w:divId w:val="275262032"/>
        <w:rPr>
          <w:rFonts w:ascii="Arial" w:hAnsi="Arial" w:cs="Arial"/>
          <w:sz w:val="22"/>
          <w:szCs w:val="22"/>
        </w:rPr>
      </w:pPr>
      <w:r w:rsidRPr="00475A5E">
        <w:rPr>
          <w:rFonts w:ascii="Arial" w:hAnsi="Arial" w:cs="Arial"/>
          <w:sz w:val="22"/>
          <w:szCs w:val="22"/>
        </w:rPr>
        <w:t xml:space="preserve">Each source has limitations. Recorded diagnoses underestimate true prevalence when people remain undiagnosed. Hospital data measure service use rather than community burden, while death certification may omit or misclassify dementia. Changes in coding or population estimates can also create apparent trends. No single surveillance source should therefore be interpreted alone. </w:t>
      </w:r>
    </w:p>
    <w:p w14:paraId="2B266F97" w14:textId="77777777" w:rsidR="00475A5E" w:rsidRPr="00475A5E" w:rsidRDefault="00475A5E" w:rsidP="001C2070">
      <w:pPr>
        <w:pStyle w:val="Heading3"/>
        <w:divId w:val="275262032"/>
      </w:pPr>
      <w:bookmarkStart w:id="20" w:name="_Toc237612410"/>
      <w:r w:rsidRPr="00475A5E">
        <w:t>Public Health Impact and Consequences</w:t>
      </w:r>
      <w:bookmarkEnd w:id="20"/>
      <w:r w:rsidRPr="00475A5E">
        <w:t xml:space="preserve"> </w:t>
      </w:r>
    </w:p>
    <w:p w14:paraId="4B025176" w14:textId="77777777" w:rsidR="00475A5E" w:rsidRPr="00475A5E" w:rsidRDefault="00475A5E" w:rsidP="00475A5E">
      <w:pPr>
        <w:pStyle w:val="p1"/>
        <w:spacing w:line="360" w:lineRule="auto"/>
        <w:divId w:val="275262032"/>
        <w:rPr>
          <w:rFonts w:ascii="Arial" w:hAnsi="Arial" w:cs="Arial"/>
          <w:sz w:val="22"/>
          <w:szCs w:val="22"/>
        </w:rPr>
      </w:pPr>
      <w:r w:rsidRPr="00475A5E">
        <w:rPr>
          <w:rFonts w:ascii="Arial" w:hAnsi="Arial" w:cs="Arial"/>
          <w:sz w:val="22"/>
          <w:szCs w:val="22"/>
        </w:rPr>
        <w:t xml:space="preserve">In the short term, dementia increases GP consultations, memory-service referrals, medication reviews, hospital use and demand for carers and community services. Wandsworth’s emergency admission rate among people aged 65+ with dementia was 4,820.4 per 100,000 in 2019/20 (Wandsworth Council, 2026a). Long-term effects include progressive disability, loss of independence, safeguarding risk, residential or nursing care and death. Wandsworth’s mortality rate from dementia and Alzheimer’s disease was 108.6 per 100,000 in 2021–23 (Wandsworth Council, 2026a). Nationally, dementia was forecast to cost the UK £42 billion in 2024, much of it borne by individuals and unpaid carers (Alzheimer’s Society, 2024b). These data justify continued local service planning. </w:t>
      </w:r>
    </w:p>
    <w:p w14:paraId="0542071F" w14:textId="77777777" w:rsidR="00475A5E" w:rsidRPr="00475A5E" w:rsidRDefault="00475A5E" w:rsidP="001C2070">
      <w:pPr>
        <w:pStyle w:val="Heading3"/>
        <w:divId w:val="275262032"/>
      </w:pPr>
      <w:bookmarkStart w:id="21" w:name="_Toc237612411"/>
      <w:r w:rsidRPr="00475A5E">
        <w:t>Proposed Health Intervention Programme</w:t>
      </w:r>
      <w:bookmarkEnd w:id="21"/>
      <w:r w:rsidRPr="00475A5E">
        <w:t xml:space="preserve"> </w:t>
      </w:r>
    </w:p>
    <w:p w14:paraId="1D8B4FB2" w14:textId="77777777" w:rsidR="00475A5E" w:rsidRPr="00475A5E" w:rsidRDefault="00475A5E" w:rsidP="00475A5E">
      <w:pPr>
        <w:pStyle w:val="p1"/>
        <w:spacing w:line="360" w:lineRule="auto"/>
        <w:divId w:val="275262032"/>
        <w:rPr>
          <w:rFonts w:ascii="Arial" w:hAnsi="Arial" w:cs="Arial"/>
          <w:sz w:val="22"/>
          <w:szCs w:val="22"/>
        </w:rPr>
      </w:pPr>
      <w:r w:rsidRPr="00475A5E">
        <w:rPr>
          <w:rFonts w:ascii="Arial" w:hAnsi="Arial" w:cs="Arial"/>
          <w:sz w:val="22"/>
          <w:szCs w:val="22"/>
        </w:rPr>
        <w:t>A 12-month “Wandsworth Brain Health and Timely Diagnosis Programme” could target residents aged 60+ in practices or neighbourhoods with lower diagnosis or preventive-</w:t>
      </w:r>
      <w:r w:rsidRPr="00475A5E">
        <w:rPr>
          <w:rFonts w:ascii="Arial" w:hAnsi="Arial" w:cs="Arial"/>
          <w:sz w:val="22"/>
          <w:szCs w:val="22"/>
        </w:rPr>
        <w:lastRenderedPageBreak/>
        <w:t xml:space="preserve">service uptake. It would provide community education on symptoms and modifiable risks; targeted cardiovascular-risk review; hearing and vision signposting; cognitive case-finding for symptomatic people rather than population screening; streamlined GP referral to the Memory Assessment Service; culturally appropriate information; and navigation to post-diagnostic and carer support. Delivery through GPs, pharmacies, libraries, community organisations and voluntary groups could increase reach. </w:t>
      </w:r>
    </w:p>
    <w:p w14:paraId="4F2B888A" w14:textId="77777777" w:rsidR="00475A5E" w:rsidRPr="00475A5E" w:rsidRDefault="00475A5E" w:rsidP="001C2070">
      <w:pPr>
        <w:pStyle w:val="Heading3"/>
        <w:divId w:val="275262032"/>
      </w:pPr>
      <w:bookmarkStart w:id="22" w:name="_Toc237612412"/>
      <w:r w:rsidRPr="00475A5E">
        <w:t>Evaluation of the Intervention</w:t>
      </w:r>
      <w:bookmarkEnd w:id="22"/>
      <w:r w:rsidRPr="00475A5E">
        <w:t xml:space="preserve"> </w:t>
      </w:r>
    </w:p>
    <w:p w14:paraId="37221C8F" w14:textId="77777777" w:rsidR="00475A5E" w:rsidRPr="00475A5E" w:rsidRDefault="00475A5E" w:rsidP="00475A5E">
      <w:pPr>
        <w:pStyle w:val="p1"/>
        <w:spacing w:line="360" w:lineRule="auto"/>
        <w:divId w:val="275262032"/>
        <w:rPr>
          <w:rFonts w:ascii="Arial" w:hAnsi="Arial" w:cs="Arial"/>
          <w:sz w:val="22"/>
          <w:szCs w:val="22"/>
        </w:rPr>
      </w:pPr>
      <w:r w:rsidRPr="00475A5E">
        <w:rPr>
          <w:rFonts w:ascii="Arial" w:hAnsi="Arial" w:cs="Arial"/>
          <w:sz w:val="22"/>
          <w:szCs w:val="22"/>
        </w:rPr>
        <w:t xml:space="preserve">Evaluation should include process, outcome and equity indicators. Process measures would include attendance, cardiovascular reviews, referrals, assessment waiting times and uptake of post-diagnostic support. Outcomes would include improved dementia knowledge, earlier diagnosis, reduced inequalities in referral, fewer avoidable emergency admissions and improved patient or carer experience. Recorded prevalence may initially rise because better case-finding identifies previously undiagnosed cases, so this should not be misinterpreted as programme failure. A pre/post comparison with similar practices not initially receiving the enhanced programme would strengthen evaluation. </w:t>
      </w:r>
    </w:p>
    <w:p w14:paraId="672FF9FD" w14:textId="77777777" w:rsidR="00475A5E" w:rsidRPr="00475A5E" w:rsidRDefault="00475A5E" w:rsidP="001C2070">
      <w:pPr>
        <w:pStyle w:val="Heading3"/>
        <w:divId w:val="275262032"/>
      </w:pPr>
      <w:bookmarkStart w:id="23" w:name="_Toc237612413"/>
      <w:r w:rsidRPr="00475A5E">
        <w:t>Strengths and Weaknesses of the Epidemiological Approach</w:t>
      </w:r>
      <w:bookmarkEnd w:id="23"/>
      <w:r w:rsidRPr="00475A5E">
        <w:t xml:space="preserve"> </w:t>
      </w:r>
    </w:p>
    <w:p w14:paraId="3D25A2C0" w14:textId="77777777" w:rsidR="00475A5E" w:rsidRPr="00475A5E" w:rsidRDefault="00475A5E" w:rsidP="00475A5E">
      <w:pPr>
        <w:pStyle w:val="p1"/>
        <w:spacing w:line="360" w:lineRule="auto"/>
        <w:divId w:val="275262032"/>
        <w:rPr>
          <w:rFonts w:ascii="Arial" w:hAnsi="Arial" w:cs="Arial"/>
          <w:sz w:val="22"/>
          <w:szCs w:val="22"/>
        </w:rPr>
      </w:pPr>
      <w:r w:rsidRPr="00475A5E">
        <w:rPr>
          <w:rFonts w:ascii="Arial" w:hAnsi="Arial" w:cs="Arial"/>
          <w:sz w:val="22"/>
          <w:szCs w:val="22"/>
        </w:rPr>
        <w:t xml:space="preserve">A major strength is triangulation of international evidence, UK cohort research, local surveillance and service data. This supports risk identification, needs assessment and measurable evaluation at a scale relevant to commissioning. However, dementia has a long latent period, making causal interpretation difficult. Underdiagnosis biases prevalence estimates, risk-factor data in routine records may be incomplete, and people less connected to services may be underrepresented. Observational studies are vulnerable to confounding and reverse causation; reduced physical activity, for example, can be both a risk factor and an early consequence of disease. Results must therefore be interpreted cautiously and updated using multiple data sources. A further limitation is ecological inference: borough-level deprivation or ethnicity patterns cannot be assumed to describe the risk of every individual resident. Data quality audits and patient or carer feedback should therefore complement quantitative surveillance. </w:t>
      </w:r>
    </w:p>
    <w:p w14:paraId="4CE90B39" w14:textId="77777777" w:rsidR="00475A5E" w:rsidRPr="00475A5E" w:rsidRDefault="00475A5E" w:rsidP="001C2070">
      <w:pPr>
        <w:pStyle w:val="Heading3"/>
        <w:divId w:val="275262032"/>
      </w:pPr>
      <w:bookmarkStart w:id="24" w:name="_Toc237612414"/>
      <w:r w:rsidRPr="00475A5E">
        <w:t>Conclusion</w:t>
      </w:r>
      <w:bookmarkEnd w:id="24"/>
      <w:r w:rsidRPr="00475A5E">
        <w:t xml:space="preserve"> </w:t>
      </w:r>
    </w:p>
    <w:p w14:paraId="33F71625" w14:textId="0510FE1E" w:rsidR="00C93B47" w:rsidRDefault="00475A5E" w:rsidP="0086152D">
      <w:pPr>
        <w:pStyle w:val="p1"/>
        <w:spacing w:line="360" w:lineRule="auto"/>
        <w:divId w:val="275262032"/>
        <w:rPr>
          <w:rFonts w:ascii="Arial" w:hAnsi="Arial" w:cs="Arial"/>
          <w:sz w:val="22"/>
          <w:szCs w:val="22"/>
        </w:rPr>
      </w:pPr>
      <w:r w:rsidRPr="00475A5E">
        <w:rPr>
          <w:rFonts w:ascii="Arial" w:hAnsi="Arial" w:cs="Arial"/>
          <w:sz w:val="22"/>
          <w:szCs w:val="22"/>
        </w:rPr>
        <w:t xml:space="preserve">Dementia is a major and growing public health problem in Wandsworth. Epidemiology enables the borough to quantify burden, identify risk, assess unmet need, monitor services and evaluate interventions. Although Wandsworth’s diagnosis rate is comparatively high, population ageing, service pressures, emergency admissions and dementia-related mortality show continuing need. A life-course approach combining promotion, prevention, timely </w:t>
      </w:r>
      <w:r w:rsidRPr="00475A5E">
        <w:rPr>
          <w:rFonts w:ascii="Arial" w:hAnsi="Arial" w:cs="Arial"/>
          <w:sz w:val="22"/>
          <w:szCs w:val="22"/>
        </w:rPr>
        <w:lastRenderedPageBreak/>
        <w:t xml:space="preserve">diagnosis, health protection and coordinated support, monitored through linked local data, offers the strongest basis for reducing future impact. </w:t>
      </w:r>
    </w:p>
    <w:p w14:paraId="1782B92E" w14:textId="300A5B12" w:rsidR="007537B2" w:rsidRDefault="007537B2" w:rsidP="001C2070">
      <w:pPr>
        <w:pStyle w:val="Heading1"/>
        <w:divId w:val="275262032"/>
        <w:rPr>
          <w:rStyle w:val="s1"/>
          <w:rFonts w:ascii="Arial" w:hAnsi="Arial" w:cs="Arial"/>
          <w:sz w:val="28"/>
          <w:szCs w:val="28"/>
        </w:rPr>
      </w:pPr>
      <w:bookmarkStart w:id="25" w:name="_Toc237612415"/>
      <w:r w:rsidRPr="001C2070">
        <w:t>References</w:t>
      </w:r>
      <w:bookmarkEnd w:id="25"/>
    </w:p>
    <w:p w14:paraId="5E746F74" w14:textId="149A2393" w:rsidR="0086152D" w:rsidRPr="0086152D" w:rsidRDefault="0086152D" w:rsidP="00F32265">
      <w:pPr>
        <w:pStyle w:val="p1"/>
        <w:spacing w:line="360" w:lineRule="auto"/>
        <w:divId w:val="275262032"/>
        <w:rPr>
          <w:rFonts w:ascii="Arial" w:hAnsi="Arial" w:cs="Arial"/>
          <w:sz w:val="22"/>
          <w:szCs w:val="22"/>
        </w:rPr>
      </w:pPr>
      <w:r w:rsidRPr="0086152D">
        <w:rPr>
          <w:rFonts w:ascii="Arial" w:hAnsi="Arial" w:cs="Arial"/>
          <w:sz w:val="22"/>
          <w:szCs w:val="22"/>
        </w:rPr>
        <w:t>Alzheimer’s Society (2024a) ‘How many people have dementia in the UK?’. Available at: https://www.alzheimers.org.uk/blog/how-many-people-have-dementia-uk (Accessed: 1</w:t>
      </w:r>
      <w:r w:rsidR="0022333F">
        <w:rPr>
          <w:rFonts w:ascii="Arial" w:hAnsi="Arial" w:cs="Arial"/>
          <w:sz w:val="22"/>
          <w:szCs w:val="22"/>
        </w:rPr>
        <w:t xml:space="preserve"> </w:t>
      </w:r>
      <w:r w:rsidRPr="0086152D">
        <w:rPr>
          <w:rFonts w:ascii="Arial" w:hAnsi="Arial" w:cs="Arial"/>
          <w:sz w:val="22"/>
          <w:szCs w:val="22"/>
        </w:rPr>
        <w:t xml:space="preserve">August 2026). </w:t>
      </w:r>
    </w:p>
    <w:p w14:paraId="67670A24" w14:textId="5446EE0F" w:rsidR="0086152D" w:rsidRPr="0086152D" w:rsidRDefault="0086152D" w:rsidP="00F32265">
      <w:pPr>
        <w:pStyle w:val="p1"/>
        <w:spacing w:line="360" w:lineRule="auto"/>
        <w:divId w:val="275262032"/>
        <w:rPr>
          <w:rFonts w:ascii="Arial" w:hAnsi="Arial" w:cs="Arial"/>
          <w:sz w:val="22"/>
          <w:szCs w:val="22"/>
        </w:rPr>
      </w:pPr>
      <w:r w:rsidRPr="0086152D">
        <w:rPr>
          <w:rFonts w:ascii="Arial" w:hAnsi="Arial" w:cs="Arial"/>
          <w:sz w:val="22"/>
          <w:szCs w:val="22"/>
        </w:rPr>
        <w:t xml:space="preserve">Alzheimer’s Society (2024b) ‘What are the costs of dementia diagnosis and care in the UK?’. Available at: https://www.alzheimers.org.uk/what-we-do/policy-and-influencing/dementia-scale-impact-numbers (Accessed: </w:t>
      </w:r>
      <w:r w:rsidR="00A73DAD">
        <w:rPr>
          <w:rFonts w:ascii="Arial" w:hAnsi="Arial" w:cs="Arial"/>
          <w:sz w:val="22"/>
          <w:szCs w:val="22"/>
        </w:rPr>
        <w:t>3</w:t>
      </w:r>
      <w:r w:rsidRPr="0086152D">
        <w:rPr>
          <w:rFonts w:ascii="Arial" w:hAnsi="Arial" w:cs="Arial"/>
          <w:sz w:val="22"/>
          <w:szCs w:val="22"/>
        </w:rPr>
        <w:t xml:space="preserve"> August 2026). </w:t>
      </w:r>
    </w:p>
    <w:p w14:paraId="5F8F5A8F" w14:textId="7FCE21C4" w:rsidR="0086152D" w:rsidRPr="0086152D" w:rsidRDefault="0086152D" w:rsidP="00F32265">
      <w:pPr>
        <w:pStyle w:val="p1"/>
        <w:spacing w:line="360" w:lineRule="auto"/>
        <w:divId w:val="275262032"/>
        <w:rPr>
          <w:rFonts w:ascii="Arial" w:hAnsi="Arial" w:cs="Arial"/>
          <w:sz w:val="22"/>
          <w:szCs w:val="22"/>
        </w:rPr>
      </w:pPr>
      <w:r w:rsidRPr="0086152D">
        <w:rPr>
          <w:rFonts w:ascii="Arial" w:hAnsi="Arial" w:cs="Arial"/>
          <w:sz w:val="22"/>
          <w:szCs w:val="22"/>
        </w:rPr>
        <w:t xml:space="preserve">Ben Hassen, C., Fayosse, A., Landré, B., Raggi, M., Bloomberg, M., Sabia, S. and Singh-Manoux, A. (2022) ‘Association between age at onset of multimorbidity and incidence of dementia: </w:t>
      </w:r>
      <w:proofErr w:type="gramStart"/>
      <w:r w:rsidRPr="0086152D">
        <w:rPr>
          <w:rFonts w:ascii="Arial" w:hAnsi="Arial" w:cs="Arial"/>
          <w:sz w:val="22"/>
          <w:szCs w:val="22"/>
        </w:rPr>
        <w:t>30 year</w:t>
      </w:r>
      <w:proofErr w:type="gramEnd"/>
      <w:r w:rsidRPr="0086152D">
        <w:rPr>
          <w:rFonts w:ascii="Arial" w:hAnsi="Arial" w:cs="Arial"/>
          <w:sz w:val="22"/>
          <w:szCs w:val="22"/>
        </w:rPr>
        <w:t xml:space="preserve"> follow-up in Whitehall II prospective cohort study’, BMJ, 376, e068005. doi:10.1136/bmj-2021-068005</w:t>
      </w:r>
      <w:r w:rsidR="006137DD">
        <w:rPr>
          <w:rFonts w:ascii="Arial" w:hAnsi="Arial" w:cs="Arial"/>
          <w:sz w:val="22"/>
          <w:szCs w:val="22"/>
        </w:rPr>
        <w:t>.</w:t>
      </w:r>
    </w:p>
    <w:p w14:paraId="0FEF0EA5" w14:textId="71BDFDFF" w:rsidR="0086152D" w:rsidRPr="0086152D" w:rsidRDefault="0086152D" w:rsidP="00F32265">
      <w:pPr>
        <w:pStyle w:val="p1"/>
        <w:spacing w:line="360" w:lineRule="auto"/>
        <w:divId w:val="275262032"/>
        <w:rPr>
          <w:rFonts w:ascii="Arial" w:hAnsi="Arial" w:cs="Arial"/>
          <w:sz w:val="22"/>
          <w:szCs w:val="22"/>
        </w:rPr>
      </w:pPr>
      <w:r w:rsidRPr="0086152D">
        <w:rPr>
          <w:rFonts w:ascii="Arial" w:hAnsi="Arial" w:cs="Arial"/>
          <w:sz w:val="22"/>
          <w:szCs w:val="22"/>
        </w:rPr>
        <w:t xml:space="preserve">Department for Work and Pensions (2025) The employment of disabled people 2025. Available at: https://www.gov.uk/government/statistics/the-employment-of-disabled-people-2025/the-employment-of-disabled-people-2025 (Accessed: </w:t>
      </w:r>
      <w:r w:rsidR="00354CD6">
        <w:rPr>
          <w:rFonts w:ascii="Arial" w:hAnsi="Arial" w:cs="Arial"/>
          <w:sz w:val="22"/>
          <w:szCs w:val="22"/>
        </w:rPr>
        <w:t>3</w:t>
      </w:r>
      <w:r w:rsidRPr="0086152D">
        <w:rPr>
          <w:rFonts w:ascii="Arial" w:hAnsi="Arial" w:cs="Arial"/>
          <w:sz w:val="22"/>
          <w:szCs w:val="22"/>
        </w:rPr>
        <w:t xml:space="preserve"> August 2026). </w:t>
      </w:r>
    </w:p>
    <w:p w14:paraId="78B4A87D" w14:textId="3C049F8C" w:rsidR="0086152D" w:rsidRPr="0086152D" w:rsidRDefault="0086152D" w:rsidP="00F32265">
      <w:pPr>
        <w:pStyle w:val="p1"/>
        <w:spacing w:line="360" w:lineRule="auto"/>
        <w:divId w:val="275262032"/>
        <w:rPr>
          <w:rFonts w:ascii="Arial" w:hAnsi="Arial" w:cs="Arial"/>
          <w:sz w:val="22"/>
          <w:szCs w:val="22"/>
        </w:rPr>
      </w:pPr>
      <w:r w:rsidRPr="0086152D">
        <w:rPr>
          <w:rFonts w:ascii="Arial" w:hAnsi="Arial" w:cs="Arial"/>
          <w:sz w:val="22"/>
          <w:szCs w:val="22"/>
        </w:rPr>
        <w:t xml:space="preserve">Department for Work and Pensions (2026) Family Resources Survey: financial year 2024 to 2025. Available at: https://www.gov.uk/government/statistics/family-resources-survey-financial-year-2024-to-2025/family-resources-survey-financial-year-2024-to-2025 (Accessed: </w:t>
      </w:r>
      <w:r w:rsidR="00AF21AD">
        <w:rPr>
          <w:rFonts w:ascii="Arial" w:hAnsi="Arial" w:cs="Arial"/>
          <w:sz w:val="22"/>
          <w:szCs w:val="22"/>
        </w:rPr>
        <w:t>5</w:t>
      </w:r>
      <w:r w:rsidRPr="0086152D">
        <w:rPr>
          <w:rFonts w:ascii="Arial" w:hAnsi="Arial" w:cs="Arial"/>
          <w:sz w:val="22"/>
          <w:szCs w:val="22"/>
        </w:rPr>
        <w:t xml:space="preserve"> August 2026). </w:t>
      </w:r>
    </w:p>
    <w:p w14:paraId="263F52F6" w14:textId="6AA50BE7" w:rsidR="0086152D" w:rsidRPr="0086152D" w:rsidRDefault="0086152D" w:rsidP="00F32265">
      <w:pPr>
        <w:pStyle w:val="p1"/>
        <w:spacing w:line="360" w:lineRule="auto"/>
        <w:divId w:val="275262032"/>
        <w:rPr>
          <w:rFonts w:ascii="Arial" w:hAnsi="Arial" w:cs="Arial"/>
          <w:sz w:val="22"/>
          <w:szCs w:val="22"/>
        </w:rPr>
      </w:pPr>
      <w:r w:rsidRPr="0086152D">
        <w:rPr>
          <w:rFonts w:ascii="Arial" w:hAnsi="Arial" w:cs="Arial"/>
          <w:sz w:val="22"/>
          <w:szCs w:val="22"/>
        </w:rPr>
        <w:t xml:space="preserve">Livingston, G., Huntley, J., Liu, K.Y., Costafreda, S.G., Selbæk, G., Alladi, S. et al. (2024) ‘Dementia prevention, intervention, and care: 2024 report of the Lancet standing Commission’, The Lancet, 404(10452), pp. 572–628. doi:10.1016/S0140-6736(24)01296-0. </w:t>
      </w:r>
    </w:p>
    <w:p w14:paraId="4F0BE867" w14:textId="629A4AB2" w:rsidR="0086152D" w:rsidRPr="0086152D" w:rsidRDefault="0086152D" w:rsidP="00F32265">
      <w:pPr>
        <w:pStyle w:val="p1"/>
        <w:spacing w:line="360" w:lineRule="auto"/>
        <w:divId w:val="275262032"/>
        <w:rPr>
          <w:rFonts w:ascii="Arial" w:hAnsi="Arial" w:cs="Arial"/>
          <w:sz w:val="22"/>
          <w:szCs w:val="22"/>
        </w:rPr>
      </w:pPr>
      <w:r w:rsidRPr="0086152D">
        <w:rPr>
          <w:rFonts w:ascii="Arial" w:hAnsi="Arial" w:cs="Arial"/>
          <w:sz w:val="22"/>
          <w:szCs w:val="22"/>
        </w:rPr>
        <w:t xml:space="preserve">National Institute for Health and Care Excellence (NICE) (2018) Dementia: assessment, management and support for people living with dementia and their carers (NG97). Available at: https://www.nice.org.uk/guidance/ng97 (Accessed: </w:t>
      </w:r>
      <w:r w:rsidR="00E7612C">
        <w:rPr>
          <w:rFonts w:ascii="Arial" w:hAnsi="Arial" w:cs="Arial"/>
          <w:sz w:val="22"/>
          <w:szCs w:val="22"/>
        </w:rPr>
        <w:t>5</w:t>
      </w:r>
      <w:r w:rsidRPr="0086152D">
        <w:rPr>
          <w:rFonts w:ascii="Arial" w:hAnsi="Arial" w:cs="Arial"/>
          <w:sz w:val="22"/>
          <w:szCs w:val="22"/>
        </w:rPr>
        <w:t xml:space="preserve"> August 2026). </w:t>
      </w:r>
    </w:p>
    <w:p w14:paraId="1D581A2C" w14:textId="1483F73E" w:rsidR="0086152D" w:rsidRPr="0086152D" w:rsidRDefault="0086152D" w:rsidP="00F32265">
      <w:pPr>
        <w:pStyle w:val="p1"/>
        <w:spacing w:line="360" w:lineRule="auto"/>
        <w:divId w:val="275262032"/>
        <w:rPr>
          <w:rFonts w:ascii="Arial" w:hAnsi="Arial" w:cs="Arial"/>
          <w:sz w:val="22"/>
          <w:szCs w:val="22"/>
        </w:rPr>
      </w:pPr>
      <w:r w:rsidRPr="0086152D">
        <w:rPr>
          <w:rFonts w:ascii="Arial" w:hAnsi="Arial" w:cs="Arial"/>
          <w:sz w:val="22"/>
          <w:szCs w:val="22"/>
        </w:rPr>
        <w:t xml:space="preserve">NHS England (2025a) Update on Learning Disability and Autism Programme. Available at: https://www.england.nhs.uk/long-read/update-on-learning-disability-and-autism-programme/ (Accessed: </w:t>
      </w:r>
      <w:r w:rsidR="00847C0B">
        <w:rPr>
          <w:rFonts w:ascii="Arial" w:hAnsi="Arial" w:cs="Arial"/>
          <w:sz w:val="22"/>
          <w:szCs w:val="22"/>
        </w:rPr>
        <w:t>5</w:t>
      </w:r>
      <w:r w:rsidRPr="0086152D">
        <w:rPr>
          <w:rFonts w:ascii="Arial" w:hAnsi="Arial" w:cs="Arial"/>
          <w:sz w:val="22"/>
          <w:szCs w:val="22"/>
        </w:rPr>
        <w:t xml:space="preserve"> August 2026). </w:t>
      </w:r>
    </w:p>
    <w:p w14:paraId="4BBAB15B" w14:textId="41DDD730" w:rsidR="0086152D" w:rsidRDefault="0086152D" w:rsidP="00F32265">
      <w:pPr>
        <w:pStyle w:val="p1"/>
        <w:spacing w:line="360" w:lineRule="auto"/>
        <w:divId w:val="275262032"/>
        <w:rPr>
          <w:rFonts w:ascii="Arial" w:hAnsi="Arial" w:cs="Arial"/>
          <w:sz w:val="22"/>
          <w:szCs w:val="22"/>
        </w:rPr>
      </w:pPr>
      <w:r w:rsidRPr="0086152D">
        <w:rPr>
          <w:rFonts w:ascii="Arial" w:hAnsi="Arial" w:cs="Arial"/>
          <w:sz w:val="22"/>
          <w:szCs w:val="22"/>
        </w:rPr>
        <w:t xml:space="preserve">NHS England (2025b) Accessible Information Standard – requirements (DAPB1605). Available at: https://www.england.nhs.uk/long-read/accessible-information-standard-requirements-dapb1605/ (Accessed: </w:t>
      </w:r>
      <w:r w:rsidR="00847C0B">
        <w:rPr>
          <w:rFonts w:ascii="Arial" w:hAnsi="Arial" w:cs="Arial"/>
          <w:sz w:val="22"/>
          <w:szCs w:val="22"/>
        </w:rPr>
        <w:t>6</w:t>
      </w:r>
      <w:r w:rsidRPr="0086152D">
        <w:rPr>
          <w:rFonts w:ascii="Arial" w:hAnsi="Arial" w:cs="Arial"/>
          <w:sz w:val="22"/>
          <w:szCs w:val="22"/>
        </w:rPr>
        <w:t xml:space="preserve"> August 2026). </w:t>
      </w:r>
    </w:p>
    <w:p w14:paraId="67F4F36F" w14:textId="42E05CFA" w:rsidR="00351565" w:rsidRDefault="00351565" w:rsidP="00F32265">
      <w:pPr>
        <w:pStyle w:val="p1"/>
        <w:spacing w:line="360" w:lineRule="auto"/>
        <w:divId w:val="275262032"/>
        <w:rPr>
          <w:rFonts w:ascii="Arial" w:hAnsi="Arial" w:cs="Arial"/>
          <w:sz w:val="22"/>
          <w:szCs w:val="22"/>
        </w:rPr>
      </w:pPr>
      <w:r w:rsidRPr="00351565">
        <w:rPr>
          <w:rFonts w:ascii="Arial" w:hAnsi="Arial" w:cs="Arial"/>
          <w:sz w:val="22"/>
          <w:szCs w:val="22"/>
        </w:rPr>
        <w:t>NHS England (2025</w:t>
      </w:r>
      <w:r>
        <w:rPr>
          <w:rFonts w:ascii="Arial" w:hAnsi="Arial" w:cs="Arial"/>
          <w:sz w:val="22"/>
          <w:szCs w:val="22"/>
        </w:rPr>
        <w:t>c</w:t>
      </w:r>
      <w:r w:rsidRPr="00351565">
        <w:rPr>
          <w:rFonts w:ascii="Arial" w:hAnsi="Arial" w:cs="Arial"/>
          <w:sz w:val="22"/>
          <w:szCs w:val="22"/>
        </w:rPr>
        <w:t>) Hospital Episode Statistics (HES). Available at: https://digital.nhs.uk/data-and-information/data-tools-and-services/data-services/hospital-episode-statistics (Accessed: 1</w:t>
      </w:r>
      <w:r w:rsidR="00C97FFD">
        <w:rPr>
          <w:rFonts w:ascii="Arial" w:hAnsi="Arial" w:cs="Arial"/>
          <w:sz w:val="22"/>
          <w:szCs w:val="22"/>
        </w:rPr>
        <w:t>1</w:t>
      </w:r>
      <w:r w:rsidRPr="00351565">
        <w:rPr>
          <w:rFonts w:ascii="Arial" w:hAnsi="Arial" w:cs="Arial"/>
          <w:sz w:val="22"/>
          <w:szCs w:val="22"/>
        </w:rPr>
        <w:t xml:space="preserve"> August 2026).</w:t>
      </w:r>
    </w:p>
    <w:p w14:paraId="4094D7B8" w14:textId="24B08FFF" w:rsidR="00C97FFD" w:rsidRDefault="00C97FFD" w:rsidP="00F32265">
      <w:pPr>
        <w:pStyle w:val="p1"/>
        <w:spacing w:line="360" w:lineRule="auto"/>
        <w:divId w:val="275262032"/>
        <w:rPr>
          <w:rFonts w:ascii="Arial" w:hAnsi="Arial" w:cs="Arial"/>
          <w:sz w:val="22"/>
          <w:szCs w:val="22"/>
        </w:rPr>
      </w:pPr>
      <w:r w:rsidRPr="00C97FFD">
        <w:rPr>
          <w:rFonts w:ascii="Arial" w:hAnsi="Arial" w:cs="Arial"/>
          <w:sz w:val="22"/>
          <w:szCs w:val="22"/>
        </w:rPr>
        <w:lastRenderedPageBreak/>
        <w:t>NHS England (2025) Quality and Outcomes Framework (QOF): Dementia. Available at: https://digital.nhs.uk/data-and-information/data-tools-and-services/data-services/general-practice-data-hub/quality-outcomes-framework-qof (Accessed: 1</w:t>
      </w:r>
      <w:r>
        <w:rPr>
          <w:rFonts w:ascii="Arial" w:hAnsi="Arial" w:cs="Arial"/>
          <w:sz w:val="22"/>
          <w:szCs w:val="22"/>
        </w:rPr>
        <w:t>1</w:t>
      </w:r>
      <w:r w:rsidRPr="00C97FFD">
        <w:rPr>
          <w:rFonts w:ascii="Arial" w:hAnsi="Arial" w:cs="Arial"/>
          <w:sz w:val="22"/>
          <w:szCs w:val="22"/>
        </w:rPr>
        <w:t xml:space="preserve"> August 2026).</w:t>
      </w:r>
    </w:p>
    <w:p w14:paraId="73287EF9" w14:textId="1371B7F9" w:rsidR="00F776A7" w:rsidRDefault="00F776A7" w:rsidP="00F32265">
      <w:pPr>
        <w:pStyle w:val="p1"/>
        <w:spacing w:line="360" w:lineRule="auto"/>
        <w:divId w:val="275262032"/>
        <w:rPr>
          <w:rFonts w:ascii="Arial" w:hAnsi="Arial" w:cs="Arial"/>
          <w:sz w:val="22"/>
          <w:szCs w:val="22"/>
        </w:rPr>
      </w:pPr>
      <w:r w:rsidRPr="00F776A7">
        <w:rPr>
          <w:rFonts w:ascii="Arial" w:hAnsi="Arial" w:cs="Arial"/>
          <w:sz w:val="22"/>
          <w:szCs w:val="22"/>
        </w:rPr>
        <w:t xml:space="preserve">Office for Health Improvement and Disparities (OHID) (2025) Fingertips Public Health Profiles. Available at: https://fingertips.phe.org.uk/ (Accessed: </w:t>
      </w:r>
      <w:r>
        <w:rPr>
          <w:rFonts w:ascii="Arial" w:hAnsi="Arial" w:cs="Arial"/>
          <w:sz w:val="22"/>
          <w:szCs w:val="22"/>
        </w:rPr>
        <w:t>10</w:t>
      </w:r>
      <w:r w:rsidRPr="00F776A7">
        <w:rPr>
          <w:rFonts w:ascii="Arial" w:hAnsi="Arial" w:cs="Arial"/>
          <w:sz w:val="22"/>
          <w:szCs w:val="22"/>
        </w:rPr>
        <w:t xml:space="preserve"> August 2026).</w:t>
      </w:r>
    </w:p>
    <w:p w14:paraId="3AE5B4D3" w14:textId="63081733" w:rsidR="0086152D" w:rsidRPr="0086152D" w:rsidRDefault="0086152D" w:rsidP="00F32265">
      <w:pPr>
        <w:pStyle w:val="p1"/>
        <w:spacing w:line="360" w:lineRule="auto"/>
        <w:divId w:val="275262032"/>
        <w:rPr>
          <w:rFonts w:ascii="Arial" w:hAnsi="Arial" w:cs="Arial"/>
          <w:sz w:val="22"/>
          <w:szCs w:val="22"/>
        </w:rPr>
      </w:pPr>
      <w:r w:rsidRPr="0086152D">
        <w:rPr>
          <w:rFonts w:ascii="Arial" w:hAnsi="Arial" w:cs="Arial"/>
          <w:sz w:val="22"/>
          <w:szCs w:val="22"/>
        </w:rPr>
        <w:t xml:space="preserve">Office for National Statistics (ONS) (2022a) Cost of living and depression in adults, Great Britain: 29 September to 23 October 2022. Available at: https://www.ons.gov.uk/peoplepopulationandcommunity/healthandsocialcare/mentalhealth/articles/costoflivinganddepressioninadultsgreatbritain/29septemberto23october2022 (Accessed: </w:t>
      </w:r>
      <w:r w:rsidR="00847C0B">
        <w:rPr>
          <w:rFonts w:ascii="Arial" w:hAnsi="Arial" w:cs="Arial"/>
          <w:sz w:val="22"/>
          <w:szCs w:val="22"/>
        </w:rPr>
        <w:t>6</w:t>
      </w:r>
      <w:r w:rsidRPr="0086152D">
        <w:rPr>
          <w:rFonts w:ascii="Arial" w:hAnsi="Arial" w:cs="Arial"/>
          <w:sz w:val="22"/>
          <w:szCs w:val="22"/>
        </w:rPr>
        <w:t xml:space="preserve"> August 2026). </w:t>
      </w:r>
    </w:p>
    <w:p w14:paraId="3144E2C1" w14:textId="5BB842BE" w:rsidR="0086152D" w:rsidRDefault="0086152D" w:rsidP="00F32265">
      <w:pPr>
        <w:pStyle w:val="p1"/>
        <w:spacing w:line="360" w:lineRule="auto"/>
        <w:divId w:val="275262032"/>
        <w:rPr>
          <w:rFonts w:ascii="Arial" w:hAnsi="Arial" w:cs="Arial"/>
          <w:sz w:val="22"/>
          <w:szCs w:val="22"/>
        </w:rPr>
      </w:pPr>
      <w:r w:rsidRPr="0086152D">
        <w:rPr>
          <w:rFonts w:ascii="Arial" w:hAnsi="Arial" w:cs="Arial"/>
          <w:sz w:val="22"/>
          <w:szCs w:val="22"/>
        </w:rPr>
        <w:t xml:space="preserve">Office for National Statistics (ONS) (2022b) Outcomes for disabled people in the UK: 2021. Available at: https://www.ons.gov.uk/peoplepopulationandcommunity/healthandsocialcare/disability/articles/outcomesfordisabledpeopleintheuk/2021 (Accessed: </w:t>
      </w:r>
      <w:r w:rsidR="006E640F">
        <w:rPr>
          <w:rFonts w:ascii="Arial" w:hAnsi="Arial" w:cs="Arial"/>
          <w:sz w:val="22"/>
          <w:szCs w:val="22"/>
        </w:rPr>
        <w:t>6</w:t>
      </w:r>
      <w:r w:rsidRPr="0086152D">
        <w:rPr>
          <w:rFonts w:ascii="Arial" w:hAnsi="Arial" w:cs="Arial"/>
          <w:sz w:val="22"/>
          <w:szCs w:val="22"/>
        </w:rPr>
        <w:t xml:space="preserve"> August 2026). </w:t>
      </w:r>
    </w:p>
    <w:p w14:paraId="1A890CFB" w14:textId="2F096BF7" w:rsidR="00A336BF" w:rsidRPr="0086152D" w:rsidRDefault="00A336BF" w:rsidP="00F32265">
      <w:pPr>
        <w:pStyle w:val="p1"/>
        <w:spacing w:line="360" w:lineRule="auto"/>
        <w:divId w:val="275262032"/>
        <w:rPr>
          <w:rFonts w:ascii="Arial" w:hAnsi="Arial" w:cs="Arial"/>
          <w:sz w:val="22"/>
          <w:szCs w:val="22"/>
        </w:rPr>
      </w:pPr>
      <w:r w:rsidRPr="00A336BF">
        <w:rPr>
          <w:rFonts w:ascii="Arial" w:hAnsi="Arial" w:cs="Arial"/>
          <w:sz w:val="22"/>
          <w:szCs w:val="22"/>
        </w:rPr>
        <w:t xml:space="preserve">Office for National Statistics (ONS) (2025) Deaths registered in England and Wales. Newport: ONS. Available at: https://www.ons.gov.uk/ (Accessed: </w:t>
      </w:r>
      <w:r>
        <w:rPr>
          <w:rFonts w:ascii="Arial" w:hAnsi="Arial" w:cs="Arial"/>
          <w:sz w:val="22"/>
          <w:szCs w:val="22"/>
        </w:rPr>
        <w:t>6</w:t>
      </w:r>
      <w:r w:rsidRPr="00A336BF">
        <w:rPr>
          <w:rFonts w:ascii="Arial" w:hAnsi="Arial" w:cs="Arial"/>
          <w:sz w:val="22"/>
          <w:szCs w:val="22"/>
        </w:rPr>
        <w:t xml:space="preserve"> August 2026).</w:t>
      </w:r>
    </w:p>
    <w:p w14:paraId="509A72B5" w14:textId="0E5C094B" w:rsidR="0086152D" w:rsidRPr="0086152D" w:rsidRDefault="0086152D" w:rsidP="00F32265">
      <w:pPr>
        <w:pStyle w:val="p1"/>
        <w:spacing w:line="360" w:lineRule="auto"/>
        <w:divId w:val="275262032"/>
        <w:rPr>
          <w:rFonts w:ascii="Arial" w:hAnsi="Arial" w:cs="Arial"/>
          <w:sz w:val="22"/>
          <w:szCs w:val="22"/>
        </w:rPr>
      </w:pPr>
      <w:r w:rsidRPr="0086152D">
        <w:rPr>
          <w:rFonts w:ascii="Arial" w:hAnsi="Arial" w:cs="Arial"/>
          <w:sz w:val="22"/>
          <w:szCs w:val="22"/>
        </w:rPr>
        <w:t>Office for National Statistics (ONS) (2026) Death registration summary statistics, England and Wales: 2025. Available at:</w:t>
      </w:r>
      <w:r w:rsidR="00806A54">
        <w:rPr>
          <w:rFonts w:ascii="Arial" w:hAnsi="Arial" w:cs="Arial"/>
          <w:sz w:val="22"/>
          <w:szCs w:val="22"/>
        </w:rPr>
        <w:t xml:space="preserve"> </w:t>
      </w:r>
      <w:r w:rsidRPr="0086152D">
        <w:rPr>
          <w:rFonts w:ascii="Arial" w:hAnsi="Arial" w:cs="Arial"/>
          <w:sz w:val="22"/>
          <w:szCs w:val="22"/>
        </w:rPr>
        <w:t xml:space="preserve">https://www.ons.gov.uk/peoplepopulationandcommunity/birthsdeathsandmarriages/deaths/bulletins/deathregistrationsummarystatisticsenglandandwales/2025 (Accessed: </w:t>
      </w:r>
      <w:r w:rsidR="00861562">
        <w:rPr>
          <w:rFonts w:ascii="Arial" w:hAnsi="Arial" w:cs="Arial"/>
          <w:sz w:val="22"/>
          <w:szCs w:val="22"/>
        </w:rPr>
        <w:t>6</w:t>
      </w:r>
      <w:r w:rsidRPr="0086152D">
        <w:rPr>
          <w:rFonts w:ascii="Arial" w:hAnsi="Arial" w:cs="Arial"/>
          <w:sz w:val="22"/>
          <w:szCs w:val="22"/>
        </w:rPr>
        <w:t xml:space="preserve"> August 2026). </w:t>
      </w:r>
    </w:p>
    <w:p w14:paraId="43494432" w14:textId="58C69241" w:rsidR="0086152D" w:rsidRPr="0086152D" w:rsidRDefault="0086152D" w:rsidP="00F32265">
      <w:pPr>
        <w:pStyle w:val="p1"/>
        <w:spacing w:line="360" w:lineRule="auto"/>
        <w:divId w:val="275262032"/>
        <w:rPr>
          <w:rFonts w:ascii="Arial" w:hAnsi="Arial" w:cs="Arial"/>
          <w:sz w:val="22"/>
          <w:szCs w:val="22"/>
        </w:rPr>
      </w:pPr>
      <w:r w:rsidRPr="0086152D">
        <w:rPr>
          <w:rFonts w:ascii="Arial" w:hAnsi="Arial" w:cs="Arial"/>
          <w:sz w:val="22"/>
          <w:szCs w:val="22"/>
        </w:rPr>
        <w:t xml:space="preserve">Sabia, S., Fayosse, A., Dumurgier, J., Schnitzler, A., Empana, J-P., Ebmeier, K.P., Dugravot, A., Kivimäki, M. and Singh-Manoux, A. (2019) ‘Association of ideal cardiovascular health at age 50 with incidence of dementia: </w:t>
      </w:r>
      <w:proofErr w:type="gramStart"/>
      <w:r w:rsidRPr="0086152D">
        <w:rPr>
          <w:rFonts w:ascii="Arial" w:hAnsi="Arial" w:cs="Arial"/>
          <w:sz w:val="22"/>
          <w:szCs w:val="22"/>
        </w:rPr>
        <w:t>25 year</w:t>
      </w:r>
      <w:proofErr w:type="gramEnd"/>
      <w:r w:rsidRPr="0086152D">
        <w:rPr>
          <w:rFonts w:ascii="Arial" w:hAnsi="Arial" w:cs="Arial"/>
          <w:sz w:val="22"/>
          <w:szCs w:val="22"/>
        </w:rPr>
        <w:t xml:space="preserve"> follow-up of Whitehall II cohort study’, BMJ, 366, l4414. doi:10.1136/bmj.l4414. </w:t>
      </w:r>
    </w:p>
    <w:p w14:paraId="1D63BDBD" w14:textId="77777777" w:rsidR="0086152D" w:rsidRPr="0086152D" w:rsidRDefault="0086152D" w:rsidP="00F32265">
      <w:pPr>
        <w:pStyle w:val="p1"/>
        <w:spacing w:line="360" w:lineRule="auto"/>
        <w:divId w:val="275262032"/>
        <w:rPr>
          <w:rFonts w:ascii="Arial" w:hAnsi="Arial" w:cs="Arial"/>
          <w:sz w:val="22"/>
          <w:szCs w:val="22"/>
        </w:rPr>
      </w:pPr>
      <w:r w:rsidRPr="0086152D">
        <w:rPr>
          <w:rFonts w:ascii="Arial" w:hAnsi="Arial" w:cs="Arial"/>
          <w:sz w:val="22"/>
          <w:szCs w:val="22"/>
        </w:rPr>
        <w:t xml:space="preserve">Scope (2025) Disability Price Tag 2025. Available at: https://www.scope.org.uk/campaigns/disability-price-tag (Accessed: 14 August 2026). </w:t>
      </w:r>
    </w:p>
    <w:p w14:paraId="48FAA048" w14:textId="44AFA021" w:rsidR="0086152D" w:rsidRPr="0086152D" w:rsidRDefault="0086152D" w:rsidP="00F32265">
      <w:pPr>
        <w:pStyle w:val="p1"/>
        <w:spacing w:line="360" w:lineRule="auto"/>
        <w:divId w:val="275262032"/>
        <w:rPr>
          <w:rFonts w:ascii="Arial" w:hAnsi="Arial" w:cs="Arial"/>
          <w:sz w:val="22"/>
          <w:szCs w:val="22"/>
        </w:rPr>
      </w:pPr>
      <w:proofErr w:type="gramStart"/>
      <w:r w:rsidRPr="0086152D">
        <w:rPr>
          <w:rFonts w:ascii="Arial" w:hAnsi="Arial" w:cs="Arial"/>
          <w:sz w:val="22"/>
          <w:szCs w:val="22"/>
        </w:rPr>
        <w:t>South West</w:t>
      </w:r>
      <w:proofErr w:type="gramEnd"/>
      <w:r w:rsidRPr="0086152D">
        <w:rPr>
          <w:rFonts w:ascii="Arial" w:hAnsi="Arial" w:cs="Arial"/>
          <w:sz w:val="22"/>
          <w:szCs w:val="22"/>
        </w:rPr>
        <w:t xml:space="preserve"> London and St George’s Mental Health NHS Trust (2025) Performance analysis. Available at: https://swlstg.nhs.uk/annual-report-performance-analysis (Accessed: </w:t>
      </w:r>
      <w:r w:rsidR="00577679">
        <w:rPr>
          <w:rFonts w:ascii="Arial" w:hAnsi="Arial" w:cs="Arial"/>
          <w:sz w:val="22"/>
          <w:szCs w:val="22"/>
        </w:rPr>
        <w:t>6</w:t>
      </w:r>
      <w:r w:rsidRPr="0086152D">
        <w:rPr>
          <w:rFonts w:ascii="Arial" w:hAnsi="Arial" w:cs="Arial"/>
          <w:sz w:val="22"/>
          <w:szCs w:val="22"/>
        </w:rPr>
        <w:t xml:space="preserve"> August 2026). </w:t>
      </w:r>
    </w:p>
    <w:p w14:paraId="2C3E8427" w14:textId="1274CAB2" w:rsidR="0086152D" w:rsidRPr="0086152D" w:rsidRDefault="0086152D" w:rsidP="00F32265">
      <w:pPr>
        <w:pStyle w:val="p1"/>
        <w:spacing w:line="360" w:lineRule="auto"/>
        <w:divId w:val="275262032"/>
        <w:rPr>
          <w:rFonts w:ascii="Arial" w:hAnsi="Arial" w:cs="Arial"/>
          <w:sz w:val="22"/>
          <w:szCs w:val="22"/>
        </w:rPr>
      </w:pPr>
      <w:proofErr w:type="gramStart"/>
      <w:r w:rsidRPr="0086152D">
        <w:rPr>
          <w:rFonts w:ascii="Arial" w:hAnsi="Arial" w:cs="Arial"/>
          <w:sz w:val="22"/>
          <w:szCs w:val="22"/>
        </w:rPr>
        <w:t>South West</w:t>
      </w:r>
      <w:proofErr w:type="gramEnd"/>
      <w:r w:rsidRPr="0086152D">
        <w:rPr>
          <w:rFonts w:ascii="Arial" w:hAnsi="Arial" w:cs="Arial"/>
          <w:sz w:val="22"/>
          <w:szCs w:val="22"/>
        </w:rPr>
        <w:t xml:space="preserve"> London and St George’s Mental Health NHS Trust (2026) Wandsworth Older Adults Services. Available at: https://swlstg.nhs.uk/service-detail/service/wandsworth-older-adults-services-186/ (Accessed: </w:t>
      </w:r>
      <w:r w:rsidR="00823EE3">
        <w:rPr>
          <w:rFonts w:ascii="Arial" w:hAnsi="Arial" w:cs="Arial"/>
          <w:sz w:val="22"/>
          <w:szCs w:val="22"/>
        </w:rPr>
        <w:t>6</w:t>
      </w:r>
      <w:r w:rsidRPr="0086152D">
        <w:rPr>
          <w:rFonts w:ascii="Arial" w:hAnsi="Arial" w:cs="Arial"/>
          <w:sz w:val="22"/>
          <w:szCs w:val="22"/>
        </w:rPr>
        <w:t xml:space="preserve"> August 2026). </w:t>
      </w:r>
    </w:p>
    <w:p w14:paraId="1486122A" w14:textId="6A018B2E" w:rsidR="0086152D" w:rsidRPr="0086152D" w:rsidRDefault="0086152D" w:rsidP="00F32265">
      <w:pPr>
        <w:pStyle w:val="p1"/>
        <w:spacing w:line="360" w:lineRule="auto"/>
        <w:divId w:val="275262032"/>
        <w:rPr>
          <w:rFonts w:ascii="Arial" w:hAnsi="Arial" w:cs="Arial"/>
          <w:sz w:val="22"/>
          <w:szCs w:val="22"/>
        </w:rPr>
      </w:pPr>
      <w:r w:rsidRPr="0086152D">
        <w:rPr>
          <w:rFonts w:ascii="Arial" w:hAnsi="Arial" w:cs="Arial"/>
          <w:sz w:val="22"/>
          <w:szCs w:val="22"/>
        </w:rPr>
        <w:t xml:space="preserve">Sport England (2026) Disabled people. Available at: https://www.sportengland.org/research-and-data/research/disabled-people (Accessed: </w:t>
      </w:r>
      <w:r w:rsidR="00323165">
        <w:rPr>
          <w:rFonts w:ascii="Arial" w:hAnsi="Arial" w:cs="Arial"/>
          <w:sz w:val="22"/>
          <w:szCs w:val="22"/>
        </w:rPr>
        <w:t>6</w:t>
      </w:r>
      <w:r w:rsidRPr="0086152D">
        <w:rPr>
          <w:rFonts w:ascii="Arial" w:hAnsi="Arial" w:cs="Arial"/>
          <w:sz w:val="22"/>
          <w:szCs w:val="22"/>
        </w:rPr>
        <w:t xml:space="preserve"> August 2026). </w:t>
      </w:r>
    </w:p>
    <w:p w14:paraId="4B624E2C" w14:textId="0E8274D2" w:rsidR="0086152D" w:rsidRPr="0086152D" w:rsidRDefault="0086152D" w:rsidP="00F32265">
      <w:pPr>
        <w:pStyle w:val="p1"/>
        <w:spacing w:line="360" w:lineRule="auto"/>
        <w:divId w:val="275262032"/>
        <w:rPr>
          <w:rFonts w:ascii="Arial" w:hAnsi="Arial" w:cs="Arial"/>
          <w:sz w:val="22"/>
          <w:szCs w:val="22"/>
        </w:rPr>
      </w:pPr>
      <w:r w:rsidRPr="0086152D">
        <w:rPr>
          <w:rFonts w:ascii="Arial" w:hAnsi="Arial" w:cs="Arial"/>
          <w:sz w:val="22"/>
          <w:szCs w:val="22"/>
        </w:rPr>
        <w:t xml:space="preserve">UK Government (2010) Equality Act 2010. London: The Stationery Office. Available at: https://www.legislation.gov.uk/ukpga/2010/15/contents (Accessed: </w:t>
      </w:r>
      <w:r w:rsidR="00323165">
        <w:rPr>
          <w:rFonts w:ascii="Arial" w:hAnsi="Arial" w:cs="Arial"/>
          <w:sz w:val="22"/>
          <w:szCs w:val="22"/>
        </w:rPr>
        <w:t>6</w:t>
      </w:r>
      <w:r w:rsidRPr="0086152D">
        <w:rPr>
          <w:rFonts w:ascii="Arial" w:hAnsi="Arial" w:cs="Arial"/>
          <w:sz w:val="22"/>
          <w:szCs w:val="22"/>
        </w:rPr>
        <w:t xml:space="preserve"> August 2026). </w:t>
      </w:r>
    </w:p>
    <w:p w14:paraId="4B152C52" w14:textId="21EE76B5" w:rsidR="0086152D" w:rsidRPr="0086152D" w:rsidRDefault="0086152D" w:rsidP="00F32265">
      <w:pPr>
        <w:pStyle w:val="p1"/>
        <w:spacing w:line="360" w:lineRule="auto"/>
        <w:divId w:val="275262032"/>
        <w:rPr>
          <w:rFonts w:ascii="Arial" w:hAnsi="Arial" w:cs="Arial"/>
          <w:sz w:val="22"/>
          <w:szCs w:val="22"/>
        </w:rPr>
      </w:pPr>
      <w:r w:rsidRPr="0086152D">
        <w:rPr>
          <w:rFonts w:ascii="Arial" w:hAnsi="Arial" w:cs="Arial"/>
          <w:sz w:val="22"/>
          <w:szCs w:val="22"/>
        </w:rPr>
        <w:lastRenderedPageBreak/>
        <w:t xml:space="preserve">UK Government (2026) Disabled </w:t>
      </w:r>
      <w:proofErr w:type="gramStart"/>
      <w:r w:rsidRPr="0086152D">
        <w:rPr>
          <w:rFonts w:ascii="Arial" w:hAnsi="Arial" w:cs="Arial"/>
          <w:sz w:val="22"/>
          <w:szCs w:val="22"/>
        </w:rPr>
        <w:t>people’s</w:t>
      </w:r>
      <w:proofErr w:type="gramEnd"/>
      <w:r w:rsidRPr="0086152D">
        <w:rPr>
          <w:rFonts w:ascii="Arial" w:hAnsi="Arial" w:cs="Arial"/>
          <w:sz w:val="22"/>
          <w:szCs w:val="22"/>
        </w:rPr>
        <w:t xml:space="preserve"> lived experience of housing in the UK: an evidence </w:t>
      </w:r>
      <w:proofErr w:type="gramStart"/>
      <w:r w:rsidRPr="0086152D">
        <w:rPr>
          <w:rFonts w:ascii="Arial" w:hAnsi="Arial" w:cs="Arial"/>
          <w:sz w:val="22"/>
          <w:szCs w:val="22"/>
        </w:rPr>
        <w:t>review</w:t>
      </w:r>
      <w:proofErr w:type="gramEnd"/>
      <w:r w:rsidRPr="0086152D">
        <w:rPr>
          <w:rFonts w:ascii="Arial" w:hAnsi="Arial" w:cs="Arial"/>
          <w:sz w:val="22"/>
          <w:szCs w:val="22"/>
        </w:rPr>
        <w:t xml:space="preserve">. Available at: https://www.gov.uk/government/publications/disabled-peoples-lived-experience-of-housing-in-the-uk/disabled-peoples-lived-experience-of-housing-in-the-uk-an-evidence-review (Accessed: </w:t>
      </w:r>
      <w:r w:rsidR="00323165">
        <w:rPr>
          <w:rFonts w:ascii="Arial" w:hAnsi="Arial" w:cs="Arial"/>
          <w:sz w:val="22"/>
          <w:szCs w:val="22"/>
        </w:rPr>
        <w:t>6</w:t>
      </w:r>
      <w:r w:rsidRPr="0086152D">
        <w:rPr>
          <w:rFonts w:ascii="Arial" w:hAnsi="Arial" w:cs="Arial"/>
          <w:sz w:val="22"/>
          <w:szCs w:val="22"/>
        </w:rPr>
        <w:t xml:space="preserve"> August 2026). </w:t>
      </w:r>
    </w:p>
    <w:p w14:paraId="1A9C523F" w14:textId="37B31E55" w:rsidR="0086152D" w:rsidRPr="0086152D" w:rsidRDefault="0086152D" w:rsidP="00F32265">
      <w:pPr>
        <w:pStyle w:val="p1"/>
        <w:spacing w:line="360" w:lineRule="auto"/>
        <w:divId w:val="275262032"/>
        <w:rPr>
          <w:rFonts w:ascii="Arial" w:hAnsi="Arial" w:cs="Arial"/>
          <w:sz w:val="22"/>
          <w:szCs w:val="22"/>
        </w:rPr>
      </w:pPr>
      <w:r w:rsidRPr="0086152D">
        <w:rPr>
          <w:rFonts w:ascii="Arial" w:hAnsi="Arial" w:cs="Arial"/>
          <w:sz w:val="22"/>
          <w:szCs w:val="22"/>
        </w:rPr>
        <w:t xml:space="preserve">Wandsworth Council (2024) Market Position Statement Evidence Base 2024. Available at: https://www.wandsworth.gov.uk/media/e4flhsur/mps_evidence_base.pdf (Accessed: </w:t>
      </w:r>
      <w:r w:rsidR="00323165">
        <w:rPr>
          <w:rFonts w:ascii="Arial" w:hAnsi="Arial" w:cs="Arial"/>
          <w:sz w:val="22"/>
          <w:szCs w:val="22"/>
        </w:rPr>
        <w:t xml:space="preserve">6 </w:t>
      </w:r>
      <w:r w:rsidRPr="0086152D">
        <w:rPr>
          <w:rFonts w:ascii="Arial" w:hAnsi="Arial" w:cs="Arial"/>
          <w:sz w:val="22"/>
          <w:szCs w:val="22"/>
        </w:rPr>
        <w:t xml:space="preserve">August 2026). </w:t>
      </w:r>
    </w:p>
    <w:p w14:paraId="36AD387E" w14:textId="5040BF22" w:rsidR="0086152D" w:rsidRPr="0086152D" w:rsidRDefault="0086152D" w:rsidP="00F32265">
      <w:pPr>
        <w:pStyle w:val="p1"/>
        <w:spacing w:line="360" w:lineRule="auto"/>
        <w:divId w:val="275262032"/>
        <w:rPr>
          <w:rFonts w:ascii="Arial" w:hAnsi="Arial" w:cs="Arial"/>
          <w:sz w:val="22"/>
          <w:szCs w:val="22"/>
        </w:rPr>
      </w:pPr>
      <w:r w:rsidRPr="0086152D">
        <w:rPr>
          <w:rFonts w:ascii="Arial" w:hAnsi="Arial" w:cs="Arial"/>
          <w:sz w:val="22"/>
          <w:szCs w:val="22"/>
        </w:rPr>
        <w:t xml:space="preserve">Wandsworth Council (2025) Pharmaceutical Needs Assessment 2025 to 2028. Available at: https://www.wandsworth.gov.uk/media/hi3digxa/pharmaceutical_needs_assessment_2025_to_2028.pdf (Accessed: </w:t>
      </w:r>
      <w:r w:rsidR="009E18BF">
        <w:rPr>
          <w:rFonts w:ascii="Arial" w:hAnsi="Arial" w:cs="Arial"/>
          <w:sz w:val="22"/>
          <w:szCs w:val="22"/>
        </w:rPr>
        <w:t>6</w:t>
      </w:r>
      <w:r w:rsidRPr="0086152D">
        <w:rPr>
          <w:rFonts w:ascii="Arial" w:hAnsi="Arial" w:cs="Arial"/>
          <w:sz w:val="22"/>
          <w:szCs w:val="22"/>
        </w:rPr>
        <w:t xml:space="preserve"> August 2026). </w:t>
      </w:r>
    </w:p>
    <w:p w14:paraId="42EBC989" w14:textId="2507C033" w:rsidR="0086152D" w:rsidRPr="0086152D" w:rsidRDefault="0086152D" w:rsidP="00F32265">
      <w:pPr>
        <w:pStyle w:val="p1"/>
        <w:spacing w:line="360" w:lineRule="auto"/>
        <w:divId w:val="275262032"/>
        <w:rPr>
          <w:rFonts w:ascii="Arial" w:hAnsi="Arial" w:cs="Arial"/>
          <w:sz w:val="22"/>
          <w:szCs w:val="22"/>
        </w:rPr>
      </w:pPr>
      <w:r w:rsidRPr="0086152D">
        <w:rPr>
          <w:rFonts w:ascii="Arial" w:hAnsi="Arial" w:cs="Arial"/>
          <w:sz w:val="22"/>
          <w:szCs w:val="22"/>
        </w:rPr>
        <w:t xml:space="preserve">Wandsworth Council (2026a) Joint Strategic Needs Assessment: Age Well. Available at: https://www.wandsworth.gov.uk/health-and-social-care/public-health/public-health-publications/jsna/jsna-age-well/ (Accessed: </w:t>
      </w:r>
      <w:r w:rsidR="009E18BF">
        <w:rPr>
          <w:rFonts w:ascii="Arial" w:hAnsi="Arial" w:cs="Arial"/>
          <w:sz w:val="22"/>
          <w:szCs w:val="22"/>
        </w:rPr>
        <w:t>7</w:t>
      </w:r>
      <w:r w:rsidRPr="0086152D">
        <w:rPr>
          <w:rFonts w:ascii="Arial" w:hAnsi="Arial" w:cs="Arial"/>
          <w:sz w:val="22"/>
          <w:szCs w:val="22"/>
        </w:rPr>
        <w:t xml:space="preserve"> August 2026). </w:t>
      </w:r>
    </w:p>
    <w:p w14:paraId="01107643" w14:textId="4FCC55BD" w:rsidR="0086152D" w:rsidRPr="0086152D" w:rsidRDefault="0086152D" w:rsidP="00F32265">
      <w:pPr>
        <w:pStyle w:val="p1"/>
        <w:spacing w:line="360" w:lineRule="auto"/>
        <w:divId w:val="275262032"/>
        <w:rPr>
          <w:rFonts w:ascii="Arial" w:hAnsi="Arial" w:cs="Arial"/>
          <w:sz w:val="22"/>
          <w:szCs w:val="22"/>
        </w:rPr>
      </w:pPr>
      <w:r w:rsidRPr="0086152D">
        <w:rPr>
          <w:rFonts w:ascii="Arial" w:hAnsi="Arial" w:cs="Arial"/>
          <w:sz w:val="22"/>
          <w:szCs w:val="22"/>
        </w:rPr>
        <w:t xml:space="preserve">Wandsworth Council (2026b) Dementia services in Wandsworth. Available at: https://www.wandsworth.gov.uk/media/9566/dementia_services_in_wandsworth.pdf (Accessed: </w:t>
      </w:r>
      <w:r w:rsidR="009E18BF">
        <w:rPr>
          <w:rFonts w:ascii="Arial" w:hAnsi="Arial" w:cs="Arial"/>
          <w:sz w:val="22"/>
          <w:szCs w:val="22"/>
        </w:rPr>
        <w:t>7</w:t>
      </w:r>
      <w:r w:rsidRPr="0086152D">
        <w:rPr>
          <w:rFonts w:ascii="Arial" w:hAnsi="Arial" w:cs="Arial"/>
          <w:sz w:val="22"/>
          <w:szCs w:val="22"/>
        </w:rPr>
        <w:t xml:space="preserve"> August 2026). </w:t>
      </w:r>
    </w:p>
    <w:p w14:paraId="57488C76" w14:textId="5DF81180" w:rsidR="0086152D" w:rsidRPr="0086152D" w:rsidRDefault="0086152D" w:rsidP="00F32265">
      <w:pPr>
        <w:pStyle w:val="p1"/>
        <w:spacing w:line="360" w:lineRule="auto"/>
        <w:divId w:val="275262032"/>
        <w:rPr>
          <w:rFonts w:ascii="Arial" w:hAnsi="Arial" w:cs="Arial"/>
          <w:sz w:val="22"/>
          <w:szCs w:val="22"/>
        </w:rPr>
      </w:pPr>
      <w:r w:rsidRPr="0086152D">
        <w:rPr>
          <w:rFonts w:ascii="Arial" w:hAnsi="Arial" w:cs="Arial"/>
          <w:sz w:val="22"/>
          <w:szCs w:val="22"/>
        </w:rPr>
        <w:t xml:space="preserve">World Health </w:t>
      </w:r>
      <w:r w:rsidR="00742834">
        <w:rPr>
          <w:rFonts w:ascii="Arial" w:hAnsi="Arial" w:cs="Arial"/>
          <w:sz w:val="22"/>
          <w:szCs w:val="22"/>
        </w:rPr>
        <w:t>Organisation</w:t>
      </w:r>
      <w:r w:rsidRPr="0086152D">
        <w:rPr>
          <w:rFonts w:ascii="Arial" w:hAnsi="Arial" w:cs="Arial"/>
          <w:sz w:val="22"/>
          <w:szCs w:val="22"/>
        </w:rPr>
        <w:t xml:space="preserve"> (WHO) (2022) Global report on health equity for persons with disabilities. Geneva: World Health </w:t>
      </w:r>
      <w:r w:rsidR="00742834">
        <w:rPr>
          <w:rFonts w:ascii="Arial" w:hAnsi="Arial" w:cs="Arial"/>
          <w:sz w:val="22"/>
          <w:szCs w:val="22"/>
        </w:rPr>
        <w:t>Organisation</w:t>
      </w:r>
      <w:r w:rsidRPr="0086152D">
        <w:rPr>
          <w:rFonts w:ascii="Arial" w:hAnsi="Arial" w:cs="Arial"/>
          <w:sz w:val="22"/>
          <w:szCs w:val="22"/>
        </w:rPr>
        <w:t xml:space="preserve">. Available at: https://www.who.int/publications/i/item/9789240063600 (Accessed: </w:t>
      </w:r>
      <w:r w:rsidR="00A5302D">
        <w:rPr>
          <w:rFonts w:ascii="Arial" w:hAnsi="Arial" w:cs="Arial"/>
          <w:sz w:val="22"/>
          <w:szCs w:val="22"/>
        </w:rPr>
        <w:t>7</w:t>
      </w:r>
      <w:r w:rsidRPr="0086152D">
        <w:rPr>
          <w:rFonts w:ascii="Arial" w:hAnsi="Arial" w:cs="Arial"/>
          <w:sz w:val="22"/>
          <w:szCs w:val="22"/>
        </w:rPr>
        <w:t xml:space="preserve"> August 2026). </w:t>
      </w:r>
    </w:p>
    <w:p w14:paraId="0D339237" w14:textId="553BB9E0" w:rsidR="0086152D" w:rsidRPr="0086152D" w:rsidRDefault="0086152D" w:rsidP="00F32265">
      <w:pPr>
        <w:pStyle w:val="p1"/>
        <w:spacing w:line="360" w:lineRule="auto"/>
        <w:divId w:val="275262032"/>
        <w:rPr>
          <w:rFonts w:ascii="Arial" w:hAnsi="Arial" w:cs="Arial"/>
          <w:sz w:val="22"/>
          <w:szCs w:val="22"/>
        </w:rPr>
      </w:pPr>
      <w:r w:rsidRPr="0086152D">
        <w:rPr>
          <w:rFonts w:ascii="Arial" w:hAnsi="Arial" w:cs="Arial"/>
          <w:sz w:val="22"/>
          <w:szCs w:val="22"/>
        </w:rPr>
        <w:t xml:space="preserve">World Health </w:t>
      </w:r>
      <w:r w:rsidR="00742834">
        <w:rPr>
          <w:rFonts w:ascii="Arial" w:hAnsi="Arial" w:cs="Arial"/>
          <w:sz w:val="22"/>
          <w:szCs w:val="22"/>
        </w:rPr>
        <w:t>Organisation</w:t>
      </w:r>
      <w:r w:rsidRPr="0086152D">
        <w:rPr>
          <w:rFonts w:ascii="Arial" w:hAnsi="Arial" w:cs="Arial"/>
          <w:sz w:val="22"/>
          <w:szCs w:val="22"/>
        </w:rPr>
        <w:t xml:space="preserve"> (WHO) (2023) Disability. Available at: https://www.who.int/news-room/fact-sheets/detail/disability-and-health (Accessed: </w:t>
      </w:r>
      <w:r w:rsidR="00A5302D">
        <w:rPr>
          <w:rFonts w:ascii="Arial" w:hAnsi="Arial" w:cs="Arial"/>
          <w:sz w:val="22"/>
          <w:szCs w:val="22"/>
        </w:rPr>
        <w:t>7</w:t>
      </w:r>
      <w:r w:rsidRPr="0086152D">
        <w:rPr>
          <w:rFonts w:ascii="Arial" w:hAnsi="Arial" w:cs="Arial"/>
          <w:sz w:val="22"/>
          <w:szCs w:val="22"/>
        </w:rPr>
        <w:t xml:space="preserve"> August 2026). </w:t>
      </w:r>
    </w:p>
    <w:p w14:paraId="08BC2CFE" w14:textId="659415CC" w:rsidR="00355862" w:rsidRPr="00046C10" w:rsidRDefault="0086152D" w:rsidP="00F32265">
      <w:pPr>
        <w:pStyle w:val="p1"/>
        <w:spacing w:line="360" w:lineRule="auto"/>
        <w:divId w:val="275262032"/>
        <w:rPr>
          <w:rFonts w:ascii="Arial" w:hAnsi="Arial" w:cs="Arial"/>
          <w:sz w:val="22"/>
          <w:szCs w:val="22"/>
        </w:rPr>
      </w:pPr>
      <w:r w:rsidRPr="0086152D">
        <w:rPr>
          <w:rFonts w:ascii="Arial" w:hAnsi="Arial" w:cs="Arial"/>
          <w:sz w:val="22"/>
          <w:szCs w:val="22"/>
        </w:rPr>
        <w:t xml:space="preserve">World Health </w:t>
      </w:r>
      <w:r w:rsidR="00742834">
        <w:rPr>
          <w:rFonts w:ascii="Arial" w:hAnsi="Arial" w:cs="Arial"/>
          <w:sz w:val="22"/>
          <w:szCs w:val="22"/>
        </w:rPr>
        <w:t>Organisation</w:t>
      </w:r>
      <w:r w:rsidRPr="0086152D">
        <w:rPr>
          <w:rFonts w:ascii="Arial" w:hAnsi="Arial" w:cs="Arial"/>
          <w:sz w:val="22"/>
          <w:szCs w:val="22"/>
        </w:rPr>
        <w:t xml:space="preserve"> (WHO) (2026) Dementia. Available at: https://www.who.int/news-room/fact-sheets/detail/dementia (Accessed: </w:t>
      </w:r>
      <w:r w:rsidR="00A5302D">
        <w:rPr>
          <w:rFonts w:ascii="Arial" w:hAnsi="Arial" w:cs="Arial"/>
          <w:sz w:val="22"/>
          <w:szCs w:val="22"/>
        </w:rPr>
        <w:t>7</w:t>
      </w:r>
      <w:r w:rsidRPr="0086152D">
        <w:rPr>
          <w:rFonts w:ascii="Arial" w:hAnsi="Arial" w:cs="Arial"/>
          <w:sz w:val="22"/>
          <w:szCs w:val="22"/>
        </w:rPr>
        <w:t xml:space="preserve"> August 2026). </w:t>
      </w:r>
    </w:p>
    <w:sectPr w:rsidR="00355862" w:rsidRPr="00046C10" w:rsidSect="00481A47">
      <w:headerReference w:type="default" r:id="rId11"/>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1E1754" w14:textId="77777777" w:rsidR="00E57152" w:rsidRDefault="00E57152" w:rsidP="00481A47">
      <w:pPr>
        <w:spacing w:after="0" w:line="240" w:lineRule="auto"/>
      </w:pPr>
      <w:r>
        <w:separator/>
      </w:r>
    </w:p>
  </w:endnote>
  <w:endnote w:type="continuationSeparator" w:id="0">
    <w:p w14:paraId="3D1E4994" w14:textId="77777777" w:rsidR="00E57152" w:rsidRDefault="00E57152" w:rsidP="00481A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1DC9AA" w14:textId="77777777" w:rsidR="00E57152" w:rsidRDefault="00E57152" w:rsidP="00481A47">
      <w:pPr>
        <w:spacing w:after="0" w:line="240" w:lineRule="auto"/>
      </w:pPr>
      <w:r>
        <w:separator/>
      </w:r>
    </w:p>
  </w:footnote>
  <w:footnote w:type="continuationSeparator" w:id="0">
    <w:p w14:paraId="3C7578F4" w14:textId="77777777" w:rsidR="00E57152" w:rsidRDefault="00E57152" w:rsidP="00481A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2467141"/>
      <w:docPartObj>
        <w:docPartGallery w:val="Page Numbers (Margins)"/>
        <w:docPartUnique/>
      </w:docPartObj>
    </w:sdtPr>
    <w:sdtContent>
      <w:p w14:paraId="233895F5" w14:textId="6801A464" w:rsidR="00481A47" w:rsidRDefault="00481A47">
        <w:pPr>
          <w:pStyle w:val="Header"/>
        </w:pPr>
        <w:r>
          <w:rPr>
            <w:noProof/>
          </w:rPr>
          <mc:AlternateContent>
            <mc:Choice Requires="wps">
              <w:drawing>
                <wp:anchor distT="0" distB="0" distL="114300" distR="114300" simplePos="0" relativeHeight="251659264" behindDoc="0" locked="0" layoutInCell="0" allowOverlap="1" wp14:anchorId="1E86B129" wp14:editId="55C064B5">
                  <wp:simplePos x="0" y="0"/>
                  <wp:positionH relativeFrom="rightMargin">
                    <wp:align>center</wp:align>
                  </wp:positionH>
                  <wp:positionV relativeFrom="margin">
                    <wp:align>bottom</wp:align>
                  </wp:positionV>
                  <wp:extent cx="510540" cy="2183130"/>
                  <wp:effectExtent l="0" t="0" r="3810" b="0"/>
                  <wp:wrapNone/>
                  <wp:docPr id="1963685910"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47340F" w14:textId="77777777" w:rsidR="00481A47" w:rsidRDefault="00481A47">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cs="Times New Roman"/>
                                  <w:sz w:val="22"/>
                                  <w:szCs w:val="22"/>
                                </w:rPr>
                                <w:fldChar w:fldCharType="begin"/>
                              </w:r>
                              <w:r>
                                <w:instrText xml:space="preserve"> PAGE    \* MERGEFORMAT </w:instrText>
                              </w:r>
                              <w:r>
                                <w:rPr>
                                  <w:rFonts w:cs="Times New Roman"/>
                                  <w:sz w:val="22"/>
                                  <w:szCs w:val="22"/>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1E86B129" id="Rectangle 2"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3047340F" w14:textId="77777777" w:rsidR="00481A47" w:rsidRDefault="00481A47">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cs="Times New Roman"/>
                            <w:sz w:val="22"/>
                            <w:szCs w:val="22"/>
                          </w:rPr>
                          <w:fldChar w:fldCharType="begin"/>
                        </w:r>
                        <w:r>
                          <w:instrText xml:space="preserve"> PAGE    \* MERGEFORMAT </w:instrText>
                        </w:r>
                        <w:r>
                          <w:rPr>
                            <w:rFonts w:cs="Times New Roman"/>
                            <w:sz w:val="22"/>
                            <w:szCs w:val="22"/>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11937"/>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D890284"/>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16055FCF"/>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3A307509"/>
    <w:multiLevelType w:val="hybridMultilevel"/>
    <w:tmpl w:val="5748CD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70F53C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EFB4253"/>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7D4F1BB3"/>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812137895">
    <w:abstractNumId w:val="4"/>
  </w:num>
  <w:num w:numId="2" w16cid:durableId="1475216192">
    <w:abstractNumId w:val="6"/>
  </w:num>
  <w:num w:numId="3" w16cid:durableId="60905658">
    <w:abstractNumId w:val="0"/>
  </w:num>
  <w:num w:numId="4" w16cid:durableId="1708793465">
    <w:abstractNumId w:val="2"/>
  </w:num>
  <w:num w:numId="5" w16cid:durableId="661666853">
    <w:abstractNumId w:val="1"/>
  </w:num>
  <w:num w:numId="6" w16cid:durableId="798574849">
    <w:abstractNumId w:val="5"/>
  </w:num>
  <w:num w:numId="7" w16cid:durableId="7513180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3B47"/>
    <w:rsid w:val="00000960"/>
    <w:rsid w:val="00011C23"/>
    <w:rsid w:val="0002215E"/>
    <w:rsid w:val="00022B81"/>
    <w:rsid w:val="000326BB"/>
    <w:rsid w:val="00034470"/>
    <w:rsid w:val="00046C10"/>
    <w:rsid w:val="000471DB"/>
    <w:rsid w:val="00050FD0"/>
    <w:rsid w:val="00071391"/>
    <w:rsid w:val="000727EA"/>
    <w:rsid w:val="000732FF"/>
    <w:rsid w:val="00075A24"/>
    <w:rsid w:val="000771DA"/>
    <w:rsid w:val="00081D48"/>
    <w:rsid w:val="00084627"/>
    <w:rsid w:val="0008620C"/>
    <w:rsid w:val="00087936"/>
    <w:rsid w:val="00093517"/>
    <w:rsid w:val="000A3B27"/>
    <w:rsid w:val="000B5CDF"/>
    <w:rsid w:val="000B6982"/>
    <w:rsid w:val="000B7649"/>
    <w:rsid w:val="000C22C0"/>
    <w:rsid w:val="000D4358"/>
    <w:rsid w:val="000D6434"/>
    <w:rsid w:val="000E0432"/>
    <w:rsid w:val="000E3C55"/>
    <w:rsid w:val="000F1F4A"/>
    <w:rsid w:val="000F48B8"/>
    <w:rsid w:val="000F4909"/>
    <w:rsid w:val="00115FB1"/>
    <w:rsid w:val="0013328D"/>
    <w:rsid w:val="00133E03"/>
    <w:rsid w:val="00143570"/>
    <w:rsid w:val="00145ACA"/>
    <w:rsid w:val="0015177D"/>
    <w:rsid w:val="00151D63"/>
    <w:rsid w:val="001626D8"/>
    <w:rsid w:val="001657EF"/>
    <w:rsid w:val="00167B36"/>
    <w:rsid w:val="00170970"/>
    <w:rsid w:val="00174502"/>
    <w:rsid w:val="001765BF"/>
    <w:rsid w:val="00183F6B"/>
    <w:rsid w:val="00186799"/>
    <w:rsid w:val="0019350E"/>
    <w:rsid w:val="001956B2"/>
    <w:rsid w:val="001A3CBB"/>
    <w:rsid w:val="001A60C4"/>
    <w:rsid w:val="001C2070"/>
    <w:rsid w:val="001C30FF"/>
    <w:rsid w:val="001C66FC"/>
    <w:rsid w:val="001D05EF"/>
    <w:rsid w:val="001D5B22"/>
    <w:rsid w:val="001F0CF5"/>
    <w:rsid w:val="001F2FCB"/>
    <w:rsid w:val="00202477"/>
    <w:rsid w:val="00202740"/>
    <w:rsid w:val="002056BB"/>
    <w:rsid w:val="00210B32"/>
    <w:rsid w:val="0022333F"/>
    <w:rsid w:val="00227523"/>
    <w:rsid w:val="00230545"/>
    <w:rsid w:val="002324A2"/>
    <w:rsid w:val="00234767"/>
    <w:rsid w:val="0024018F"/>
    <w:rsid w:val="002428F5"/>
    <w:rsid w:val="00251441"/>
    <w:rsid w:val="00251A3D"/>
    <w:rsid w:val="00263336"/>
    <w:rsid w:val="00272FBD"/>
    <w:rsid w:val="002758BF"/>
    <w:rsid w:val="00276B13"/>
    <w:rsid w:val="00277AFF"/>
    <w:rsid w:val="00290589"/>
    <w:rsid w:val="002958E4"/>
    <w:rsid w:val="00296A34"/>
    <w:rsid w:val="0029762A"/>
    <w:rsid w:val="002A31B9"/>
    <w:rsid w:val="002A3D77"/>
    <w:rsid w:val="002B60B3"/>
    <w:rsid w:val="002C208C"/>
    <w:rsid w:val="002C4732"/>
    <w:rsid w:val="002C5A6C"/>
    <w:rsid w:val="002E22A5"/>
    <w:rsid w:val="002E2349"/>
    <w:rsid w:val="002E23CF"/>
    <w:rsid w:val="002E5B1E"/>
    <w:rsid w:val="002F00C3"/>
    <w:rsid w:val="00306AD4"/>
    <w:rsid w:val="00311772"/>
    <w:rsid w:val="00323165"/>
    <w:rsid w:val="003251D1"/>
    <w:rsid w:val="00332435"/>
    <w:rsid w:val="00341763"/>
    <w:rsid w:val="00344709"/>
    <w:rsid w:val="003513D2"/>
    <w:rsid w:val="00351565"/>
    <w:rsid w:val="0035287D"/>
    <w:rsid w:val="003536F5"/>
    <w:rsid w:val="00354B6C"/>
    <w:rsid w:val="00354CD6"/>
    <w:rsid w:val="00355862"/>
    <w:rsid w:val="003616FC"/>
    <w:rsid w:val="00362123"/>
    <w:rsid w:val="00365979"/>
    <w:rsid w:val="00371C2C"/>
    <w:rsid w:val="00373A6C"/>
    <w:rsid w:val="00374CAA"/>
    <w:rsid w:val="00374D28"/>
    <w:rsid w:val="00376306"/>
    <w:rsid w:val="00383AB3"/>
    <w:rsid w:val="0038427F"/>
    <w:rsid w:val="003873EA"/>
    <w:rsid w:val="00393FD0"/>
    <w:rsid w:val="003978D4"/>
    <w:rsid w:val="003A1545"/>
    <w:rsid w:val="003A247D"/>
    <w:rsid w:val="003A2F8E"/>
    <w:rsid w:val="003A4C99"/>
    <w:rsid w:val="003A539B"/>
    <w:rsid w:val="003A5D84"/>
    <w:rsid w:val="003B59F8"/>
    <w:rsid w:val="003B7AD4"/>
    <w:rsid w:val="003C295F"/>
    <w:rsid w:val="003C6B10"/>
    <w:rsid w:val="003D3523"/>
    <w:rsid w:val="003D573E"/>
    <w:rsid w:val="003E1915"/>
    <w:rsid w:val="003E273F"/>
    <w:rsid w:val="003E28C8"/>
    <w:rsid w:val="003E3108"/>
    <w:rsid w:val="00401A26"/>
    <w:rsid w:val="00402E2D"/>
    <w:rsid w:val="004057CD"/>
    <w:rsid w:val="00405C2B"/>
    <w:rsid w:val="00410696"/>
    <w:rsid w:val="004107E7"/>
    <w:rsid w:val="0041753B"/>
    <w:rsid w:val="00420250"/>
    <w:rsid w:val="00420DB7"/>
    <w:rsid w:val="00435A08"/>
    <w:rsid w:val="00437337"/>
    <w:rsid w:val="004502C3"/>
    <w:rsid w:val="00461E2F"/>
    <w:rsid w:val="00465C8A"/>
    <w:rsid w:val="00475A5E"/>
    <w:rsid w:val="00476164"/>
    <w:rsid w:val="00481A47"/>
    <w:rsid w:val="00482D28"/>
    <w:rsid w:val="00486BE9"/>
    <w:rsid w:val="00491644"/>
    <w:rsid w:val="004A1161"/>
    <w:rsid w:val="004C079E"/>
    <w:rsid w:val="004C583C"/>
    <w:rsid w:val="004C6E60"/>
    <w:rsid w:val="004E4F7D"/>
    <w:rsid w:val="004F5F8E"/>
    <w:rsid w:val="00503C0C"/>
    <w:rsid w:val="00520275"/>
    <w:rsid w:val="005263DC"/>
    <w:rsid w:val="00527F4E"/>
    <w:rsid w:val="005375C1"/>
    <w:rsid w:val="0054295D"/>
    <w:rsid w:val="005429DA"/>
    <w:rsid w:val="005651F1"/>
    <w:rsid w:val="00566802"/>
    <w:rsid w:val="00570AC6"/>
    <w:rsid w:val="00573AAD"/>
    <w:rsid w:val="00577679"/>
    <w:rsid w:val="0058098C"/>
    <w:rsid w:val="00583CBC"/>
    <w:rsid w:val="005A4C4E"/>
    <w:rsid w:val="005A5964"/>
    <w:rsid w:val="005A63C8"/>
    <w:rsid w:val="005B0CBE"/>
    <w:rsid w:val="005B1D82"/>
    <w:rsid w:val="005B6CA6"/>
    <w:rsid w:val="005C3DE3"/>
    <w:rsid w:val="005C57B6"/>
    <w:rsid w:val="005D1F4C"/>
    <w:rsid w:val="005E0940"/>
    <w:rsid w:val="005E0EB5"/>
    <w:rsid w:val="005E43B5"/>
    <w:rsid w:val="005E4F98"/>
    <w:rsid w:val="005E7D89"/>
    <w:rsid w:val="006034C7"/>
    <w:rsid w:val="006054FB"/>
    <w:rsid w:val="00607E72"/>
    <w:rsid w:val="00612305"/>
    <w:rsid w:val="006137DD"/>
    <w:rsid w:val="00615E64"/>
    <w:rsid w:val="0061773D"/>
    <w:rsid w:val="00621EF6"/>
    <w:rsid w:val="006237F8"/>
    <w:rsid w:val="00637926"/>
    <w:rsid w:val="00645574"/>
    <w:rsid w:val="006457FB"/>
    <w:rsid w:val="00663A04"/>
    <w:rsid w:val="00664DDB"/>
    <w:rsid w:val="00674FCF"/>
    <w:rsid w:val="006800A6"/>
    <w:rsid w:val="006807B6"/>
    <w:rsid w:val="0068280C"/>
    <w:rsid w:val="00683B96"/>
    <w:rsid w:val="00685D70"/>
    <w:rsid w:val="006866AB"/>
    <w:rsid w:val="006913CD"/>
    <w:rsid w:val="00691F51"/>
    <w:rsid w:val="006A2248"/>
    <w:rsid w:val="006A26C7"/>
    <w:rsid w:val="006B72F8"/>
    <w:rsid w:val="006C47D9"/>
    <w:rsid w:val="006C5E42"/>
    <w:rsid w:val="006D075E"/>
    <w:rsid w:val="006D1FF6"/>
    <w:rsid w:val="006D6846"/>
    <w:rsid w:val="006D7417"/>
    <w:rsid w:val="006E640F"/>
    <w:rsid w:val="006E68EF"/>
    <w:rsid w:val="00706216"/>
    <w:rsid w:val="00711E2F"/>
    <w:rsid w:val="00722DDD"/>
    <w:rsid w:val="007234E6"/>
    <w:rsid w:val="00730921"/>
    <w:rsid w:val="00742834"/>
    <w:rsid w:val="00746968"/>
    <w:rsid w:val="007537B2"/>
    <w:rsid w:val="00755A31"/>
    <w:rsid w:val="00755B5D"/>
    <w:rsid w:val="00763517"/>
    <w:rsid w:val="00763571"/>
    <w:rsid w:val="007753D7"/>
    <w:rsid w:val="00792A9C"/>
    <w:rsid w:val="00792F46"/>
    <w:rsid w:val="007A41A7"/>
    <w:rsid w:val="007A6970"/>
    <w:rsid w:val="007A7AE3"/>
    <w:rsid w:val="007B4A11"/>
    <w:rsid w:val="007B5A61"/>
    <w:rsid w:val="007D4EEE"/>
    <w:rsid w:val="007E44BE"/>
    <w:rsid w:val="007E53D5"/>
    <w:rsid w:val="007E73D3"/>
    <w:rsid w:val="007F21E8"/>
    <w:rsid w:val="007F5794"/>
    <w:rsid w:val="00805245"/>
    <w:rsid w:val="00806A54"/>
    <w:rsid w:val="008076A4"/>
    <w:rsid w:val="008121F6"/>
    <w:rsid w:val="0081634F"/>
    <w:rsid w:val="00822684"/>
    <w:rsid w:val="00823DAE"/>
    <w:rsid w:val="00823EE3"/>
    <w:rsid w:val="00827600"/>
    <w:rsid w:val="00834B9E"/>
    <w:rsid w:val="008370A5"/>
    <w:rsid w:val="00845C6B"/>
    <w:rsid w:val="00847C0B"/>
    <w:rsid w:val="00847D5B"/>
    <w:rsid w:val="0085325C"/>
    <w:rsid w:val="008532C4"/>
    <w:rsid w:val="0086152D"/>
    <w:rsid w:val="00861562"/>
    <w:rsid w:val="008627C7"/>
    <w:rsid w:val="00874EA8"/>
    <w:rsid w:val="00875EBE"/>
    <w:rsid w:val="00882C23"/>
    <w:rsid w:val="0088694B"/>
    <w:rsid w:val="008914A8"/>
    <w:rsid w:val="008947C2"/>
    <w:rsid w:val="00894E05"/>
    <w:rsid w:val="00897451"/>
    <w:rsid w:val="008B6058"/>
    <w:rsid w:val="008C4E9F"/>
    <w:rsid w:val="008C6CF3"/>
    <w:rsid w:val="008D2251"/>
    <w:rsid w:val="008D3D1D"/>
    <w:rsid w:val="008E2A86"/>
    <w:rsid w:val="008E3390"/>
    <w:rsid w:val="008F5AB4"/>
    <w:rsid w:val="009209A5"/>
    <w:rsid w:val="00922A3B"/>
    <w:rsid w:val="009301E0"/>
    <w:rsid w:val="009342A5"/>
    <w:rsid w:val="00935918"/>
    <w:rsid w:val="00944969"/>
    <w:rsid w:val="00952AC3"/>
    <w:rsid w:val="00965EB0"/>
    <w:rsid w:val="00976A45"/>
    <w:rsid w:val="00977B1B"/>
    <w:rsid w:val="00991DBF"/>
    <w:rsid w:val="009971FA"/>
    <w:rsid w:val="009A00DD"/>
    <w:rsid w:val="009B0C10"/>
    <w:rsid w:val="009C2AB3"/>
    <w:rsid w:val="009C499E"/>
    <w:rsid w:val="009E18BF"/>
    <w:rsid w:val="009E3EC0"/>
    <w:rsid w:val="009E4D86"/>
    <w:rsid w:val="009F581C"/>
    <w:rsid w:val="00A00AB6"/>
    <w:rsid w:val="00A12799"/>
    <w:rsid w:val="00A221C8"/>
    <w:rsid w:val="00A221CA"/>
    <w:rsid w:val="00A329D9"/>
    <w:rsid w:val="00A336BF"/>
    <w:rsid w:val="00A40A03"/>
    <w:rsid w:val="00A40D41"/>
    <w:rsid w:val="00A411D1"/>
    <w:rsid w:val="00A52856"/>
    <w:rsid w:val="00A5302D"/>
    <w:rsid w:val="00A55FFF"/>
    <w:rsid w:val="00A63B3B"/>
    <w:rsid w:val="00A71188"/>
    <w:rsid w:val="00A73DAD"/>
    <w:rsid w:val="00A75726"/>
    <w:rsid w:val="00A75A06"/>
    <w:rsid w:val="00A92D66"/>
    <w:rsid w:val="00A95E3A"/>
    <w:rsid w:val="00A96F5F"/>
    <w:rsid w:val="00AB499A"/>
    <w:rsid w:val="00AB5C9F"/>
    <w:rsid w:val="00AB6B5F"/>
    <w:rsid w:val="00AC2383"/>
    <w:rsid w:val="00AC7731"/>
    <w:rsid w:val="00AC784B"/>
    <w:rsid w:val="00AD4827"/>
    <w:rsid w:val="00AE3008"/>
    <w:rsid w:val="00AF21AD"/>
    <w:rsid w:val="00AF3424"/>
    <w:rsid w:val="00AF40F8"/>
    <w:rsid w:val="00B0027D"/>
    <w:rsid w:val="00B05029"/>
    <w:rsid w:val="00B06B52"/>
    <w:rsid w:val="00B147B3"/>
    <w:rsid w:val="00B231A3"/>
    <w:rsid w:val="00B24A11"/>
    <w:rsid w:val="00B3395D"/>
    <w:rsid w:val="00B41771"/>
    <w:rsid w:val="00B44794"/>
    <w:rsid w:val="00B5051E"/>
    <w:rsid w:val="00B52BC9"/>
    <w:rsid w:val="00B6465F"/>
    <w:rsid w:val="00B64CED"/>
    <w:rsid w:val="00B72570"/>
    <w:rsid w:val="00B8258F"/>
    <w:rsid w:val="00BA19A8"/>
    <w:rsid w:val="00BA339B"/>
    <w:rsid w:val="00BA749C"/>
    <w:rsid w:val="00BB21BE"/>
    <w:rsid w:val="00BB2663"/>
    <w:rsid w:val="00BB3658"/>
    <w:rsid w:val="00BB564A"/>
    <w:rsid w:val="00BC5719"/>
    <w:rsid w:val="00BC6BE3"/>
    <w:rsid w:val="00BD4109"/>
    <w:rsid w:val="00BD786A"/>
    <w:rsid w:val="00BE6FD0"/>
    <w:rsid w:val="00BF00F8"/>
    <w:rsid w:val="00C00FDE"/>
    <w:rsid w:val="00C07F2C"/>
    <w:rsid w:val="00C10B6A"/>
    <w:rsid w:val="00C125A0"/>
    <w:rsid w:val="00C15F61"/>
    <w:rsid w:val="00C17569"/>
    <w:rsid w:val="00C230ED"/>
    <w:rsid w:val="00C25422"/>
    <w:rsid w:val="00C2585A"/>
    <w:rsid w:val="00C30A3C"/>
    <w:rsid w:val="00C327BE"/>
    <w:rsid w:val="00C33BE3"/>
    <w:rsid w:val="00C362D6"/>
    <w:rsid w:val="00C41540"/>
    <w:rsid w:val="00C42D0C"/>
    <w:rsid w:val="00C5227E"/>
    <w:rsid w:val="00C66D7B"/>
    <w:rsid w:val="00C71172"/>
    <w:rsid w:val="00C71881"/>
    <w:rsid w:val="00C75D79"/>
    <w:rsid w:val="00C834D4"/>
    <w:rsid w:val="00C93B47"/>
    <w:rsid w:val="00C97FFD"/>
    <w:rsid w:val="00CA242D"/>
    <w:rsid w:val="00CB17AC"/>
    <w:rsid w:val="00CC583A"/>
    <w:rsid w:val="00CF2D91"/>
    <w:rsid w:val="00CF4AD8"/>
    <w:rsid w:val="00D0044C"/>
    <w:rsid w:val="00D00E3C"/>
    <w:rsid w:val="00D01295"/>
    <w:rsid w:val="00D03225"/>
    <w:rsid w:val="00D051E0"/>
    <w:rsid w:val="00D05AD9"/>
    <w:rsid w:val="00D11968"/>
    <w:rsid w:val="00D11C14"/>
    <w:rsid w:val="00D17F34"/>
    <w:rsid w:val="00D20C32"/>
    <w:rsid w:val="00D25002"/>
    <w:rsid w:val="00D2665B"/>
    <w:rsid w:val="00D34B35"/>
    <w:rsid w:val="00D46DC7"/>
    <w:rsid w:val="00D6051A"/>
    <w:rsid w:val="00D62578"/>
    <w:rsid w:val="00D65E5D"/>
    <w:rsid w:val="00D77322"/>
    <w:rsid w:val="00D8072B"/>
    <w:rsid w:val="00D81641"/>
    <w:rsid w:val="00D918AE"/>
    <w:rsid w:val="00D91BE4"/>
    <w:rsid w:val="00D964E6"/>
    <w:rsid w:val="00DA212C"/>
    <w:rsid w:val="00DA2EAB"/>
    <w:rsid w:val="00DA314B"/>
    <w:rsid w:val="00DA53E2"/>
    <w:rsid w:val="00DA6A3E"/>
    <w:rsid w:val="00DB464A"/>
    <w:rsid w:val="00DB6750"/>
    <w:rsid w:val="00DC1172"/>
    <w:rsid w:val="00DC43E4"/>
    <w:rsid w:val="00DC7C04"/>
    <w:rsid w:val="00DD6443"/>
    <w:rsid w:val="00DD6B77"/>
    <w:rsid w:val="00DF492E"/>
    <w:rsid w:val="00E03A0E"/>
    <w:rsid w:val="00E1216A"/>
    <w:rsid w:val="00E23476"/>
    <w:rsid w:val="00E24563"/>
    <w:rsid w:val="00E2605B"/>
    <w:rsid w:val="00E30453"/>
    <w:rsid w:val="00E32EAA"/>
    <w:rsid w:val="00E40835"/>
    <w:rsid w:val="00E522AB"/>
    <w:rsid w:val="00E57152"/>
    <w:rsid w:val="00E62C88"/>
    <w:rsid w:val="00E663C8"/>
    <w:rsid w:val="00E67010"/>
    <w:rsid w:val="00E73C22"/>
    <w:rsid w:val="00E7612C"/>
    <w:rsid w:val="00E7680B"/>
    <w:rsid w:val="00E76B98"/>
    <w:rsid w:val="00E86362"/>
    <w:rsid w:val="00E877A4"/>
    <w:rsid w:val="00E9144A"/>
    <w:rsid w:val="00E9572C"/>
    <w:rsid w:val="00EA3996"/>
    <w:rsid w:val="00EB32DC"/>
    <w:rsid w:val="00EB4075"/>
    <w:rsid w:val="00EB5527"/>
    <w:rsid w:val="00EB5CAD"/>
    <w:rsid w:val="00ED3C12"/>
    <w:rsid w:val="00ED5A64"/>
    <w:rsid w:val="00ED7C88"/>
    <w:rsid w:val="00EE0939"/>
    <w:rsid w:val="00EE39DF"/>
    <w:rsid w:val="00EF319A"/>
    <w:rsid w:val="00EF4559"/>
    <w:rsid w:val="00F01395"/>
    <w:rsid w:val="00F03251"/>
    <w:rsid w:val="00F07714"/>
    <w:rsid w:val="00F163C7"/>
    <w:rsid w:val="00F275A4"/>
    <w:rsid w:val="00F32265"/>
    <w:rsid w:val="00F344EB"/>
    <w:rsid w:val="00F35A0C"/>
    <w:rsid w:val="00F370ED"/>
    <w:rsid w:val="00F43BE9"/>
    <w:rsid w:val="00F511EF"/>
    <w:rsid w:val="00F53EA5"/>
    <w:rsid w:val="00F56D90"/>
    <w:rsid w:val="00F673F3"/>
    <w:rsid w:val="00F72DF7"/>
    <w:rsid w:val="00F7384F"/>
    <w:rsid w:val="00F751F0"/>
    <w:rsid w:val="00F776A7"/>
    <w:rsid w:val="00F83A8D"/>
    <w:rsid w:val="00FA4CB4"/>
    <w:rsid w:val="00FA7039"/>
    <w:rsid w:val="00FB2845"/>
    <w:rsid w:val="00FC339A"/>
    <w:rsid w:val="00FD3B2D"/>
    <w:rsid w:val="00FD4E51"/>
    <w:rsid w:val="00FE08B7"/>
    <w:rsid w:val="00FE43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295E05"/>
  <w15:chartTrackingRefBased/>
  <w15:docId w15:val="{A36098A2-F2A7-43BF-B7E0-555A63424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3B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93B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93B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3B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3B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3B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3B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3B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3B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3B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93B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93B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3B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3B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3B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3B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3B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3B47"/>
    <w:rPr>
      <w:rFonts w:eastAsiaTheme="majorEastAsia" w:cstheme="majorBidi"/>
      <w:color w:val="272727" w:themeColor="text1" w:themeTint="D8"/>
    </w:rPr>
  </w:style>
  <w:style w:type="paragraph" w:styleId="Title">
    <w:name w:val="Title"/>
    <w:basedOn w:val="Normal"/>
    <w:next w:val="Normal"/>
    <w:link w:val="TitleChar"/>
    <w:uiPriority w:val="10"/>
    <w:qFormat/>
    <w:rsid w:val="00C93B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3B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3B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3B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3B47"/>
    <w:pPr>
      <w:spacing w:before="160"/>
      <w:jc w:val="center"/>
    </w:pPr>
    <w:rPr>
      <w:i/>
      <w:iCs/>
      <w:color w:val="404040" w:themeColor="text1" w:themeTint="BF"/>
    </w:rPr>
  </w:style>
  <w:style w:type="character" w:customStyle="1" w:styleId="QuoteChar">
    <w:name w:val="Quote Char"/>
    <w:basedOn w:val="DefaultParagraphFont"/>
    <w:link w:val="Quote"/>
    <w:uiPriority w:val="29"/>
    <w:rsid w:val="00C93B47"/>
    <w:rPr>
      <w:i/>
      <w:iCs/>
      <w:color w:val="404040" w:themeColor="text1" w:themeTint="BF"/>
    </w:rPr>
  </w:style>
  <w:style w:type="paragraph" w:styleId="ListParagraph">
    <w:name w:val="List Paragraph"/>
    <w:basedOn w:val="Normal"/>
    <w:uiPriority w:val="34"/>
    <w:qFormat/>
    <w:rsid w:val="00C93B47"/>
    <w:pPr>
      <w:ind w:left="720"/>
      <w:contextualSpacing/>
    </w:pPr>
  </w:style>
  <w:style w:type="character" w:styleId="IntenseEmphasis">
    <w:name w:val="Intense Emphasis"/>
    <w:basedOn w:val="DefaultParagraphFont"/>
    <w:uiPriority w:val="21"/>
    <w:qFormat/>
    <w:rsid w:val="00C93B47"/>
    <w:rPr>
      <w:i/>
      <w:iCs/>
      <w:color w:val="0F4761" w:themeColor="accent1" w:themeShade="BF"/>
    </w:rPr>
  </w:style>
  <w:style w:type="paragraph" w:styleId="IntenseQuote">
    <w:name w:val="Intense Quote"/>
    <w:basedOn w:val="Normal"/>
    <w:next w:val="Normal"/>
    <w:link w:val="IntenseQuoteChar"/>
    <w:uiPriority w:val="30"/>
    <w:qFormat/>
    <w:rsid w:val="00C93B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3B47"/>
    <w:rPr>
      <w:i/>
      <w:iCs/>
      <w:color w:val="0F4761" w:themeColor="accent1" w:themeShade="BF"/>
    </w:rPr>
  </w:style>
  <w:style w:type="character" w:styleId="IntenseReference">
    <w:name w:val="Intense Reference"/>
    <w:basedOn w:val="DefaultParagraphFont"/>
    <w:uiPriority w:val="32"/>
    <w:qFormat/>
    <w:rsid w:val="00C93B47"/>
    <w:rPr>
      <w:b/>
      <w:bCs/>
      <w:smallCaps/>
      <w:color w:val="0F4761" w:themeColor="accent1" w:themeShade="BF"/>
      <w:spacing w:val="5"/>
    </w:rPr>
  </w:style>
  <w:style w:type="paragraph" w:customStyle="1" w:styleId="p1">
    <w:name w:val="p1"/>
    <w:basedOn w:val="Normal"/>
    <w:rsid w:val="00C93B47"/>
    <w:pPr>
      <w:spacing w:after="0" w:line="240" w:lineRule="auto"/>
    </w:pPr>
    <w:rPr>
      <w:rFonts w:ascii="Helvetica" w:hAnsi="Helvetica" w:cs="Times New Roman"/>
      <w:kern w:val="0"/>
      <w:sz w:val="18"/>
      <w:szCs w:val="18"/>
      <w14:ligatures w14:val="none"/>
    </w:rPr>
  </w:style>
  <w:style w:type="character" w:customStyle="1" w:styleId="s1">
    <w:name w:val="s1"/>
    <w:basedOn w:val="DefaultParagraphFont"/>
    <w:rsid w:val="00C93B47"/>
    <w:rPr>
      <w:rFonts w:ascii="Helvetica" w:hAnsi="Helvetica" w:hint="default"/>
      <w:b w:val="0"/>
      <w:bCs w:val="0"/>
      <w:i w:val="0"/>
      <w:iCs w:val="0"/>
      <w:sz w:val="18"/>
      <w:szCs w:val="18"/>
    </w:rPr>
  </w:style>
  <w:style w:type="paragraph" w:customStyle="1" w:styleId="li1">
    <w:name w:val="li1"/>
    <w:basedOn w:val="Normal"/>
    <w:rsid w:val="00503C0C"/>
    <w:pPr>
      <w:spacing w:after="0" w:line="240" w:lineRule="auto"/>
    </w:pPr>
    <w:rPr>
      <w:rFonts w:ascii="Helvetica" w:hAnsi="Helvetica" w:cs="Times New Roman"/>
      <w:kern w:val="0"/>
      <w:sz w:val="18"/>
      <w:szCs w:val="18"/>
      <w14:ligatures w14:val="none"/>
    </w:rPr>
  </w:style>
  <w:style w:type="paragraph" w:styleId="NoSpacing">
    <w:name w:val="No Spacing"/>
    <w:link w:val="NoSpacingChar"/>
    <w:uiPriority w:val="1"/>
    <w:qFormat/>
    <w:rsid w:val="00EE0939"/>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EE0939"/>
    <w:rPr>
      <w:kern w:val="0"/>
      <w:sz w:val="22"/>
      <w:szCs w:val="22"/>
      <w:lang w:val="en-US" w:eastAsia="en-US"/>
      <w14:ligatures w14:val="none"/>
    </w:rPr>
  </w:style>
  <w:style w:type="paragraph" w:styleId="TOCHeading">
    <w:name w:val="TOC Heading"/>
    <w:basedOn w:val="Heading1"/>
    <w:next w:val="Normal"/>
    <w:uiPriority w:val="39"/>
    <w:unhideWhenUsed/>
    <w:qFormat/>
    <w:rsid w:val="004107E7"/>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4107E7"/>
    <w:pPr>
      <w:spacing w:after="100"/>
    </w:pPr>
  </w:style>
  <w:style w:type="character" w:styleId="Hyperlink">
    <w:name w:val="Hyperlink"/>
    <w:basedOn w:val="DefaultParagraphFont"/>
    <w:uiPriority w:val="99"/>
    <w:unhideWhenUsed/>
    <w:rsid w:val="004107E7"/>
    <w:rPr>
      <w:color w:val="467886" w:themeColor="hyperlink"/>
      <w:u w:val="single"/>
    </w:rPr>
  </w:style>
  <w:style w:type="paragraph" w:styleId="TOC2">
    <w:name w:val="toc 2"/>
    <w:basedOn w:val="Normal"/>
    <w:next w:val="Normal"/>
    <w:autoRedefine/>
    <w:uiPriority w:val="39"/>
    <w:unhideWhenUsed/>
    <w:rsid w:val="009301E0"/>
    <w:pPr>
      <w:spacing w:after="100"/>
      <w:ind w:left="240"/>
    </w:pPr>
  </w:style>
  <w:style w:type="paragraph" w:styleId="TOC3">
    <w:name w:val="toc 3"/>
    <w:basedOn w:val="Normal"/>
    <w:next w:val="Normal"/>
    <w:autoRedefine/>
    <w:uiPriority w:val="39"/>
    <w:unhideWhenUsed/>
    <w:rsid w:val="009301E0"/>
    <w:pPr>
      <w:spacing w:after="100"/>
      <w:ind w:left="480"/>
    </w:pPr>
  </w:style>
  <w:style w:type="paragraph" w:styleId="Header">
    <w:name w:val="header"/>
    <w:basedOn w:val="Normal"/>
    <w:link w:val="HeaderChar"/>
    <w:uiPriority w:val="99"/>
    <w:unhideWhenUsed/>
    <w:rsid w:val="00481A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1A47"/>
  </w:style>
  <w:style w:type="paragraph" w:styleId="Footer">
    <w:name w:val="footer"/>
    <w:basedOn w:val="Normal"/>
    <w:link w:val="FooterChar"/>
    <w:uiPriority w:val="99"/>
    <w:unhideWhenUsed/>
    <w:rsid w:val="00481A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1A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3147594">
      <w:bodyDiv w:val="1"/>
      <w:marLeft w:val="0"/>
      <w:marRight w:val="0"/>
      <w:marTop w:val="0"/>
      <w:marBottom w:val="0"/>
      <w:divBdr>
        <w:top w:val="none" w:sz="0" w:space="0" w:color="auto"/>
        <w:left w:val="none" w:sz="0" w:space="0" w:color="auto"/>
        <w:bottom w:val="none" w:sz="0" w:space="0" w:color="auto"/>
        <w:right w:val="none" w:sz="0" w:space="0" w:color="auto"/>
      </w:divBdr>
    </w:div>
    <w:div w:id="563443762">
      <w:marLeft w:val="0"/>
      <w:marRight w:val="0"/>
      <w:marTop w:val="0"/>
      <w:marBottom w:val="0"/>
      <w:divBdr>
        <w:top w:val="none" w:sz="0" w:space="0" w:color="auto"/>
        <w:left w:val="none" w:sz="0" w:space="0" w:color="auto"/>
        <w:bottom w:val="none" w:sz="0" w:space="0" w:color="auto"/>
        <w:right w:val="none" w:sz="0" w:space="0" w:color="auto"/>
      </w:divBdr>
      <w:divsChild>
        <w:div w:id="46222317">
          <w:marLeft w:val="0"/>
          <w:marRight w:val="0"/>
          <w:marTop w:val="0"/>
          <w:marBottom w:val="0"/>
          <w:divBdr>
            <w:top w:val="none" w:sz="0" w:space="0" w:color="auto"/>
            <w:left w:val="none" w:sz="0" w:space="0" w:color="auto"/>
            <w:bottom w:val="none" w:sz="0" w:space="0" w:color="auto"/>
            <w:right w:val="none" w:sz="0" w:space="0" w:color="auto"/>
          </w:divBdr>
          <w:divsChild>
            <w:div w:id="972515506">
              <w:marLeft w:val="0"/>
              <w:marRight w:val="0"/>
              <w:marTop w:val="0"/>
              <w:marBottom w:val="0"/>
              <w:divBdr>
                <w:top w:val="none" w:sz="0" w:space="0" w:color="auto"/>
                <w:left w:val="none" w:sz="0" w:space="0" w:color="auto"/>
                <w:bottom w:val="none" w:sz="0" w:space="0" w:color="auto"/>
                <w:right w:val="none" w:sz="0" w:space="0" w:color="auto"/>
              </w:divBdr>
            </w:div>
            <w:div w:id="1275748869">
              <w:marLeft w:val="0"/>
              <w:marRight w:val="0"/>
              <w:marTop w:val="0"/>
              <w:marBottom w:val="0"/>
              <w:divBdr>
                <w:top w:val="none" w:sz="0" w:space="0" w:color="auto"/>
                <w:left w:val="none" w:sz="0" w:space="0" w:color="auto"/>
                <w:bottom w:val="none" w:sz="0" w:space="0" w:color="auto"/>
                <w:right w:val="none" w:sz="0" w:space="0" w:color="auto"/>
              </w:divBdr>
            </w:div>
            <w:div w:id="1810173192">
              <w:marLeft w:val="0"/>
              <w:marRight w:val="0"/>
              <w:marTop w:val="0"/>
              <w:marBottom w:val="0"/>
              <w:divBdr>
                <w:top w:val="none" w:sz="0" w:space="0" w:color="auto"/>
                <w:left w:val="none" w:sz="0" w:space="0" w:color="auto"/>
                <w:bottom w:val="none" w:sz="0" w:space="0" w:color="auto"/>
                <w:right w:val="none" w:sz="0" w:space="0" w:color="auto"/>
              </w:divBdr>
              <w:divsChild>
                <w:div w:id="349454163">
                  <w:marLeft w:val="0"/>
                  <w:marRight w:val="0"/>
                  <w:marTop w:val="0"/>
                  <w:marBottom w:val="0"/>
                  <w:divBdr>
                    <w:top w:val="none" w:sz="0" w:space="0" w:color="auto"/>
                    <w:left w:val="none" w:sz="0" w:space="0" w:color="auto"/>
                    <w:bottom w:val="none" w:sz="0" w:space="0" w:color="auto"/>
                    <w:right w:val="none" w:sz="0" w:space="0" w:color="auto"/>
                  </w:divBdr>
                  <w:divsChild>
                    <w:div w:id="485173317">
                      <w:marLeft w:val="0"/>
                      <w:marRight w:val="0"/>
                      <w:marTop w:val="0"/>
                      <w:marBottom w:val="0"/>
                      <w:divBdr>
                        <w:top w:val="none" w:sz="0" w:space="0" w:color="auto"/>
                        <w:left w:val="none" w:sz="0" w:space="0" w:color="auto"/>
                        <w:bottom w:val="none" w:sz="0" w:space="0" w:color="auto"/>
                        <w:right w:val="none" w:sz="0" w:space="0" w:color="auto"/>
                      </w:divBdr>
                    </w:div>
                    <w:div w:id="650599787">
                      <w:marLeft w:val="0"/>
                      <w:marRight w:val="0"/>
                      <w:marTop w:val="0"/>
                      <w:marBottom w:val="0"/>
                      <w:divBdr>
                        <w:top w:val="none" w:sz="0" w:space="0" w:color="auto"/>
                        <w:left w:val="none" w:sz="0" w:space="0" w:color="auto"/>
                        <w:bottom w:val="none" w:sz="0" w:space="0" w:color="auto"/>
                        <w:right w:val="none" w:sz="0" w:space="0" w:color="auto"/>
                      </w:divBdr>
                      <w:divsChild>
                        <w:div w:id="490482988">
                          <w:marLeft w:val="0"/>
                          <w:marRight w:val="0"/>
                          <w:marTop w:val="0"/>
                          <w:marBottom w:val="0"/>
                          <w:divBdr>
                            <w:top w:val="none" w:sz="0" w:space="0" w:color="auto"/>
                            <w:left w:val="none" w:sz="0" w:space="0" w:color="auto"/>
                            <w:bottom w:val="none" w:sz="0" w:space="0" w:color="auto"/>
                            <w:right w:val="none" w:sz="0" w:space="0" w:color="auto"/>
                          </w:divBdr>
                        </w:div>
                      </w:divsChild>
                    </w:div>
                    <w:div w:id="2038776954">
                      <w:marLeft w:val="0"/>
                      <w:marRight w:val="0"/>
                      <w:marTop w:val="0"/>
                      <w:marBottom w:val="0"/>
                      <w:divBdr>
                        <w:top w:val="none" w:sz="0" w:space="0" w:color="auto"/>
                        <w:left w:val="none" w:sz="0" w:space="0" w:color="auto"/>
                        <w:bottom w:val="none" w:sz="0" w:space="0" w:color="auto"/>
                        <w:right w:val="none" w:sz="0" w:space="0" w:color="auto"/>
                      </w:divBdr>
                      <w:divsChild>
                        <w:div w:id="830101212">
                          <w:marLeft w:val="0"/>
                          <w:marRight w:val="0"/>
                          <w:marTop w:val="0"/>
                          <w:marBottom w:val="0"/>
                          <w:divBdr>
                            <w:top w:val="none" w:sz="0" w:space="0" w:color="auto"/>
                            <w:left w:val="none" w:sz="0" w:space="0" w:color="auto"/>
                            <w:bottom w:val="none" w:sz="0" w:space="0" w:color="auto"/>
                            <w:right w:val="none" w:sz="0" w:space="0" w:color="auto"/>
                          </w:divBdr>
                        </w:div>
                        <w:div w:id="1285313022">
                          <w:marLeft w:val="0"/>
                          <w:marRight w:val="0"/>
                          <w:marTop w:val="0"/>
                          <w:marBottom w:val="0"/>
                          <w:divBdr>
                            <w:top w:val="none" w:sz="0" w:space="0" w:color="auto"/>
                            <w:left w:val="none" w:sz="0" w:space="0" w:color="auto"/>
                            <w:bottom w:val="none" w:sz="0" w:space="0" w:color="auto"/>
                            <w:right w:val="none" w:sz="0" w:space="0" w:color="auto"/>
                          </w:divBdr>
                        </w:div>
                      </w:divsChild>
                    </w:div>
                    <w:div w:id="2133207604">
                      <w:marLeft w:val="0"/>
                      <w:marRight w:val="0"/>
                      <w:marTop w:val="0"/>
                      <w:marBottom w:val="0"/>
                      <w:divBdr>
                        <w:top w:val="none" w:sz="0" w:space="0" w:color="auto"/>
                        <w:left w:val="none" w:sz="0" w:space="0" w:color="auto"/>
                        <w:bottom w:val="none" w:sz="0" w:space="0" w:color="auto"/>
                        <w:right w:val="none" w:sz="0" w:space="0" w:color="auto"/>
                      </w:divBdr>
                      <w:divsChild>
                        <w:div w:id="583800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3400425">
          <w:marLeft w:val="0"/>
          <w:marRight w:val="0"/>
          <w:marTop w:val="0"/>
          <w:marBottom w:val="0"/>
          <w:divBdr>
            <w:top w:val="none" w:sz="0" w:space="0" w:color="auto"/>
            <w:left w:val="none" w:sz="0" w:space="0" w:color="auto"/>
            <w:bottom w:val="none" w:sz="0" w:space="0" w:color="auto"/>
            <w:right w:val="none" w:sz="0" w:space="0" w:color="auto"/>
          </w:divBdr>
        </w:div>
        <w:div w:id="1850826031">
          <w:marLeft w:val="0"/>
          <w:marRight w:val="0"/>
          <w:marTop w:val="0"/>
          <w:marBottom w:val="0"/>
          <w:divBdr>
            <w:top w:val="none" w:sz="0" w:space="0" w:color="auto"/>
            <w:left w:val="none" w:sz="0" w:space="0" w:color="auto"/>
            <w:bottom w:val="none" w:sz="0" w:space="0" w:color="auto"/>
            <w:right w:val="none" w:sz="0" w:space="0" w:color="auto"/>
          </w:divBdr>
          <w:divsChild>
            <w:div w:id="128773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266198">
      <w:bodyDiv w:val="1"/>
      <w:marLeft w:val="0"/>
      <w:marRight w:val="0"/>
      <w:marTop w:val="0"/>
      <w:marBottom w:val="0"/>
      <w:divBdr>
        <w:top w:val="none" w:sz="0" w:space="0" w:color="auto"/>
        <w:left w:val="none" w:sz="0" w:space="0" w:color="auto"/>
        <w:bottom w:val="none" w:sz="0" w:space="0" w:color="auto"/>
        <w:right w:val="none" w:sz="0" w:space="0" w:color="auto"/>
      </w:divBdr>
      <w:divsChild>
        <w:div w:id="1215893410">
          <w:marLeft w:val="0"/>
          <w:marRight w:val="0"/>
          <w:marTop w:val="0"/>
          <w:marBottom w:val="0"/>
          <w:divBdr>
            <w:top w:val="none" w:sz="0" w:space="0" w:color="auto"/>
            <w:left w:val="none" w:sz="0" w:space="0" w:color="auto"/>
            <w:bottom w:val="none" w:sz="0" w:space="0" w:color="auto"/>
            <w:right w:val="none" w:sz="0" w:space="0" w:color="auto"/>
          </w:divBdr>
          <w:divsChild>
            <w:div w:id="629239910">
              <w:marLeft w:val="0"/>
              <w:marRight w:val="0"/>
              <w:marTop w:val="0"/>
              <w:marBottom w:val="0"/>
              <w:divBdr>
                <w:top w:val="none" w:sz="0" w:space="0" w:color="auto"/>
                <w:left w:val="none" w:sz="0" w:space="0" w:color="auto"/>
                <w:bottom w:val="none" w:sz="0" w:space="0" w:color="auto"/>
                <w:right w:val="none" w:sz="0" w:space="0" w:color="auto"/>
              </w:divBdr>
            </w:div>
            <w:div w:id="763375749">
              <w:marLeft w:val="0"/>
              <w:marRight w:val="0"/>
              <w:marTop w:val="0"/>
              <w:marBottom w:val="0"/>
              <w:divBdr>
                <w:top w:val="none" w:sz="0" w:space="0" w:color="auto"/>
                <w:left w:val="none" w:sz="0" w:space="0" w:color="auto"/>
                <w:bottom w:val="none" w:sz="0" w:space="0" w:color="auto"/>
                <w:right w:val="none" w:sz="0" w:space="0" w:color="auto"/>
              </w:divBdr>
              <w:divsChild>
                <w:div w:id="598297075">
                  <w:marLeft w:val="0"/>
                  <w:marRight w:val="0"/>
                  <w:marTop w:val="0"/>
                  <w:marBottom w:val="0"/>
                  <w:divBdr>
                    <w:top w:val="none" w:sz="0" w:space="0" w:color="auto"/>
                    <w:left w:val="none" w:sz="0" w:space="0" w:color="auto"/>
                    <w:bottom w:val="none" w:sz="0" w:space="0" w:color="auto"/>
                    <w:right w:val="none" w:sz="0" w:space="0" w:color="auto"/>
                  </w:divBdr>
                  <w:divsChild>
                    <w:div w:id="1901597824">
                      <w:marLeft w:val="0"/>
                      <w:marRight w:val="0"/>
                      <w:marTop w:val="0"/>
                      <w:marBottom w:val="0"/>
                      <w:divBdr>
                        <w:top w:val="none" w:sz="0" w:space="0" w:color="auto"/>
                        <w:left w:val="none" w:sz="0" w:space="0" w:color="auto"/>
                        <w:bottom w:val="none" w:sz="0" w:space="0" w:color="auto"/>
                        <w:right w:val="none" w:sz="0" w:space="0" w:color="auto"/>
                      </w:divBdr>
                      <w:divsChild>
                        <w:div w:id="766585430">
                          <w:marLeft w:val="0"/>
                          <w:marRight w:val="0"/>
                          <w:marTop w:val="0"/>
                          <w:marBottom w:val="0"/>
                          <w:divBdr>
                            <w:top w:val="none" w:sz="0" w:space="0" w:color="auto"/>
                            <w:left w:val="none" w:sz="0" w:space="0" w:color="auto"/>
                            <w:bottom w:val="none" w:sz="0" w:space="0" w:color="auto"/>
                            <w:right w:val="none" w:sz="0" w:space="0" w:color="auto"/>
                          </w:divBdr>
                          <w:divsChild>
                            <w:div w:id="231543681">
                              <w:marLeft w:val="0"/>
                              <w:marRight w:val="0"/>
                              <w:marTop w:val="0"/>
                              <w:marBottom w:val="0"/>
                              <w:divBdr>
                                <w:top w:val="none" w:sz="0" w:space="0" w:color="auto"/>
                                <w:left w:val="none" w:sz="0" w:space="0" w:color="auto"/>
                                <w:bottom w:val="none" w:sz="0" w:space="0" w:color="auto"/>
                                <w:right w:val="none" w:sz="0" w:space="0" w:color="auto"/>
                              </w:divBdr>
                            </w:div>
                            <w:div w:id="274026104">
                              <w:marLeft w:val="0"/>
                              <w:marRight w:val="0"/>
                              <w:marTop w:val="0"/>
                              <w:marBottom w:val="0"/>
                              <w:divBdr>
                                <w:top w:val="none" w:sz="0" w:space="0" w:color="auto"/>
                                <w:left w:val="none" w:sz="0" w:space="0" w:color="auto"/>
                                <w:bottom w:val="none" w:sz="0" w:space="0" w:color="auto"/>
                                <w:right w:val="none" w:sz="0" w:space="0" w:color="auto"/>
                              </w:divBdr>
                            </w:div>
                            <w:div w:id="275262032">
                              <w:marLeft w:val="0"/>
                              <w:marRight w:val="0"/>
                              <w:marTop w:val="0"/>
                              <w:marBottom w:val="0"/>
                              <w:divBdr>
                                <w:top w:val="none" w:sz="0" w:space="0" w:color="auto"/>
                                <w:left w:val="none" w:sz="0" w:space="0" w:color="auto"/>
                                <w:bottom w:val="none" w:sz="0" w:space="0" w:color="auto"/>
                                <w:right w:val="none" w:sz="0" w:space="0" w:color="auto"/>
                              </w:divBdr>
                            </w:div>
                            <w:div w:id="295572838">
                              <w:marLeft w:val="0"/>
                              <w:marRight w:val="0"/>
                              <w:marTop w:val="0"/>
                              <w:marBottom w:val="0"/>
                              <w:divBdr>
                                <w:top w:val="none" w:sz="0" w:space="0" w:color="auto"/>
                                <w:left w:val="none" w:sz="0" w:space="0" w:color="auto"/>
                                <w:bottom w:val="none" w:sz="0" w:space="0" w:color="auto"/>
                                <w:right w:val="none" w:sz="0" w:space="0" w:color="auto"/>
                              </w:divBdr>
                            </w:div>
                            <w:div w:id="446045282">
                              <w:marLeft w:val="0"/>
                              <w:marRight w:val="0"/>
                              <w:marTop w:val="0"/>
                              <w:marBottom w:val="0"/>
                              <w:divBdr>
                                <w:top w:val="none" w:sz="0" w:space="0" w:color="auto"/>
                                <w:left w:val="none" w:sz="0" w:space="0" w:color="auto"/>
                                <w:bottom w:val="none" w:sz="0" w:space="0" w:color="auto"/>
                                <w:right w:val="none" w:sz="0" w:space="0" w:color="auto"/>
                              </w:divBdr>
                            </w:div>
                            <w:div w:id="645089761">
                              <w:marLeft w:val="0"/>
                              <w:marRight w:val="0"/>
                              <w:marTop w:val="0"/>
                              <w:marBottom w:val="0"/>
                              <w:divBdr>
                                <w:top w:val="none" w:sz="0" w:space="0" w:color="auto"/>
                                <w:left w:val="none" w:sz="0" w:space="0" w:color="auto"/>
                                <w:bottom w:val="none" w:sz="0" w:space="0" w:color="auto"/>
                                <w:right w:val="none" w:sz="0" w:space="0" w:color="auto"/>
                              </w:divBdr>
                            </w:div>
                            <w:div w:id="797912929">
                              <w:marLeft w:val="0"/>
                              <w:marRight w:val="0"/>
                              <w:marTop w:val="0"/>
                              <w:marBottom w:val="0"/>
                              <w:divBdr>
                                <w:top w:val="none" w:sz="0" w:space="0" w:color="auto"/>
                                <w:left w:val="none" w:sz="0" w:space="0" w:color="auto"/>
                                <w:bottom w:val="none" w:sz="0" w:space="0" w:color="auto"/>
                                <w:right w:val="none" w:sz="0" w:space="0" w:color="auto"/>
                              </w:divBdr>
                            </w:div>
                            <w:div w:id="912352542">
                              <w:marLeft w:val="0"/>
                              <w:marRight w:val="0"/>
                              <w:marTop w:val="0"/>
                              <w:marBottom w:val="0"/>
                              <w:divBdr>
                                <w:top w:val="none" w:sz="0" w:space="0" w:color="auto"/>
                                <w:left w:val="none" w:sz="0" w:space="0" w:color="auto"/>
                                <w:bottom w:val="none" w:sz="0" w:space="0" w:color="auto"/>
                                <w:right w:val="none" w:sz="0" w:space="0" w:color="auto"/>
                              </w:divBdr>
                            </w:div>
                            <w:div w:id="1065493196">
                              <w:marLeft w:val="0"/>
                              <w:marRight w:val="0"/>
                              <w:marTop w:val="0"/>
                              <w:marBottom w:val="0"/>
                              <w:divBdr>
                                <w:top w:val="none" w:sz="0" w:space="0" w:color="auto"/>
                                <w:left w:val="none" w:sz="0" w:space="0" w:color="auto"/>
                                <w:bottom w:val="none" w:sz="0" w:space="0" w:color="auto"/>
                                <w:right w:val="none" w:sz="0" w:space="0" w:color="auto"/>
                              </w:divBdr>
                            </w:div>
                            <w:div w:id="1069302340">
                              <w:marLeft w:val="0"/>
                              <w:marRight w:val="0"/>
                              <w:marTop w:val="0"/>
                              <w:marBottom w:val="0"/>
                              <w:divBdr>
                                <w:top w:val="none" w:sz="0" w:space="0" w:color="auto"/>
                                <w:left w:val="none" w:sz="0" w:space="0" w:color="auto"/>
                                <w:bottom w:val="none" w:sz="0" w:space="0" w:color="auto"/>
                                <w:right w:val="none" w:sz="0" w:space="0" w:color="auto"/>
                              </w:divBdr>
                            </w:div>
                            <w:div w:id="1071777553">
                              <w:marLeft w:val="0"/>
                              <w:marRight w:val="0"/>
                              <w:marTop w:val="0"/>
                              <w:marBottom w:val="0"/>
                              <w:divBdr>
                                <w:top w:val="none" w:sz="0" w:space="0" w:color="auto"/>
                                <w:left w:val="none" w:sz="0" w:space="0" w:color="auto"/>
                                <w:bottom w:val="none" w:sz="0" w:space="0" w:color="auto"/>
                                <w:right w:val="none" w:sz="0" w:space="0" w:color="auto"/>
                              </w:divBdr>
                            </w:div>
                            <w:div w:id="1306734717">
                              <w:marLeft w:val="0"/>
                              <w:marRight w:val="0"/>
                              <w:marTop w:val="0"/>
                              <w:marBottom w:val="0"/>
                              <w:divBdr>
                                <w:top w:val="none" w:sz="0" w:space="0" w:color="auto"/>
                                <w:left w:val="none" w:sz="0" w:space="0" w:color="auto"/>
                                <w:bottom w:val="none" w:sz="0" w:space="0" w:color="auto"/>
                                <w:right w:val="none" w:sz="0" w:space="0" w:color="auto"/>
                              </w:divBdr>
                            </w:div>
                            <w:div w:id="1393505662">
                              <w:marLeft w:val="0"/>
                              <w:marRight w:val="0"/>
                              <w:marTop w:val="0"/>
                              <w:marBottom w:val="0"/>
                              <w:divBdr>
                                <w:top w:val="none" w:sz="0" w:space="0" w:color="auto"/>
                                <w:left w:val="none" w:sz="0" w:space="0" w:color="auto"/>
                                <w:bottom w:val="none" w:sz="0" w:space="0" w:color="auto"/>
                                <w:right w:val="none" w:sz="0" w:space="0" w:color="auto"/>
                              </w:divBdr>
                              <w:divsChild>
                                <w:div w:id="294483828">
                                  <w:marLeft w:val="0"/>
                                  <w:marRight w:val="0"/>
                                  <w:marTop w:val="0"/>
                                  <w:marBottom w:val="0"/>
                                  <w:divBdr>
                                    <w:top w:val="none" w:sz="0" w:space="0" w:color="auto"/>
                                    <w:left w:val="none" w:sz="0" w:space="0" w:color="auto"/>
                                    <w:bottom w:val="none" w:sz="0" w:space="0" w:color="auto"/>
                                    <w:right w:val="none" w:sz="0" w:space="0" w:color="auto"/>
                                  </w:divBdr>
                                </w:div>
                                <w:div w:id="1197616345">
                                  <w:marLeft w:val="0"/>
                                  <w:marRight w:val="0"/>
                                  <w:marTop w:val="0"/>
                                  <w:marBottom w:val="0"/>
                                  <w:divBdr>
                                    <w:top w:val="none" w:sz="0" w:space="0" w:color="auto"/>
                                    <w:left w:val="none" w:sz="0" w:space="0" w:color="auto"/>
                                    <w:bottom w:val="none" w:sz="0" w:space="0" w:color="auto"/>
                                    <w:right w:val="none" w:sz="0" w:space="0" w:color="auto"/>
                                  </w:divBdr>
                                </w:div>
                                <w:div w:id="1428039733">
                                  <w:marLeft w:val="0"/>
                                  <w:marRight w:val="0"/>
                                  <w:marTop w:val="0"/>
                                  <w:marBottom w:val="0"/>
                                  <w:divBdr>
                                    <w:top w:val="none" w:sz="0" w:space="0" w:color="auto"/>
                                    <w:left w:val="none" w:sz="0" w:space="0" w:color="auto"/>
                                    <w:bottom w:val="none" w:sz="0" w:space="0" w:color="auto"/>
                                    <w:right w:val="none" w:sz="0" w:space="0" w:color="auto"/>
                                  </w:divBdr>
                                </w:div>
                              </w:divsChild>
                            </w:div>
                            <w:div w:id="1435439231">
                              <w:marLeft w:val="0"/>
                              <w:marRight w:val="0"/>
                              <w:marTop w:val="0"/>
                              <w:marBottom w:val="0"/>
                              <w:divBdr>
                                <w:top w:val="none" w:sz="0" w:space="0" w:color="auto"/>
                                <w:left w:val="none" w:sz="0" w:space="0" w:color="auto"/>
                                <w:bottom w:val="none" w:sz="0" w:space="0" w:color="auto"/>
                                <w:right w:val="none" w:sz="0" w:space="0" w:color="auto"/>
                              </w:divBdr>
                            </w:div>
                            <w:div w:id="1482625066">
                              <w:marLeft w:val="0"/>
                              <w:marRight w:val="0"/>
                              <w:marTop w:val="0"/>
                              <w:marBottom w:val="0"/>
                              <w:divBdr>
                                <w:top w:val="none" w:sz="0" w:space="0" w:color="auto"/>
                                <w:left w:val="none" w:sz="0" w:space="0" w:color="auto"/>
                                <w:bottom w:val="none" w:sz="0" w:space="0" w:color="auto"/>
                                <w:right w:val="none" w:sz="0" w:space="0" w:color="auto"/>
                              </w:divBdr>
                            </w:div>
                            <w:div w:id="1508784707">
                              <w:marLeft w:val="0"/>
                              <w:marRight w:val="0"/>
                              <w:marTop w:val="0"/>
                              <w:marBottom w:val="0"/>
                              <w:divBdr>
                                <w:top w:val="none" w:sz="0" w:space="0" w:color="auto"/>
                                <w:left w:val="none" w:sz="0" w:space="0" w:color="auto"/>
                                <w:bottom w:val="none" w:sz="0" w:space="0" w:color="auto"/>
                                <w:right w:val="none" w:sz="0" w:space="0" w:color="auto"/>
                              </w:divBdr>
                            </w:div>
                            <w:div w:id="1874149292">
                              <w:marLeft w:val="0"/>
                              <w:marRight w:val="0"/>
                              <w:marTop w:val="0"/>
                              <w:marBottom w:val="0"/>
                              <w:divBdr>
                                <w:top w:val="none" w:sz="0" w:space="0" w:color="auto"/>
                                <w:left w:val="none" w:sz="0" w:space="0" w:color="auto"/>
                                <w:bottom w:val="none" w:sz="0" w:space="0" w:color="auto"/>
                                <w:right w:val="none" w:sz="0" w:space="0" w:color="auto"/>
                              </w:divBdr>
                            </w:div>
                            <w:div w:id="1938757473">
                              <w:marLeft w:val="0"/>
                              <w:marRight w:val="0"/>
                              <w:marTop w:val="0"/>
                              <w:marBottom w:val="0"/>
                              <w:divBdr>
                                <w:top w:val="none" w:sz="0" w:space="0" w:color="auto"/>
                                <w:left w:val="none" w:sz="0" w:space="0" w:color="auto"/>
                                <w:bottom w:val="none" w:sz="0" w:space="0" w:color="auto"/>
                                <w:right w:val="none" w:sz="0" w:space="0" w:color="auto"/>
                              </w:divBdr>
                            </w:div>
                            <w:div w:id="194965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4123925">
      <w:bodyDiv w:val="1"/>
      <w:marLeft w:val="0"/>
      <w:marRight w:val="0"/>
      <w:marTop w:val="0"/>
      <w:marBottom w:val="0"/>
      <w:divBdr>
        <w:top w:val="none" w:sz="0" w:space="0" w:color="auto"/>
        <w:left w:val="none" w:sz="0" w:space="0" w:color="auto"/>
        <w:bottom w:val="none" w:sz="0" w:space="0" w:color="auto"/>
        <w:right w:val="none" w:sz="0" w:space="0" w:color="auto"/>
      </w:divBdr>
    </w:div>
    <w:div w:id="1731952376">
      <w:bodyDiv w:val="1"/>
      <w:marLeft w:val="0"/>
      <w:marRight w:val="0"/>
      <w:marTop w:val="0"/>
      <w:marBottom w:val="0"/>
      <w:divBdr>
        <w:top w:val="none" w:sz="0" w:space="0" w:color="auto"/>
        <w:left w:val="none" w:sz="0" w:space="0" w:color="auto"/>
        <w:bottom w:val="none" w:sz="0" w:space="0" w:color="auto"/>
        <w:right w:val="none" w:sz="0" w:space="0" w:color="auto"/>
      </w:divBdr>
    </w:div>
    <w:div w:id="1877691785">
      <w:bodyDiv w:val="1"/>
      <w:marLeft w:val="0"/>
      <w:marRight w:val="0"/>
      <w:marTop w:val="0"/>
      <w:marBottom w:val="0"/>
      <w:divBdr>
        <w:top w:val="none" w:sz="0" w:space="0" w:color="auto"/>
        <w:left w:val="none" w:sz="0" w:space="0" w:color="auto"/>
        <w:bottom w:val="none" w:sz="0" w:space="0" w:color="auto"/>
        <w:right w:val="none" w:sz="0" w:space="0" w:color="auto"/>
      </w:divBdr>
    </w:div>
    <w:div w:id="1885561046">
      <w:bodyDiv w:val="1"/>
      <w:marLeft w:val="0"/>
      <w:marRight w:val="0"/>
      <w:marTop w:val="0"/>
      <w:marBottom w:val="0"/>
      <w:divBdr>
        <w:top w:val="none" w:sz="0" w:space="0" w:color="auto"/>
        <w:left w:val="none" w:sz="0" w:space="0" w:color="auto"/>
        <w:bottom w:val="none" w:sz="0" w:space="0" w:color="auto"/>
        <w:right w:val="none" w:sz="0" w:space="0" w:color="auto"/>
      </w:divBdr>
    </w:div>
    <w:div w:id="1957370811">
      <w:bodyDiv w:val="1"/>
      <w:marLeft w:val="0"/>
      <w:marRight w:val="0"/>
      <w:marTop w:val="0"/>
      <w:marBottom w:val="0"/>
      <w:divBdr>
        <w:top w:val="none" w:sz="0" w:space="0" w:color="auto"/>
        <w:left w:val="none" w:sz="0" w:space="0" w:color="auto"/>
        <w:bottom w:val="none" w:sz="0" w:space="0" w:color="auto"/>
        <w:right w:val="none" w:sz="0" w:space="0" w:color="auto"/>
      </w:divBdr>
    </w:div>
    <w:div w:id="2017728642">
      <w:bodyDiv w:val="1"/>
      <w:marLeft w:val="0"/>
      <w:marRight w:val="0"/>
      <w:marTop w:val="0"/>
      <w:marBottom w:val="0"/>
      <w:divBdr>
        <w:top w:val="none" w:sz="0" w:space="0" w:color="auto"/>
        <w:left w:val="none" w:sz="0" w:space="0" w:color="auto"/>
        <w:bottom w:val="none" w:sz="0" w:space="0" w:color="auto"/>
        <w:right w:val="none" w:sz="0" w:space="0" w:color="auto"/>
      </w:divBdr>
    </w:div>
    <w:div w:id="2132673077">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Adults experiencing some form of depression %</c:v>
                </c:pt>
              </c:strCache>
            </c:strRef>
          </c:tx>
          <c:spPr>
            <a:solidFill>
              <a:schemeClr val="accent1"/>
            </a:solidFill>
            <a:ln>
              <a:noFill/>
            </a:ln>
            <a:effectLst/>
          </c:spPr>
          <c:invertIfNegative val="0"/>
          <c:cat>
            <c:strRef>
              <c:f>Sheet1!$A$2:$A$3</c:f>
              <c:strCache>
                <c:ptCount val="2"/>
                <c:pt idx="0">
                  <c:v>Disabled Adults</c:v>
                </c:pt>
                <c:pt idx="1">
                  <c:v>Non-Disabled Adults</c:v>
                </c:pt>
              </c:strCache>
            </c:strRef>
          </c:cat>
          <c:val>
            <c:numRef>
              <c:f>Sheet1!$B$2:$B$3</c:f>
              <c:numCache>
                <c:formatCode>General</c:formatCode>
                <c:ptCount val="2"/>
                <c:pt idx="0">
                  <c:v>35</c:v>
                </c:pt>
                <c:pt idx="1">
                  <c:v>7</c:v>
                </c:pt>
              </c:numCache>
            </c:numRef>
          </c:val>
          <c:extLst>
            <c:ext xmlns:c16="http://schemas.microsoft.com/office/drawing/2014/chart" uri="{C3380CC4-5D6E-409C-BE32-E72D297353CC}">
              <c16:uniqueId val="{00000000-F661-449B-9130-4B33A4DE3D12}"/>
            </c:ext>
          </c:extLst>
        </c:ser>
        <c:dLbls>
          <c:showLegendKey val="0"/>
          <c:showVal val="0"/>
          <c:showCatName val="0"/>
          <c:showSerName val="0"/>
          <c:showPercent val="0"/>
          <c:showBubbleSize val="0"/>
        </c:dLbls>
        <c:gapWidth val="219"/>
        <c:overlap val="-27"/>
        <c:axId val="1748463471"/>
        <c:axId val="1638435919"/>
      </c:barChart>
      <c:catAx>
        <c:axId val="17484634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38435919"/>
        <c:crosses val="autoZero"/>
        <c:auto val="1"/>
        <c:lblAlgn val="ctr"/>
        <c:lblOffset val="100"/>
        <c:noMultiLvlLbl val="0"/>
      </c:catAx>
      <c:valAx>
        <c:axId val="163843591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4846347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Physical inactivity among disabled and non-disabled people</c:v>
                </c:pt>
              </c:strCache>
            </c:strRef>
          </c:tx>
          <c:spPr>
            <a:solidFill>
              <a:schemeClr val="accent1"/>
            </a:solidFill>
            <a:ln>
              <a:noFill/>
            </a:ln>
            <a:effectLst/>
          </c:spPr>
          <c:invertIfNegative val="0"/>
          <c:cat>
            <c:strRef>
              <c:f>Sheet1!$A$2:$A$3</c:f>
              <c:strCache>
                <c:ptCount val="2"/>
                <c:pt idx="0">
                  <c:v>Disabled Adults</c:v>
                </c:pt>
                <c:pt idx="1">
                  <c:v>Non-Disabled Adults</c:v>
                </c:pt>
              </c:strCache>
            </c:strRef>
          </c:cat>
          <c:val>
            <c:numRef>
              <c:f>Sheet1!$B$2:$B$3</c:f>
              <c:numCache>
                <c:formatCode>General</c:formatCode>
                <c:ptCount val="2"/>
                <c:pt idx="0">
                  <c:v>43</c:v>
                </c:pt>
                <c:pt idx="1">
                  <c:v>23</c:v>
                </c:pt>
              </c:numCache>
            </c:numRef>
          </c:val>
          <c:extLst>
            <c:ext xmlns:c16="http://schemas.microsoft.com/office/drawing/2014/chart" uri="{C3380CC4-5D6E-409C-BE32-E72D297353CC}">
              <c16:uniqueId val="{00000000-E75D-4113-9F09-0F94151852F6}"/>
            </c:ext>
          </c:extLst>
        </c:ser>
        <c:dLbls>
          <c:showLegendKey val="0"/>
          <c:showVal val="0"/>
          <c:showCatName val="0"/>
          <c:showSerName val="0"/>
          <c:showPercent val="0"/>
          <c:showBubbleSize val="0"/>
        </c:dLbls>
        <c:gapWidth val="219"/>
        <c:overlap val="-27"/>
        <c:axId val="1717149007"/>
        <c:axId val="1638663919"/>
      </c:barChart>
      <c:catAx>
        <c:axId val="171714900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38663919"/>
        <c:crosses val="autoZero"/>
        <c:auto val="1"/>
        <c:lblAlgn val="ctr"/>
        <c:lblOffset val="100"/>
        <c:noMultiLvlLbl val="0"/>
      </c:catAx>
      <c:valAx>
        <c:axId val="163866391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714900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Reported feeling lonely "often or always"</c:v>
                </c:pt>
              </c:strCache>
            </c:strRef>
          </c:tx>
          <c:spPr>
            <a:solidFill>
              <a:schemeClr val="accent1"/>
            </a:solidFill>
            <a:ln>
              <a:noFill/>
            </a:ln>
            <a:effectLst/>
          </c:spPr>
          <c:invertIfNegative val="0"/>
          <c:cat>
            <c:strRef>
              <c:f>Sheet1!$A$2:$A$3</c:f>
              <c:strCache>
                <c:ptCount val="2"/>
                <c:pt idx="0">
                  <c:v>Disabled people</c:v>
                </c:pt>
                <c:pt idx="1">
                  <c:v>Non-disabled people</c:v>
                </c:pt>
              </c:strCache>
            </c:strRef>
          </c:cat>
          <c:val>
            <c:numRef>
              <c:f>Sheet1!$B$2:$B$3</c:f>
              <c:numCache>
                <c:formatCode>0.00%</c:formatCode>
                <c:ptCount val="2"/>
                <c:pt idx="0">
                  <c:v>0.151</c:v>
                </c:pt>
                <c:pt idx="1">
                  <c:v>3.5999999999999997E-2</c:v>
                </c:pt>
              </c:numCache>
            </c:numRef>
          </c:val>
          <c:extLst>
            <c:ext xmlns:c16="http://schemas.microsoft.com/office/drawing/2014/chart" uri="{C3380CC4-5D6E-409C-BE32-E72D297353CC}">
              <c16:uniqueId val="{00000000-CFBF-443B-A420-EE19A568C390}"/>
            </c:ext>
          </c:extLst>
        </c:ser>
        <c:dLbls>
          <c:showLegendKey val="0"/>
          <c:showVal val="0"/>
          <c:showCatName val="0"/>
          <c:showSerName val="0"/>
          <c:showPercent val="0"/>
          <c:showBubbleSize val="0"/>
        </c:dLbls>
        <c:gapWidth val="182"/>
        <c:axId val="1748441199"/>
        <c:axId val="1638478639"/>
      </c:barChart>
      <c:catAx>
        <c:axId val="174844119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38478639"/>
        <c:crosses val="autoZero"/>
        <c:auto val="1"/>
        <c:lblAlgn val="ctr"/>
        <c:lblOffset val="100"/>
        <c:noMultiLvlLbl val="0"/>
      </c:catAx>
      <c:valAx>
        <c:axId val="1638478639"/>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4844119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Muhammad Aliyu</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4233</Words>
  <Characters>24134</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Lecturer</Company>
  <LinksUpToDate>false</LinksUpToDate>
  <CharactersWithSpaces>28311</CharactersWithSpaces>
  <SharedDoc>false</SharedDoc>
  <HLinks>
    <vt:vector size="156" baseType="variant">
      <vt:variant>
        <vt:i4>1114160</vt:i4>
      </vt:variant>
      <vt:variant>
        <vt:i4>152</vt:i4>
      </vt:variant>
      <vt:variant>
        <vt:i4>0</vt:i4>
      </vt:variant>
      <vt:variant>
        <vt:i4>5</vt:i4>
      </vt:variant>
      <vt:variant>
        <vt:lpwstr/>
      </vt:variant>
      <vt:variant>
        <vt:lpwstr>_Toc237612415</vt:lpwstr>
      </vt:variant>
      <vt:variant>
        <vt:i4>1114160</vt:i4>
      </vt:variant>
      <vt:variant>
        <vt:i4>146</vt:i4>
      </vt:variant>
      <vt:variant>
        <vt:i4>0</vt:i4>
      </vt:variant>
      <vt:variant>
        <vt:i4>5</vt:i4>
      </vt:variant>
      <vt:variant>
        <vt:lpwstr/>
      </vt:variant>
      <vt:variant>
        <vt:lpwstr>_Toc237612414</vt:lpwstr>
      </vt:variant>
      <vt:variant>
        <vt:i4>1114160</vt:i4>
      </vt:variant>
      <vt:variant>
        <vt:i4>140</vt:i4>
      </vt:variant>
      <vt:variant>
        <vt:i4>0</vt:i4>
      </vt:variant>
      <vt:variant>
        <vt:i4>5</vt:i4>
      </vt:variant>
      <vt:variant>
        <vt:lpwstr/>
      </vt:variant>
      <vt:variant>
        <vt:lpwstr>_Toc237612413</vt:lpwstr>
      </vt:variant>
      <vt:variant>
        <vt:i4>1114160</vt:i4>
      </vt:variant>
      <vt:variant>
        <vt:i4>134</vt:i4>
      </vt:variant>
      <vt:variant>
        <vt:i4>0</vt:i4>
      </vt:variant>
      <vt:variant>
        <vt:i4>5</vt:i4>
      </vt:variant>
      <vt:variant>
        <vt:lpwstr/>
      </vt:variant>
      <vt:variant>
        <vt:lpwstr>_Toc237612412</vt:lpwstr>
      </vt:variant>
      <vt:variant>
        <vt:i4>1114160</vt:i4>
      </vt:variant>
      <vt:variant>
        <vt:i4>128</vt:i4>
      </vt:variant>
      <vt:variant>
        <vt:i4>0</vt:i4>
      </vt:variant>
      <vt:variant>
        <vt:i4>5</vt:i4>
      </vt:variant>
      <vt:variant>
        <vt:lpwstr/>
      </vt:variant>
      <vt:variant>
        <vt:lpwstr>_Toc237612411</vt:lpwstr>
      </vt:variant>
      <vt:variant>
        <vt:i4>1114160</vt:i4>
      </vt:variant>
      <vt:variant>
        <vt:i4>122</vt:i4>
      </vt:variant>
      <vt:variant>
        <vt:i4>0</vt:i4>
      </vt:variant>
      <vt:variant>
        <vt:i4>5</vt:i4>
      </vt:variant>
      <vt:variant>
        <vt:lpwstr/>
      </vt:variant>
      <vt:variant>
        <vt:lpwstr>_Toc237612410</vt:lpwstr>
      </vt:variant>
      <vt:variant>
        <vt:i4>1048624</vt:i4>
      </vt:variant>
      <vt:variant>
        <vt:i4>116</vt:i4>
      </vt:variant>
      <vt:variant>
        <vt:i4>0</vt:i4>
      </vt:variant>
      <vt:variant>
        <vt:i4>5</vt:i4>
      </vt:variant>
      <vt:variant>
        <vt:lpwstr/>
      </vt:variant>
      <vt:variant>
        <vt:lpwstr>_Toc237612409</vt:lpwstr>
      </vt:variant>
      <vt:variant>
        <vt:i4>1048624</vt:i4>
      </vt:variant>
      <vt:variant>
        <vt:i4>110</vt:i4>
      </vt:variant>
      <vt:variant>
        <vt:i4>0</vt:i4>
      </vt:variant>
      <vt:variant>
        <vt:i4>5</vt:i4>
      </vt:variant>
      <vt:variant>
        <vt:lpwstr/>
      </vt:variant>
      <vt:variant>
        <vt:lpwstr>_Toc237612408</vt:lpwstr>
      </vt:variant>
      <vt:variant>
        <vt:i4>1048624</vt:i4>
      </vt:variant>
      <vt:variant>
        <vt:i4>104</vt:i4>
      </vt:variant>
      <vt:variant>
        <vt:i4>0</vt:i4>
      </vt:variant>
      <vt:variant>
        <vt:i4>5</vt:i4>
      </vt:variant>
      <vt:variant>
        <vt:lpwstr/>
      </vt:variant>
      <vt:variant>
        <vt:lpwstr>_Toc237612407</vt:lpwstr>
      </vt:variant>
      <vt:variant>
        <vt:i4>1048624</vt:i4>
      </vt:variant>
      <vt:variant>
        <vt:i4>98</vt:i4>
      </vt:variant>
      <vt:variant>
        <vt:i4>0</vt:i4>
      </vt:variant>
      <vt:variant>
        <vt:i4>5</vt:i4>
      </vt:variant>
      <vt:variant>
        <vt:lpwstr/>
      </vt:variant>
      <vt:variant>
        <vt:lpwstr>_Toc237612406</vt:lpwstr>
      </vt:variant>
      <vt:variant>
        <vt:i4>1048624</vt:i4>
      </vt:variant>
      <vt:variant>
        <vt:i4>92</vt:i4>
      </vt:variant>
      <vt:variant>
        <vt:i4>0</vt:i4>
      </vt:variant>
      <vt:variant>
        <vt:i4>5</vt:i4>
      </vt:variant>
      <vt:variant>
        <vt:lpwstr/>
      </vt:variant>
      <vt:variant>
        <vt:lpwstr>_Toc237612405</vt:lpwstr>
      </vt:variant>
      <vt:variant>
        <vt:i4>1048624</vt:i4>
      </vt:variant>
      <vt:variant>
        <vt:i4>86</vt:i4>
      </vt:variant>
      <vt:variant>
        <vt:i4>0</vt:i4>
      </vt:variant>
      <vt:variant>
        <vt:i4>5</vt:i4>
      </vt:variant>
      <vt:variant>
        <vt:lpwstr/>
      </vt:variant>
      <vt:variant>
        <vt:lpwstr>_Toc237612404</vt:lpwstr>
      </vt:variant>
      <vt:variant>
        <vt:i4>1048624</vt:i4>
      </vt:variant>
      <vt:variant>
        <vt:i4>80</vt:i4>
      </vt:variant>
      <vt:variant>
        <vt:i4>0</vt:i4>
      </vt:variant>
      <vt:variant>
        <vt:i4>5</vt:i4>
      </vt:variant>
      <vt:variant>
        <vt:lpwstr/>
      </vt:variant>
      <vt:variant>
        <vt:lpwstr>_Toc237612403</vt:lpwstr>
      </vt:variant>
      <vt:variant>
        <vt:i4>1048624</vt:i4>
      </vt:variant>
      <vt:variant>
        <vt:i4>74</vt:i4>
      </vt:variant>
      <vt:variant>
        <vt:i4>0</vt:i4>
      </vt:variant>
      <vt:variant>
        <vt:i4>5</vt:i4>
      </vt:variant>
      <vt:variant>
        <vt:lpwstr/>
      </vt:variant>
      <vt:variant>
        <vt:lpwstr>_Toc237612402</vt:lpwstr>
      </vt:variant>
      <vt:variant>
        <vt:i4>1048624</vt:i4>
      </vt:variant>
      <vt:variant>
        <vt:i4>68</vt:i4>
      </vt:variant>
      <vt:variant>
        <vt:i4>0</vt:i4>
      </vt:variant>
      <vt:variant>
        <vt:i4>5</vt:i4>
      </vt:variant>
      <vt:variant>
        <vt:lpwstr/>
      </vt:variant>
      <vt:variant>
        <vt:lpwstr>_Toc237612401</vt:lpwstr>
      </vt:variant>
      <vt:variant>
        <vt:i4>1048624</vt:i4>
      </vt:variant>
      <vt:variant>
        <vt:i4>62</vt:i4>
      </vt:variant>
      <vt:variant>
        <vt:i4>0</vt:i4>
      </vt:variant>
      <vt:variant>
        <vt:i4>5</vt:i4>
      </vt:variant>
      <vt:variant>
        <vt:lpwstr/>
      </vt:variant>
      <vt:variant>
        <vt:lpwstr>_Toc237612400</vt:lpwstr>
      </vt:variant>
      <vt:variant>
        <vt:i4>1638455</vt:i4>
      </vt:variant>
      <vt:variant>
        <vt:i4>56</vt:i4>
      </vt:variant>
      <vt:variant>
        <vt:i4>0</vt:i4>
      </vt:variant>
      <vt:variant>
        <vt:i4>5</vt:i4>
      </vt:variant>
      <vt:variant>
        <vt:lpwstr/>
      </vt:variant>
      <vt:variant>
        <vt:lpwstr>_Toc237612399</vt:lpwstr>
      </vt:variant>
      <vt:variant>
        <vt:i4>1638455</vt:i4>
      </vt:variant>
      <vt:variant>
        <vt:i4>50</vt:i4>
      </vt:variant>
      <vt:variant>
        <vt:i4>0</vt:i4>
      </vt:variant>
      <vt:variant>
        <vt:i4>5</vt:i4>
      </vt:variant>
      <vt:variant>
        <vt:lpwstr/>
      </vt:variant>
      <vt:variant>
        <vt:lpwstr>_Toc237612398</vt:lpwstr>
      </vt:variant>
      <vt:variant>
        <vt:i4>1638455</vt:i4>
      </vt:variant>
      <vt:variant>
        <vt:i4>44</vt:i4>
      </vt:variant>
      <vt:variant>
        <vt:i4>0</vt:i4>
      </vt:variant>
      <vt:variant>
        <vt:i4>5</vt:i4>
      </vt:variant>
      <vt:variant>
        <vt:lpwstr/>
      </vt:variant>
      <vt:variant>
        <vt:lpwstr>_Toc237612397</vt:lpwstr>
      </vt:variant>
      <vt:variant>
        <vt:i4>1638455</vt:i4>
      </vt:variant>
      <vt:variant>
        <vt:i4>38</vt:i4>
      </vt:variant>
      <vt:variant>
        <vt:i4>0</vt:i4>
      </vt:variant>
      <vt:variant>
        <vt:i4>5</vt:i4>
      </vt:variant>
      <vt:variant>
        <vt:lpwstr/>
      </vt:variant>
      <vt:variant>
        <vt:lpwstr>_Toc237612396</vt:lpwstr>
      </vt:variant>
      <vt:variant>
        <vt:i4>1638455</vt:i4>
      </vt:variant>
      <vt:variant>
        <vt:i4>32</vt:i4>
      </vt:variant>
      <vt:variant>
        <vt:i4>0</vt:i4>
      </vt:variant>
      <vt:variant>
        <vt:i4>5</vt:i4>
      </vt:variant>
      <vt:variant>
        <vt:lpwstr/>
      </vt:variant>
      <vt:variant>
        <vt:lpwstr>_Toc237612395</vt:lpwstr>
      </vt:variant>
      <vt:variant>
        <vt:i4>1638455</vt:i4>
      </vt:variant>
      <vt:variant>
        <vt:i4>26</vt:i4>
      </vt:variant>
      <vt:variant>
        <vt:i4>0</vt:i4>
      </vt:variant>
      <vt:variant>
        <vt:i4>5</vt:i4>
      </vt:variant>
      <vt:variant>
        <vt:lpwstr/>
      </vt:variant>
      <vt:variant>
        <vt:lpwstr>_Toc237612394</vt:lpwstr>
      </vt:variant>
      <vt:variant>
        <vt:i4>1638455</vt:i4>
      </vt:variant>
      <vt:variant>
        <vt:i4>20</vt:i4>
      </vt:variant>
      <vt:variant>
        <vt:i4>0</vt:i4>
      </vt:variant>
      <vt:variant>
        <vt:i4>5</vt:i4>
      </vt:variant>
      <vt:variant>
        <vt:lpwstr/>
      </vt:variant>
      <vt:variant>
        <vt:lpwstr>_Toc237612393</vt:lpwstr>
      </vt:variant>
      <vt:variant>
        <vt:i4>1638455</vt:i4>
      </vt:variant>
      <vt:variant>
        <vt:i4>14</vt:i4>
      </vt:variant>
      <vt:variant>
        <vt:i4>0</vt:i4>
      </vt:variant>
      <vt:variant>
        <vt:i4>5</vt:i4>
      </vt:variant>
      <vt:variant>
        <vt:lpwstr/>
      </vt:variant>
      <vt:variant>
        <vt:lpwstr>_Toc237612392</vt:lpwstr>
      </vt:variant>
      <vt:variant>
        <vt:i4>1638455</vt:i4>
      </vt:variant>
      <vt:variant>
        <vt:i4>8</vt:i4>
      </vt:variant>
      <vt:variant>
        <vt:i4>0</vt:i4>
      </vt:variant>
      <vt:variant>
        <vt:i4>5</vt:i4>
      </vt:variant>
      <vt:variant>
        <vt:lpwstr/>
      </vt:variant>
      <vt:variant>
        <vt:lpwstr>_Toc237612391</vt:lpwstr>
      </vt:variant>
      <vt:variant>
        <vt:i4>1638455</vt:i4>
      </vt:variant>
      <vt:variant>
        <vt:i4>2</vt:i4>
      </vt:variant>
      <vt:variant>
        <vt:i4>0</vt:i4>
      </vt:variant>
      <vt:variant>
        <vt:i4>5</vt:i4>
      </vt:variant>
      <vt:variant>
        <vt:lpwstr/>
      </vt:variant>
      <vt:variant>
        <vt:lpwstr>_Toc237612390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LCHS7000</dc:subject>
  <dc:creator>Emilia Milewska (2245525)</dc:creator>
  <cp:keywords/>
  <dc:description/>
  <cp:lastModifiedBy>Emilia Milewska (2245525)</cp:lastModifiedBy>
  <cp:revision>2</cp:revision>
  <dcterms:created xsi:type="dcterms:W3CDTF">2026-08-18T09:16:00Z</dcterms:created>
  <dcterms:modified xsi:type="dcterms:W3CDTF">2026-08-18T09:16:00Z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19a21c9d-2f1c-4995-ab71-5a509d391349</vt:lpwstr>
  </property>
</Properties>
</file>