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99D33" w14:textId="3476F856" w:rsidR="00F64A76" w:rsidRDefault="00980C1E" w:rsidP="00980C1E">
      <w:pPr>
        <w:pStyle w:val="Heading1"/>
        <w:jc w:val="center"/>
        <w:rPr>
          <w:sz w:val="32"/>
          <w:szCs w:val="32"/>
        </w:rPr>
      </w:pPr>
      <w:bookmarkStart w:id="0" w:name="_5yu544toqo87" w:colFirst="0" w:colLast="0"/>
      <w:bookmarkEnd w:id="0"/>
      <w:r>
        <w:rPr>
          <w:noProof/>
          <w:sz w:val="32"/>
          <w:szCs w:val="32"/>
        </w:rPr>
        <w:drawing>
          <wp:inline distT="0" distB="0" distL="0" distR="0" wp14:anchorId="34102F9C" wp14:editId="64AD008B">
            <wp:extent cx="2894993" cy="1479550"/>
            <wp:effectExtent l="0" t="0" r="635" b="6350"/>
            <wp:docPr id="40103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259" cy="1489396"/>
                    </a:xfrm>
                    <a:prstGeom prst="rect">
                      <a:avLst/>
                    </a:prstGeom>
                    <a:noFill/>
                  </pic:spPr>
                </pic:pic>
              </a:graphicData>
            </a:graphic>
          </wp:inline>
        </w:drawing>
      </w:r>
      <w:bookmarkStart w:id="1" w:name="_5otw477sfvuj" w:colFirst="0" w:colLast="0"/>
      <w:bookmarkEnd w:id="1"/>
    </w:p>
    <w:p w14:paraId="74ED803E" w14:textId="77777777" w:rsidR="00F64A76" w:rsidRPr="000737DB" w:rsidRDefault="00000000" w:rsidP="000737DB">
      <w:pPr>
        <w:jc w:val="center"/>
        <w:rPr>
          <w:b/>
          <w:bCs/>
          <w:sz w:val="32"/>
          <w:szCs w:val="32"/>
        </w:rPr>
      </w:pPr>
      <w:bookmarkStart w:id="2" w:name="_9spk1apm639j" w:colFirst="0" w:colLast="0"/>
      <w:bookmarkStart w:id="3" w:name="_bjfo2y1vhxi4" w:colFirst="0" w:colLast="0"/>
      <w:bookmarkStart w:id="4" w:name="_qmf3bcft7q9n" w:colFirst="0" w:colLast="0"/>
      <w:bookmarkStart w:id="5" w:name="_vg02t7aos2k3" w:colFirst="0" w:colLast="0"/>
      <w:bookmarkEnd w:id="2"/>
      <w:bookmarkEnd w:id="3"/>
      <w:bookmarkEnd w:id="4"/>
      <w:bookmarkEnd w:id="5"/>
      <w:r w:rsidRPr="000737DB">
        <w:rPr>
          <w:b/>
          <w:bCs/>
          <w:sz w:val="32"/>
          <w:szCs w:val="32"/>
        </w:rPr>
        <w:t>Module: Population Health and Digital Health Promotion</w:t>
      </w:r>
    </w:p>
    <w:p w14:paraId="565DC4F5" w14:textId="77777777" w:rsidR="00F64A76" w:rsidRDefault="00000000" w:rsidP="000737DB">
      <w:pPr>
        <w:jc w:val="center"/>
        <w:rPr>
          <w:b/>
          <w:bCs/>
          <w:sz w:val="32"/>
          <w:szCs w:val="32"/>
        </w:rPr>
      </w:pPr>
      <w:bookmarkStart w:id="6" w:name="_45atzp8s0fkr" w:colFirst="0" w:colLast="0"/>
      <w:bookmarkEnd w:id="6"/>
      <w:r w:rsidRPr="000737DB">
        <w:rPr>
          <w:b/>
          <w:bCs/>
          <w:sz w:val="32"/>
          <w:szCs w:val="32"/>
        </w:rPr>
        <w:t>Module code: LCHS7009</w:t>
      </w:r>
    </w:p>
    <w:p w14:paraId="54B32FE5" w14:textId="77777777" w:rsidR="00980C1E" w:rsidRPr="000737DB" w:rsidRDefault="00980C1E" w:rsidP="000737DB">
      <w:pPr>
        <w:jc w:val="center"/>
        <w:rPr>
          <w:b/>
          <w:bCs/>
          <w:sz w:val="32"/>
          <w:szCs w:val="32"/>
        </w:rPr>
      </w:pPr>
    </w:p>
    <w:p w14:paraId="6659BD59" w14:textId="77777777" w:rsidR="00F64A76" w:rsidRDefault="00000000" w:rsidP="000737DB">
      <w:pPr>
        <w:jc w:val="center"/>
        <w:rPr>
          <w:b/>
          <w:bCs/>
          <w:sz w:val="32"/>
          <w:szCs w:val="32"/>
        </w:rPr>
      </w:pPr>
      <w:r w:rsidRPr="000737DB">
        <w:rPr>
          <w:b/>
          <w:bCs/>
          <w:sz w:val="32"/>
          <w:szCs w:val="32"/>
        </w:rPr>
        <w:t>Assignment Title: Component 1: 2 Blogs</w:t>
      </w:r>
    </w:p>
    <w:p w14:paraId="56FE2A30" w14:textId="77777777" w:rsidR="00980C1E" w:rsidRDefault="00980C1E" w:rsidP="000737DB">
      <w:pPr>
        <w:jc w:val="center"/>
        <w:rPr>
          <w:b/>
          <w:bCs/>
          <w:sz w:val="32"/>
          <w:szCs w:val="32"/>
        </w:rPr>
      </w:pPr>
    </w:p>
    <w:p w14:paraId="014304A0" w14:textId="57FF6A34" w:rsidR="00DB4F09" w:rsidRPr="000737DB" w:rsidRDefault="00DB4F09" w:rsidP="000737DB">
      <w:pPr>
        <w:jc w:val="center"/>
        <w:rPr>
          <w:b/>
          <w:bCs/>
          <w:sz w:val="32"/>
          <w:szCs w:val="32"/>
        </w:rPr>
      </w:pPr>
      <w:r w:rsidRPr="00DB4F09">
        <w:rPr>
          <w:b/>
          <w:bCs/>
          <w:sz w:val="32"/>
          <w:szCs w:val="32"/>
        </w:rPr>
        <w:t>Lecturer: Dr Ping Wu</w:t>
      </w:r>
    </w:p>
    <w:p w14:paraId="1BC1F113" w14:textId="05F8DF52" w:rsidR="00F64A76" w:rsidRPr="00AA7CCA" w:rsidRDefault="00000000" w:rsidP="00AA7CCA">
      <w:pPr>
        <w:jc w:val="center"/>
        <w:rPr>
          <w:b/>
          <w:bCs/>
          <w:sz w:val="32"/>
          <w:szCs w:val="32"/>
        </w:rPr>
      </w:pPr>
      <w:bookmarkStart w:id="7" w:name="_j0z24xbb9zf4" w:colFirst="0" w:colLast="0"/>
      <w:bookmarkEnd w:id="7"/>
      <w:r w:rsidRPr="00AA7CCA">
        <w:rPr>
          <w:b/>
          <w:bCs/>
          <w:sz w:val="32"/>
          <w:szCs w:val="32"/>
        </w:rPr>
        <w:t>Student Name:</w:t>
      </w:r>
      <w:r w:rsidR="00980C1E" w:rsidRPr="00980C1E">
        <w:t xml:space="preserve"> </w:t>
      </w:r>
      <w:r w:rsidR="00980C1E" w:rsidRPr="00980C1E">
        <w:rPr>
          <w:b/>
          <w:bCs/>
          <w:sz w:val="32"/>
          <w:szCs w:val="32"/>
        </w:rPr>
        <w:t xml:space="preserve">Muskan </w:t>
      </w:r>
      <w:proofErr w:type="spellStart"/>
      <w:r w:rsidR="00980C1E" w:rsidRPr="00980C1E">
        <w:rPr>
          <w:b/>
          <w:bCs/>
          <w:sz w:val="32"/>
          <w:szCs w:val="32"/>
        </w:rPr>
        <w:t>Abderaheman</w:t>
      </w:r>
      <w:proofErr w:type="spellEnd"/>
      <w:r w:rsidR="00980C1E" w:rsidRPr="00980C1E">
        <w:rPr>
          <w:b/>
          <w:bCs/>
          <w:sz w:val="32"/>
          <w:szCs w:val="32"/>
        </w:rPr>
        <w:t xml:space="preserve"> Khalifa </w:t>
      </w:r>
    </w:p>
    <w:p w14:paraId="0C311F1D" w14:textId="77777777" w:rsidR="00980C1E" w:rsidRPr="00AA7CCA" w:rsidRDefault="00980C1E" w:rsidP="00980C1E">
      <w:pPr>
        <w:jc w:val="center"/>
        <w:rPr>
          <w:b/>
          <w:bCs/>
          <w:sz w:val="32"/>
          <w:szCs w:val="32"/>
        </w:rPr>
      </w:pPr>
      <w:r>
        <w:rPr>
          <w:b/>
          <w:bCs/>
          <w:sz w:val="32"/>
          <w:szCs w:val="32"/>
        </w:rPr>
        <w:t xml:space="preserve">Student </w:t>
      </w:r>
      <w:r w:rsidR="00000000">
        <w:rPr>
          <w:b/>
          <w:bCs/>
          <w:sz w:val="32"/>
          <w:szCs w:val="32"/>
        </w:rPr>
        <w:t xml:space="preserve">ID: </w:t>
      </w:r>
      <w:r w:rsidRPr="00980C1E">
        <w:rPr>
          <w:b/>
          <w:bCs/>
          <w:sz w:val="32"/>
          <w:szCs w:val="32"/>
        </w:rPr>
        <w:t>2432885</w:t>
      </w:r>
    </w:p>
    <w:p w14:paraId="7A4A3566" w14:textId="5383577A" w:rsidR="00F64A76" w:rsidRDefault="00F64A76">
      <w:pPr>
        <w:jc w:val="center"/>
        <w:rPr>
          <w:b/>
          <w:bCs/>
          <w:sz w:val="32"/>
          <w:szCs w:val="32"/>
        </w:rPr>
      </w:pPr>
    </w:p>
    <w:p w14:paraId="0BEF7F8C" w14:textId="77777777" w:rsidR="00F64A76" w:rsidRDefault="00000000">
      <w:pPr>
        <w:pStyle w:val="Heading1"/>
      </w:pPr>
      <w:bookmarkStart w:id="8" w:name="_mdqowax9c0fv" w:colFirst="0" w:colLast="0"/>
      <w:bookmarkEnd w:id="8"/>
      <w:r>
        <w:br w:type="page"/>
      </w:r>
    </w:p>
    <w:bookmarkStart w:id="9" w:name="_pnshv29gtf31" w:colFirst="0" w:colLast="0" w:displacedByCustomXml="next"/>
    <w:bookmarkEnd w:id="9" w:displacedByCustomXml="next"/>
    <w:sdt>
      <w:sdtPr>
        <w:rPr>
          <w:rFonts w:ascii="Times New Roman" w:eastAsia="Times New Roman" w:hAnsi="Times New Roman" w:cs="Times New Roman"/>
          <w:b/>
          <w:bCs/>
          <w:color w:val="auto"/>
          <w:sz w:val="28"/>
          <w:szCs w:val="28"/>
          <w:lang w:val="en"/>
        </w:rPr>
        <w:id w:val="853694269"/>
        <w:docPartObj>
          <w:docPartGallery w:val="Table of Contents"/>
          <w:docPartUnique/>
        </w:docPartObj>
      </w:sdtPr>
      <w:sdtEndPr>
        <w:rPr>
          <w:sz w:val="24"/>
          <w:szCs w:val="24"/>
        </w:rPr>
      </w:sdtEndPr>
      <w:sdtContent>
        <w:p w14:paraId="590E61DF" w14:textId="3BC1EB6C" w:rsidR="000737DB" w:rsidRPr="001C4EE9" w:rsidRDefault="000737DB" w:rsidP="001C4EE9">
          <w:pPr>
            <w:pStyle w:val="TOCHeading"/>
            <w:spacing w:after="240"/>
            <w:jc w:val="center"/>
            <w:rPr>
              <w:rFonts w:ascii="Times New Roman" w:hAnsi="Times New Roman" w:cs="Times New Roman"/>
              <w:b/>
              <w:bCs/>
              <w:color w:val="auto"/>
              <w:sz w:val="28"/>
              <w:szCs w:val="28"/>
            </w:rPr>
          </w:pPr>
          <w:r w:rsidRPr="001C4EE9">
            <w:rPr>
              <w:rFonts w:ascii="Times New Roman" w:hAnsi="Times New Roman" w:cs="Times New Roman"/>
              <w:b/>
              <w:bCs/>
              <w:color w:val="auto"/>
              <w:sz w:val="28"/>
              <w:szCs w:val="28"/>
            </w:rPr>
            <w:t>Table of Contents</w:t>
          </w:r>
        </w:p>
        <w:p w14:paraId="76007962" w14:textId="53E20DF3" w:rsidR="001C4EE9" w:rsidRDefault="000737DB">
          <w:pPr>
            <w:pStyle w:val="TOC1"/>
            <w:tabs>
              <w:tab w:val="right" w:leader="dot" w:pos="9350"/>
            </w:tabs>
            <w:rPr>
              <w:rFonts w:asciiTheme="minorHAnsi" w:eastAsiaTheme="minorEastAsia" w:hAnsiTheme="minorHAnsi" w:cstheme="minorBidi"/>
              <w:noProof/>
              <w:kern w:val="2"/>
              <w:lang w:val="en-GB"/>
              <w14:ligatures w14:val="standardContextual"/>
            </w:rPr>
          </w:pPr>
          <w:r>
            <w:fldChar w:fldCharType="begin"/>
          </w:r>
          <w:r>
            <w:instrText xml:space="preserve"> TOC \o "1-3" \h \z \u </w:instrText>
          </w:r>
          <w:r>
            <w:fldChar w:fldCharType="separate"/>
          </w:r>
          <w:hyperlink w:anchor="_Toc214953221" w:history="1">
            <w:r w:rsidR="001C4EE9" w:rsidRPr="00582765">
              <w:rPr>
                <w:rStyle w:val="Hyperlink"/>
                <w:noProof/>
              </w:rPr>
              <w:t>Blog 1: Evaluating Smart Pillboxes and Medication Reminder Apps in the Promotion of Digital Health</w:t>
            </w:r>
            <w:r w:rsidR="001C4EE9">
              <w:rPr>
                <w:noProof/>
                <w:webHidden/>
              </w:rPr>
              <w:tab/>
            </w:r>
            <w:r w:rsidR="001C4EE9">
              <w:rPr>
                <w:noProof/>
                <w:webHidden/>
              </w:rPr>
              <w:fldChar w:fldCharType="begin"/>
            </w:r>
            <w:r w:rsidR="001C4EE9">
              <w:rPr>
                <w:noProof/>
                <w:webHidden/>
              </w:rPr>
              <w:instrText xml:space="preserve"> PAGEREF _Toc214953221 \h </w:instrText>
            </w:r>
            <w:r w:rsidR="001C4EE9">
              <w:rPr>
                <w:noProof/>
                <w:webHidden/>
              </w:rPr>
            </w:r>
            <w:r w:rsidR="001C4EE9">
              <w:rPr>
                <w:noProof/>
                <w:webHidden/>
              </w:rPr>
              <w:fldChar w:fldCharType="separate"/>
            </w:r>
            <w:r w:rsidR="001C4EE9">
              <w:rPr>
                <w:noProof/>
                <w:webHidden/>
              </w:rPr>
              <w:t>3</w:t>
            </w:r>
            <w:r w:rsidR="001C4EE9">
              <w:rPr>
                <w:noProof/>
                <w:webHidden/>
              </w:rPr>
              <w:fldChar w:fldCharType="end"/>
            </w:r>
          </w:hyperlink>
        </w:p>
        <w:p w14:paraId="0B3DACAD" w14:textId="3FF33042" w:rsidR="001C4EE9" w:rsidRDefault="001C4EE9">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14953222" w:history="1">
            <w:r w:rsidRPr="00582765">
              <w:rPr>
                <w:rStyle w:val="Hyperlink"/>
                <w:noProof/>
              </w:rPr>
              <w:t>Blog 2: Designing an NFC-Enabled Pill-Tracking System for Digital Health Promotion</w:t>
            </w:r>
            <w:r>
              <w:rPr>
                <w:noProof/>
                <w:webHidden/>
              </w:rPr>
              <w:tab/>
            </w:r>
            <w:r>
              <w:rPr>
                <w:noProof/>
                <w:webHidden/>
              </w:rPr>
              <w:fldChar w:fldCharType="begin"/>
            </w:r>
            <w:r>
              <w:rPr>
                <w:noProof/>
                <w:webHidden/>
              </w:rPr>
              <w:instrText xml:space="preserve"> PAGEREF _Toc214953222 \h </w:instrText>
            </w:r>
            <w:r>
              <w:rPr>
                <w:noProof/>
                <w:webHidden/>
              </w:rPr>
            </w:r>
            <w:r>
              <w:rPr>
                <w:noProof/>
                <w:webHidden/>
              </w:rPr>
              <w:fldChar w:fldCharType="separate"/>
            </w:r>
            <w:r>
              <w:rPr>
                <w:noProof/>
                <w:webHidden/>
              </w:rPr>
              <w:t>5</w:t>
            </w:r>
            <w:r>
              <w:rPr>
                <w:noProof/>
                <w:webHidden/>
              </w:rPr>
              <w:fldChar w:fldCharType="end"/>
            </w:r>
          </w:hyperlink>
        </w:p>
        <w:p w14:paraId="581616ED" w14:textId="64532BC9" w:rsidR="001C4EE9" w:rsidRDefault="001C4EE9">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14953223" w:history="1">
            <w:r w:rsidRPr="00582765">
              <w:rPr>
                <w:rStyle w:val="Hyperlink"/>
                <w:noProof/>
              </w:rPr>
              <w:t>References</w:t>
            </w:r>
            <w:r>
              <w:rPr>
                <w:noProof/>
                <w:webHidden/>
              </w:rPr>
              <w:tab/>
            </w:r>
            <w:r>
              <w:rPr>
                <w:noProof/>
                <w:webHidden/>
              </w:rPr>
              <w:fldChar w:fldCharType="begin"/>
            </w:r>
            <w:r>
              <w:rPr>
                <w:noProof/>
                <w:webHidden/>
              </w:rPr>
              <w:instrText xml:space="preserve"> PAGEREF _Toc214953223 \h </w:instrText>
            </w:r>
            <w:r>
              <w:rPr>
                <w:noProof/>
                <w:webHidden/>
              </w:rPr>
            </w:r>
            <w:r>
              <w:rPr>
                <w:noProof/>
                <w:webHidden/>
              </w:rPr>
              <w:fldChar w:fldCharType="separate"/>
            </w:r>
            <w:r>
              <w:rPr>
                <w:noProof/>
                <w:webHidden/>
              </w:rPr>
              <w:t>8</w:t>
            </w:r>
            <w:r>
              <w:rPr>
                <w:noProof/>
                <w:webHidden/>
              </w:rPr>
              <w:fldChar w:fldCharType="end"/>
            </w:r>
          </w:hyperlink>
        </w:p>
        <w:p w14:paraId="17CD832A" w14:textId="627A7722" w:rsidR="000737DB" w:rsidRDefault="000737DB">
          <w:r>
            <w:rPr>
              <w:b/>
              <w:bCs/>
            </w:rPr>
            <w:fldChar w:fldCharType="end"/>
          </w:r>
        </w:p>
      </w:sdtContent>
    </w:sdt>
    <w:p w14:paraId="3EBF53C5" w14:textId="77777777" w:rsidR="000737DB" w:rsidRDefault="000737DB">
      <w:pPr>
        <w:pStyle w:val="Heading1"/>
      </w:pPr>
    </w:p>
    <w:p w14:paraId="12AE446B" w14:textId="77777777" w:rsidR="000737DB" w:rsidRDefault="000737DB">
      <w:pPr>
        <w:rPr>
          <w:b/>
          <w:bCs/>
          <w:sz w:val="28"/>
          <w:szCs w:val="28"/>
        </w:rPr>
      </w:pPr>
      <w:r>
        <w:br w:type="page"/>
      </w:r>
    </w:p>
    <w:p w14:paraId="7DFCCA23" w14:textId="0784F4C1" w:rsidR="00F64A76" w:rsidRDefault="00000000">
      <w:pPr>
        <w:pStyle w:val="Heading1"/>
      </w:pPr>
      <w:bookmarkStart w:id="10" w:name="_Toc214953221"/>
      <w:r>
        <w:lastRenderedPageBreak/>
        <w:t>Blog 1: Evaluating Smart Pillboxes and Medication Reminder Apps in the Promotion of Digital Health</w:t>
      </w:r>
      <w:bookmarkEnd w:id="10"/>
    </w:p>
    <w:p w14:paraId="65E3AE54" w14:textId="77777777" w:rsidR="00F64A76" w:rsidRDefault="00000000">
      <w:pPr>
        <w:rPr>
          <w:b/>
          <w:bCs/>
        </w:rPr>
      </w:pPr>
      <w:r>
        <w:rPr>
          <w:b/>
          <w:bCs/>
        </w:rPr>
        <w:t>Addressing the Public Health Issue</w:t>
      </w:r>
    </w:p>
    <w:p w14:paraId="6AA3B20B" w14:textId="2BF93F0A" w:rsidR="00F64A76" w:rsidRDefault="00000000">
      <w:r>
        <w:t xml:space="preserve">Medication non-adherence has become one of the major public health challenges in the global context, which contributes to avoidable morbidity as well as healthcare expenditure (Al, 2024). It has been found that nearly 50% of patients do not take their prescribed medications, along with approximately 30% failing to even fill their first prescription (Pruitt et al., 2025). In the UK, </w:t>
      </w:r>
      <w:proofErr w:type="gramStart"/>
      <w:r>
        <w:t>the non</w:t>
      </w:r>
      <w:proofErr w:type="gramEnd"/>
      <w:r>
        <w:t xml:space="preserve">-adherence costs the NHS approximately £500 million per annum (Religioni et al., 2025). This creates a requirement for adherence-support technology as a priority in digital health promotion, specifically for individuals with </w:t>
      </w:r>
      <w:r w:rsidR="007E79E1">
        <w:t>multimorbidity</w:t>
      </w:r>
      <w:r>
        <w:t xml:space="preserve"> and older adults who manage polypharmacy.  </w:t>
      </w:r>
    </w:p>
    <w:p w14:paraId="24F22E8F" w14:textId="77777777" w:rsidR="00F64A76" w:rsidRDefault="00000000">
      <w:pPr>
        <w:rPr>
          <w:b/>
          <w:bCs/>
        </w:rPr>
      </w:pPr>
      <w:r>
        <w:rPr>
          <w:b/>
          <w:bCs/>
        </w:rPr>
        <w:t>Usage of Smart Pillbox</w:t>
      </w:r>
    </w:p>
    <w:p w14:paraId="79F0E043" w14:textId="77777777" w:rsidR="00F64A76" w:rsidRDefault="00000000">
      <w:r>
        <w:t xml:space="preserve">Smart Pillboxes such as MedMinder, Tricella, and mobile reminder apps such as Medisafe lead to employing digital prompts, adherence-monitored dashboards, and connected sensors so that self-management can be supported (Faisal et al., 2023). Pillbox feature included certain alarms to take medications, detection of pill removal from each well, alerts to patients or caregivers through phone, email, or text if medications were not taken, as well as adherence reports accessible by providers (Shahani et al., 2022). From a perspective of health promotion, all these technologies align well with the behaviour change principles, like “cue-to-action” (Health Belief Model) and self-monitoring (Social Cognitive Theory), capable individuals to maintain a regular medication behaviour. </w:t>
      </w:r>
    </w:p>
    <w:p w14:paraId="28D87303" w14:textId="77777777" w:rsidR="00F64A76" w:rsidRDefault="00000000">
      <w:pPr>
        <w:rPr>
          <w:b/>
          <w:bCs/>
        </w:rPr>
      </w:pPr>
      <w:r>
        <w:rPr>
          <w:b/>
          <w:bCs/>
        </w:rPr>
        <w:t>Evidence of Effectiveness</w:t>
      </w:r>
    </w:p>
    <w:p w14:paraId="12C0F98F" w14:textId="77777777" w:rsidR="00F64A76" w:rsidRDefault="00000000">
      <w:r>
        <w:t xml:space="preserve">It has been measured that the digital reminder system effectively improves the adherence rates. Peng et al., (2020) stated about a 15-20% improvement in adherence among chronic disease patients through app-based reminders. In this context, SIMoP Box is a kind of smart healthcare system that can be used in several scenarios, such as patient isolation situations, semi-paralyzed patients (Joy et al., 2021). In the UK, it has been found that the usage of electronic pill dispensers decreases the chance of missed doses by up to 30% in the case of older adults living independently. </w:t>
      </w:r>
    </w:p>
    <w:p w14:paraId="103290A9" w14:textId="77777777" w:rsidR="00F64A76" w:rsidRDefault="00000000">
      <w:pPr>
        <w:rPr>
          <w:b/>
          <w:bCs/>
        </w:rPr>
      </w:pPr>
      <w:r>
        <w:rPr>
          <w:b/>
          <w:bCs/>
        </w:rPr>
        <w:lastRenderedPageBreak/>
        <w:t>Impact, Strengths, and Shortfalls</w:t>
      </w:r>
    </w:p>
    <w:p w14:paraId="7EE44F39" w14:textId="36BC17A7" w:rsidR="00F64A76" w:rsidRDefault="003E6A39">
      <w:r w:rsidRPr="003E6A39">
        <w:t>Smart pillbox technologies are significant in facilitating the context of promoting digital health by enhancing patient autonomy, reducing the need to visit a clinic and permitting the process of early intervention with the help of remote monitoring. Personalisation, such as customised messages, has been improved to improve user interaction.</w:t>
      </w:r>
      <w:r>
        <w:t xml:space="preserve"> While smart adherence technologies have some limitations and those are:</w:t>
      </w:r>
    </w:p>
    <w:p w14:paraId="17C047E1" w14:textId="77777777" w:rsidR="00F64A76" w:rsidRDefault="00000000">
      <w:pPr>
        <w:numPr>
          <w:ilvl w:val="0"/>
          <w:numId w:val="3"/>
        </w:numPr>
        <w:spacing w:after="0"/>
      </w:pPr>
      <w:r>
        <w:t xml:space="preserve">Older adults, low-middle-income </w:t>
      </w:r>
      <w:proofErr w:type="gramStart"/>
      <w:r>
        <w:t>group</w:t>
      </w:r>
      <w:proofErr w:type="gramEnd"/>
      <w:r>
        <w:t xml:space="preserve"> of people, and digitally excluded populations may not have access to smart pillboxes due to a lack of knowledge of smartphones, internet access (Shahani et al., 2022).</w:t>
      </w:r>
    </w:p>
    <w:p w14:paraId="4692341E" w14:textId="77777777" w:rsidR="00F64A76" w:rsidRDefault="00000000">
      <w:pPr>
        <w:numPr>
          <w:ilvl w:val="0"/>
          <w:numId w:val="3"/>
        </w:numPr>
        <w:spacing w:before="0" w:after="0"/>
      </w:pPr>
      <w:r>
        <w:t>Users can become desensitized to notifications over time, which may reduce efficacy.</w:t>
      </w:r>
    </w:p>
    <w:p w14:paraId="71E63145" w14:textId="77777777" w:rsidR="00F64A76" w:rsidRDefault="00000000">
      <w:pPr>
        <w:numPr>
          <w:ilvl w:val="0"/>
          <w:numId w:val="3"/>
        </w:numPr>
        <w:spacing w:before="0"/>
      </w:pPr>
      <w:r>
        <w:t>Cloud-based monitoring increases issues around consent as well as the secure storage of health data.</w:t>
      </w:r>
    </w:p>
    <w:p w14:paraId="26FD241F" w14:textId="77777777" w:rsidR="00F64A76" w:rsidRDefault="00000000">
      <w:pPr>
        <w:rPr>
          <w:b/>
          <w:bCs/>
        </w:rPr>
      </w:pPr>
      <w:r>
        <w:rPr>
          <w:b/>
          <w:bCs/>
        </w:rPr>
        <w:t>Recommendations to address shortfalls</w:t>
      </w:r>
    </w:p>
    <w:p w14:paraId="585F7D12" w14:textId="77777777" w:rsidR="00F64A76" w:rsidRDefault="00000000">
      <w:r>
        <w:t>To address the shortfalls of the smart pillbox, developers and the healthcare system should</w:t>
      </w:r>
    </w:p>
    <w:p w14:paraId="624E0423" w14:textId="77777777" w:rsidR="00F64A76" w:rsidRDefault="00000000">
      <w:pPr>
        <w:numPr>
          <w:ilvl w:val="0"/>
          <w:numId w:val="1"/>
        </w:numPr>
        <w:spacing w:after="0"/>
      </w:pPr>
      <w:r>
        <w:t>Implement a simplified interface in the smart pillbox so that older adults can have access.</w:t>
      </w:r>
    </w:p>
    <w:p w14:paraId="6601A26E" w14:textId="77777777" w:rsidR="00F64A76" w:rsidRDefault="00000000">
      <w:pPr>
        <w:numPr>
          <w:ilvl w:val="0"/>
          <w:numId w:val="1"/>
        </w:numPr>
        <w:spacing w:before="0" w:after="0"/>
      </w:pPr>
      <w:r>
        <w:t>Must ensure compliance with GDPR-aligned encryption standards.</w:t>
      </w:r>
    </w:p>
    <w:p w14:paraId="67C14F7E" w14:textId="77777777" w:rsidR="00F64A76" w:rsidRDefault="00000000">
      <w:pPr>
        <w:numPr>
          <w:ilvl w:val="0"/>
          <w:numId w:val="1"/>
        </w:numPr>
        <w:spacing w:before="0"/>
      </w:pPr>
      <w:r>
        <w:t>Needs to incorporate motivational behavioural transformation techniques like adaptive reminders.</w:t>
      </w:r>
    </w:p>
    <w:p w14:paraId="7E138670" w14:textId="77777777" w:rsidR="00F64A76" w:rsidRDefault="00000000">
      <w:r>
        <w:t xml:space="preserve">All in all, smart pillbox and reminder apps illustrate a strong and effective potential to minimise preventable health obstacles. </w:t>
      </w:r>
      <w:r>
        <w:br w:type="page"/>
      </w:r>
    </w:p>
    <w:p w14:paraId="4E196595" w14:textId="77777777" w:rsidR="00F64A76" w:rsidRDefault="00000000">
      <w:pPr>
        <w:pStyle w:val="Heading1"/>
      </w:pPr>
      <w:bookmarkStart w:id="11" w:name="_rzeerr512mp3" w:colFirst="0" w:colLast="0"/>
      <w:bookmarkStart w:id="12" w:name="_Toc214953222"/>
      <w:bookmarkEnd w:id="11"/>
      <w:r>
        <w:lastRenderedPageBreak/>
        <w:t>Blog 2: Designing an NFC-Enabled Pill-Tracking System for Digital Health Promotion</w:t>
      </w:r>
      <w:bookmarkEnd w:id="12"/>
    </w:p>
    <w:p w14:paraId="3F5AD860" w14:textId="77777777" w:rsidR="00F64A76" w:rsidRDefault="00000000">
      <w:pPr>
        <w:rPr>
          <w:b/>
          <w:bCs/>
        </w:rPr>
      </w:pPr>
      <w:r>
        <w:rPr>
          <w:b/>
          <w:bCs/>
        </w:rPr>
        <w:t>Public Health Issue</w:t>
      </w:r>
    </w:p>
    <w:p w14:paraId="1B2BAD26" w14:textId="77777777" w:rsidR="00F64A76" w:rsidRDefault="00000000">
      <w:r>
        <w:t xml:space="preserve">Globally, the medication adherence issue has become persistent and is responsible for failures of treatment, disease progression, as well as avoidable hospitalization. In the UK, it has been found that polypharmacy in adults over 65 has increased significantly that placing them at a </w:t>
      </w:r>
      <w:proofErr w:type="gramStart"/>
      <w:r>
        <w:t>point of great</w:t>
      </w:r>
      <w:proofErr w:type="gramEnd"/>
      <w:r>
        <w:t xml:space="preserve"> risk of medication errors (Ngcobo, 2025). This shows a clear requirement for innovative digital health interventions that can track real-time, user-friendly adherence monitoring. </w:t>
      </w:r>
    </w:p>
    <w:p w14:paraId="759E4F36" w14:textId="77777777" w:rsidR="00F64A76" w:rsidRDefault="00000000">
      <w:pPr>
        <w:rPr>
          <w:b/>
          <w:bCs/>
        </w:rPr>
      </w:pPr>
      <w:r>
        <w:rPr>
          <w:b/>
          <w:bCs/>
        </w:rPr>
        <w:t>Designed Technology: NFC-Enabled Pill-Tracking System</w:t>
      </w:r>
    </w:p>
    <w:p w14:paraId="5551C499" w14:textId="77777777" w:rsidR="00F64A76" w:rsidRDefault="00000000">
      <w:r>
        <w:t xml:space="preserve">NFC-Enabled Pill-Tracking System (NCF-PTS), which is a novel, low-cost digital solution that integrates Near-Field Communication technology along with personalised mobile health promotion features. NFC-enabled pill strips, as well as blister packs, will contain an embedded NFC tag. Patients </w:t>
      </w:r>
      <w:proofErr w:type="gramStart"/>
      <w:r>
        <w:t>have to</w:t>
      </w:r>
      <w:proofErr w:type="gramEnd"/>
      <w:r>
        <w:t xml:space="preserve"> tap their smartphone on the medication pack after every single dose. It will </w:t>
      </w:r>
      <w:proofErr w:type="gramStart"/>
      <w:r>
        <w:t>enable</w:t>
      </w:r>
      <w:proofErr w:type="gramEnd"/>
      <w:r>
        <w:t xml:space="preserve"> to set of auto-time-stamping of doses. It will also be helpful to send adherence data to the accompanying app, as well as an updated dashboard that will be accessible to all the caregivers and clinicians. It will also have an extra feature that helps to deliver offline </w:t>
      </w:r>
      <w:proofErr w:type="gramStart"/>
      <w:r>
        <w:t>service</w:t>
      </w:r>
      <w:proofErr w:type="gramEnd"/>
      <w:r>
        <w:t xml:space="preserve"> to those areas where the internet connection is poor. Unlike other conventional apps, which completely depend on self-reporting, NCF-PTS develops a validated digital adherence log that can reduce inaccuracies while maintaining simplicity. </w:t>
      </w:r>
    </w:p>
    <w:p w14:paraId="3CF016B2" w14:textId="77777777" w:rsidR="00F64A76" w:rsidRDefault="00000000">
      <w:pPr>
        <w:rPr>
          <w:b/>
          <w:bCs/>
        </w:rPr>
      </w:pPr>
      <w:r>
        <w:rPr>
          <w:b/>
          <w:bCs/>
        </w:rPr>
        <w:t>Usage in Digital Health Promotion</w:t>
      </w:r>
    </w:p>
    <w:p w14:paraId="61A380D4" w14:textId="3954D8A2" w:rsidR="00F64A76" w:rsidRDefault="00000000">
      <w:r>
        <w:t xml:space="preserve">In the context of reducing the chance of medication non-adherence, the promotion of digital health technologies is extremely important in the present (Moon and Walsh, 2025). The NFC-PRT leads to promoting digital health through transforming medication-tracking into </w:t>
      </w:r>
      <w:proofErr w:type="gramStart"/>
      <w:r>
        <w:t>an interactive</w:t>
      </w:r>
      <w:proofErr w:type="gramEnd"/>
      <w:r>
        <w:t xml:space="preserve"> and easily monitored behaviour. By creating a verified adherence record for each NFC tap, it promotes self-monitoring among users and reinforces routine behaviour, which is also a fundamental concept of behaviour change through self-regulation and environmental cueing. The app that comes with it gives customised reminders, educational notifications, and progress dashboards that aid in patient empowerment. Through reducing technological complexity as well as delivering reliable data, this </w:t>
      </w:r>
      <w:r>
        <w:lastRenderedPageBreak/>
        <w:t xml:space="preserve">system can enhance the safety of medication, strengthen long-term self-management, so that complications about non-adherence can be reduced. </w:t>
      </w:r>
    </w:p>
    <w:p w14:paraId="589240DF" w14:textId="77777777" w:rsidR="00F64A76" w:rsidRDefault="00000000">
      <w:pPr>
        <w:rPr>
          <w:b/>
          <w:bCs/>
        </w:rPr>
      </w:pPr>
      <w:r>
        <w:rPr>
          <w:b/>
          <w:bCs/>
        </w:rPr>
        <w:t>Expected Impact, Benefits, and Limitations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64A76" w14:paraId="44FA2A02" w14:textId="77777777">
        <w:tc>
          <w:tcPr>
            <w:tcW w:w="4680" w:type="dxa"/>
            <w:tcMar>
              <w:top w:w="100" w:type="dxa"/>
              <w:left w:w="100" w:type="dxa"/>
              <w:bottom w:w="100" w:type="dxa"/>
              <w:right w:w="100" w:type="dxa"/>
            </w:tcMar>
          </w:tcPr>
          <w:p w14:paraId="7DCF8E83" w14:textId="1A3F90F6" w:rsidR="00F64A76" w:rsidRDefault="007E79E1">
            <w:pPr>
              <w:widowControl w:val="0"/>
              <w:pBdr>
                <w:top w:val="nil"/>
                <w:left w:val="nil"/>
                <w:bottom w:val="nil"/>
                <w:right w:val="nil"/>
                <w:between w:val="nil"/>
              </w:pBdr>
              <w:spacing w:before="0" w:after="0"/>
              <w:jc w:val="center"/>
              <w:rPr>
                <w:b/>
                <w:bCs/>
              </w:rPr>
            </w:pPr>
            <w:r>
              <w:rPr>
                <w:b/>
                <w:bCs/>
              </w:rPr>
              <w:t>Category</w:t>
            </w:r>
          </w:p>
        </w:tc>
        <w:tc>
          <w:tcPr>
            <w:tcW w:w="4680" w:type="dxa"/>
            <w:tcMar>
              <w:top w:w="100" w:type="dxa"/>
              <w:left w:w="100" w:type="dxa"/>
              <w:bottom w:w="100" w:type="dxa"/>
              <w:right w:w="100" w:type="dxa"/>
            </w:tcMar>
          </w:tcPr>
          <w:p w14:paraId="1E9B4030" w14:textId="77777777" w:rsidR="00F64A76" w:rsidRDefault="00000000">
            <w:pPr>
              <w:widowControl w:val="0"/>
              <w:pBdr>
                <w:top w:val="nil"/>
                <w:left w:val="nil"/>
                <w:bottom w:val="nil"/>
                <w:right w:val="nil"/>
                <w:between w:val="nil"/>
              </w:pBdr>
              <w:spacing w:before="0" w:after="0"/>
              <w:jc w:val="center"/>
              <w:rPr>
                <w:b/>
                <w:bCs/>
              </w:rPr>
            </w:pPr>
            <w:r>
              <w:rPr>
                <w:b/>
                <w:bCs/>
              </w:rPr>
              <w:t>Details</w:t>
            </w:r>
          </w:p>
        </w:tc>
      </w:tr>
      <w:tr w:rsidR="00F64A76" w14:paraId="7D53CD99" w14:textId="77777777">
        <w:tc>
          <w:tcPr>
            <w:tcW w:w="4680" w:type="dxa"/>
            <w:tcMar>
              <w:top w:w="100" w:type="dxa"/>
              <w:left w:w="100" w:type="dxa"/>
              <w:bottom w:w="100" w:type="dxa"/>
              <w:right w:w="100" w:type="dxa"/>
            </w:tcMar>
          </w:tcPr>
          <w:p w14:paraId="4C2A6DE3" w14:textId="77777777" w:rsidR="00F64A76" w:rsidRDefault="00000000">
            <w:pPr>
              <w:widowControl w:val="0"/>
              <w:pBdr>
                <w:top w:val="nil"/>
                <w:left w:val="nil"/>
                <w:bottom w:val="nil"/>
                <w:right w:val="nil"/>
                <w:between w:val="nil"/>
              </w:pBdr>
              <w:spacing w:before="0" w:after="0"/>
            </w:pPr>
            <w:r>
              <w:t>Impact</w:t>
            </w:r>
          </w:p>
        </w:tc>
        <w:tc>
          <w:tcPr>
            <w:tcW w:w="4680" w:type="dxa"/>
            <w:tcMar>
              <w:top w:w="100" w:type="dxa"/>
              <w:left w:w="100" w:type="dxa"/>
              <w:bottom w:w="100" w:type="dxa"/>
              <w:right w:w="100" w:type="dxa"/>
            </w:tcMar>
          </w:tcPr>
          <w:p w14:paraId="5212329F" w14:textId="77777777" w:rsidR="00684119" w:rsidRDefault="00684119" w:rsidP="00684119">
            <w:pPr>
              <w:pStyle w:val="ListParagraph"/>
              <w:widowControl w:val="0"/>
              <w:numPr>
                <w:ilvl w:val="0"/>
                <w:numId w:val="8"/>
              </w:numPr>
              <w:pBdr>
                <w:top w:val="nil"/>
                <w:left w:val="nil"/>
                <w:bottom w:val="nil"/>
                <w:right w:val="nil"/>
                <w:between w:val="nil"/>
              </w:pBdr>
              <w:spacing w:before="0" w:after="0"/>
            </w:pPr>
            <w:r w:rsidRPr="00684119">
              <w:t xml:space="preserve">Provides correct and timestamp-verified compliance monitoring. </w:t>
            </w:r>
          </w:p>
          <w:p w14:paraId="0F14BB32" w14:textId="77777777" w:rsidR="00684119" w:rsidRDefault="00684119" w:rsidP="00684119">
            <w:pPr>
              <w:pStyle w:val="ListParagraph"/>
              <w:widowControl w:val="0"/>
              <w:numPr>
                <w:ilvl w:val="0"/>
                <w:numId w:val="8"/>
              </w:numPr>
              <w:pBdr>
                <w:top w:val="nil"/>
                <w:left w:val="nil"/>
                <w:bottom w:val="nil"/>
                <w:right w:val="nil"/>
                <w:between w:val="nil"/>
              </w:pBdr>
              <w:spacing w:before="0" w:after="0"/>
            </w:pPr>
            <w:r w:rsidRPr="00684119">
              <w:t xml:space="preserve">Promotes behavioural change by means of interactive tapping and self-monitoring (Ebere et al., 2022). </w:t>
            </w:r>
          </w:p>
          <w:p w14:paraId="7B8A3932" w14:textId="0FFBE1F7" w:rsidR="00684119" w:rsidRDefault="00684119" w:rsidP="00684119">
            <w:pPr>
              <w:pStyle w:val="ListParagraph"/>
              <w:widowControl w:val="0"/>
              <w:numPr>
                <w:ilvl w:val="0"/>
                <w:numId w:val="8"/>
              </w:numPr>
              <w:pBdr>
                <w:top w:val="nil"/>
                <w:left w:val="nil"/>
                <w:bottom w:val="nil"/>
                <w:right w:val="nil"/>
                <w:between w:val="nil"/>
              </w:pBdr>
              <w:spacing w:before="0" w:after="0"/>
            </w:pPr>
            <w:r w:rsidRPr="00684119">
              <w:t>Enhances</w:t>
            </w:r>
            <w:r>
              <w:t xml:space="preserve"> </w:t>
            </w:r>
            <w:r w:rsidRPr="00684119">
              <w:t xml:space="preserve">patient-caregiver-clinician communication. </w:t>
            </w:r>
          </w:p>
          <w:p w14:paraId="2841BF47" w14:textId="6C686226" w:rsidR="00F64A76" w:rsidRDefault="00684119" w:rsidP="00684119">
            <w:pPr>
              <w:pStyle w:val="ListParagraph"/>
              <w:widowControl w:val="0"/>
              <w:numPr>
                <w:ilvl w:val="0"/>
                <w:numId w:val="8"/>
              </w:numPr>
              <w:pBdr>
                <w:top w:val="nil"/>
                <w:left w:val="nil"/>
                <w:bottom w:val="nil"/>
                <w:right w:val="nil"/>
                <w:between w:val="nil"/>
              </w:pBdr>
              <w:spacing w:before="0" w:after="0"/>
            </w:pPr>
            <w:r w:rsidRPr="00684119">
              <w:t xml:space="preserve">Enhances the provision of </w:t>
            </w:r>
            <w:proofErr w:type="gramStart"/>
            <w:r w:rsidRPr="00684119">
              <w:t>large scale</w:t>
            </w:r>
            <w:proofErr w:type="gramEnd"/>
            <w:r w:rsidRPr="00684119">
              <w:t xml:space="preserve"> promotion of public health, at low costs.</w:t>
            </w:r>
          </w:p>
        </w:tc>
      </w:tr>
      <w:tr w:rsidR="00F64A76" w14:paraId="0403A7A7" w14:textId="77777777">
        <w:tc>
          <w:tcPr>
            <w:tcW w:w="4680" w:type="dxa"/>
            <w:tcMar>
              <w:top w:w="100" w:type="dxa"/>
              <w:left w:w="100" w:type="dxa"/>
              <w:bottom w:w="100" w:type="dxa"/>
              <w:right w:w="100" w:type="dxa"/>
            </w:tcMar>
          </w:tcPr>
          <w:p w14:paraId="13035960" w14:textId="77777777" w:rsidR="00F64A76" w:rsidRDefault="00000000">
            <w:pPr>
              <w:widowControl w:val="0"/>
              <w:pBdr>
                <w:top w:val="nil"/>
                <w:left w:val="nil"/>
                <w:bottom w:val="nil"/>
                <w:right w:val="nil"/>
                <w:between w:val="nil"/>
              </w:pBdr>
              <w:spacing w:before="0" w:after="0"/>
            </w:pPr>
            <w:r>
              <w:t>Benefits</w:t>
            </w:r>
          </w:p>
        </w:tc>
        <w:tc>
          <w:tcPr>
            <w:tcW w:w="4680" w:type="dxa"/>
            <w:tcMar>
              <w:top w:w="100" w:type="dxa"/>
              <w:left w:w="100" w:type="dxa"/>
              <w:bottom w:w="100" w:type="dxa"/>
              <w:right w:w="100" w:type="dxa"/>
            </w:tcMar>
          </w:tcPr>
          <w:p w14:paraId="1F88F327" w14:textId="77777777" w:rsidR="00684119" w:rsidRDefault="00684119" w:rsidP="00684119">
            <w:pPr>
              <w:pStyle w:val="ListParagraph"/>
              <w:widowControl w:val="0"/>
              <w:numPr>
                <w:ilvl w:val="0"/>
                <w:numId w:val="7"/>
              </w:numPr>
              <w:spacing w:before="0" w:after="0"/>
            </w:pPr>
            <w:r w:rsidRPr="00684119">
              <w:t xml:space="preserve">Scalable implementation is with the use of low-cost NFC tags (Cclhealthcare, 2025). </w:t>
            </w:r>
          </w:p>
          <w:p w14:paraId="732F6895" w14:textId="77777777" w:rsidR="00684119" w:rsidRDefault="00684119" w:rsidP="00684119">
            <w:pPr>
              <w:pStyle w:val="ListParagraph"/>
              <w:widowControl w:val="0"/>
              <w:numPr>
                <w:ilvl w:val="0"/>
                <w:numId w:val="7"/>
              </w:numPr>
              <w:spacing w:before="0" w:after="0"/>
            </w:pPr>
            <w:r w:rsidRPr="00684119">
              <w:t xml:space="preserve">Very convenient since smartphones have a massive user base. </w:t>
            </w:r>
          </w:p>
          <w:p w14:paraId="669CD572" w14:textId="77777777" w:rsidR="00684119" w:rsidRDefault="00684119" w:rsidP="00684119">
            <w:pPr>
              <w:pStyle w:val="ListParagraph"/>
              <w:widowControl w:val="0"/>
              <w:numPr>
                <w:ilvl w:val="0"/>
                <w:numId w:val="7"/>
              </w:numPr>
              <w:spacing w:before="0" w:after="0"/>
            </w:pPr>
            <w:r w:rsidRPr="00684119">
              <w:t xml:space="preserve">Makes it easy to use as the aging population just needs a simple tap. </w:t>
            </w:r>
          </w:p>
          <w:p w14:paraId="59EAB211" w14:textId="1BBE1FE7" w:rsidR="00684119" w:rsidRDefault="00684119" w:rsidP="00684119">
            <w:pPr>
              <w:pStyle w:val="ListParagraph"/>
              <w:widowControl w:val="0"/>
              <w:numPr>
                <w:ilvl w:val="0"/>
                <w:numId w:val="7"/>
              </w:numPr>
              <w:spacing w:before="0" w:after="0"/>
            </w:pPr>
            <w:r w:rsidRPr="00684119">
              <w:t>Works on any NFC smartphone</w:t>
            </w:r>
            <w:r>
              <w:t>.</w:t>
            </w:r>
            <w:r w:rsidRPr="00684119">
              <w:t xml:space="preserve"> </w:t>
            </w:r>
          </w:p>
          <w:p w14:paraId="1EA35831" w14:textId="77777777" w:rsidR="00684119" w:rsidRDefault="00684119" w:rsidP="00684119">
            <w:pPr>
              <w:pStyle w:val="ListParagraph"/>
              <w:widowControl w:val="0"/>
              <w:numPr>
                <w:ilvl w:val="0"/>
                <w:numId w:val="7"/>
              </w:numPr>
              <w:spacing w:before="0" w:after="0"/>
            </w:pPr>
            <w:r w:rsidRPr="00684119">
              <w:t xml:space="preserve">No need for Wi-Fi during use </w:t>
            </w:r>
          </w:p>
          <w:p w14:paraId="0C0702D0" w14:textId="3DABD941" w:rsidR="00F64A76" w:rsidRDefault="00684119" w:rsidP="00684119">
            <w:pPr>
              <w:pStyle w:val="ListParagraph"/>
              <w:widowControl w:val="0"/>
              <w:numPr>
                <w:ilvl w:val="0"/>
                <w:numId w:val="7"/>
              </w:numPr>
              <w:spacing w:before="0" w:after="0"/>
            </w:pPr>
            <w:r w:rsidRPr="00684119">
              <w:t>Minimi</w:t>
            </w:r>
            <w:r>
              <w:t>s</w:t>
            </w:r>
            <w:r w:rsidRPr="00684119">
              <w:t>es the errors of manipulation.</w:t>
            </w:r>
          </w:p>
        </w:tc>
      </w:tr>
      <w:tr w:rsidR="00F64A76" w14:paraId="3785786B" w14:textId="77777777">
        <w:tc>
          <w:tcPr>
            <w:tcW w:w="4680" w:type="dxa"/>
            <w:tcMar>
              <w:top w:w="100" w:type="dxa"/>
              <w:left w:w="100" w:type="dxa"/>
              <w:bottom w:w="100" w:type="dxa"/>
              <w:right w:w="100" w:type="dxa"/>
            </w:tcMar>
          </w:tcPr>
          <w:p w14:paraId="1B436D17" w14:textId="77777777" w:rsidR="00F64A76" w:rsidRDefault="00000000">
            <w:pPr>
              <w:widowControl w:val="0"/>
              <w:pBdr>
                <w:top w:val="nil"/>
                <w:left w:val="nil"/>
                <w:bottom w:val="nil"/>
                <w:right w:val="nil"/>
                <w:between w:val="nil"/>
              </w:pBdr>
              <w:spacing w:before="0" w:after="0"/>
            </w:pPr>
            <w:r>
              <w:t>Limitations</w:t>
            </w:r>
          </w:p>
        </w:tc>
        <w:tc>
          <w:tcPr>
            <w:tcW w:w="4680" w:type="dxa"/>
            <w:tcMar>
              <w:top w:w="100" w:type="dxa"/>
              <w:left w:w="100" w:type="dxa"/>
              <w:bottom w:w="100" w:type="dxa"/>
              <w:right w:w="100" w:type="dxa"/>
            </w:tcMar>
          </w:tcPr>
          <w:p w14:paraId="04BCC069" w14:textId="77777777" w:rsidR="00F64A76" w:rsidRDefault="00000000">
            <w:pPr>
              <w:widowControl w:val="0"/>
              <w:numPr>
                <w:ilvl w:val="0"/>
                <w:numId w:val="6"/>
              </w:numPr>
              <w:spacing w:before="0" w:after="0"/>
            </w:pPr>
            <w:r>
              <w:t>User-dependent actions (like forgetting to tap) may still lead to missed data.</w:t>
            </w:r>
          </w:p>
          <w:p w14:paraId="582E2055" w14:textId="77777777" w:rsidR="00F64A76" w:rsidRDefault="00000000">
            <w:pPr>
              <w:widowControl w:val="0"/>
              <w:numPr>
                <w:ilvl w:val="0"/>
                <w:numId w:val="6"/>
              </w:numPr>
              <w:spacing w:before="0" w:after="0"/>
            </w:pPr>
            <w:r>
              <w:t xml:space="preserve">Not suitable for individuals without </w:t>
            </w:r>
            <w:r>
              <w:lastRenderedPageBreak/>
              <w:t>NFC-enabled smartphones.</w:t>
            </w:r>
          </w:p>
          <w:p w14:paraId="7C9B52D0" w14:textId="77777777" w:rsidR="00F64A76" w:rsidRDefault="00000000">
            <w:pPr>
              <w:widowControl w:val="0"/>
              <w:numPr>
                <w:ilvl w:val="0"/>
                <w:numId w:val="6"/>
              </w:numPr>
              <w:spacing w:before="0" w:after="0"/>
            </w:pPr>
            <w:r>
              <w:t>Requires robust encryption to mitigate privacy concerns.</w:t>
            </w:r>
          </w:p>
          <w:p w14:paraId="6DC4F204" w14:textId="77777777" w:rsidR="00F64A76" w:rsidRDefault="00000000">
            <w:pPr>
              <w:widowControl w:val="0"/>
              <w:numPr>
                <w:ilvl w:val="0"/>
                <w:numId w:val="6"/>
              </w:numPr>
              <w:pBdr>
                <w:top w:val="nil"/>
                <w:left w:val="nil"/>
                <w:bottom w:val="nil"/>
                <w:right w:val="nil"/>
                <w:between w:val="nil"/>
              </w:pBdr>
              <w:spacing w:before="0" w:after="0"/>
            </w:pPr>
            <w:r>
              <w:t>May not detect ingestion—only the tap behaviour.</w:t>
            </w:r>
          </w:p>
        </w:tc>
      </w:tr>
    </w:tbl>
    <w:p w14:paraId="1669692E" w14:textId="77777777" w:rsidR="00F64A76" w:rsidRDefault="00000000">
      <w:pPr>
        <w:jc w:val="center"/>
        <w:rPr>
          <w:b/>
          <w:bCs/>
        </w:rPr>
      </w:pPr>
      <w:r>
        <w:rPr>
          <w:b/>
          <w:bCs/>
        </w:rPr>
        <w:t>Table 1: Impacts, Strengths, and Limitations of NFC-Enabled Pill-tracking System</w:t>
      </w:r>
    </w:p>
    <w:p w14:paraId="64F4C80D" w14:textId="77777777" w:rsidR="00F64A76" w:rsidRDefault="00000000">
      <w:pPr>
        <w:jc w:val="center"/>
      </w:pPr>
      <w:r>
        <w:t>(Source: Author)</w:t>
      </w:r>
    </w:p>
    <w:p w14:paraId="1DAB795C" w14:textId="77777777" w:rsidR="00F64A76" w:rsidRDefault="00000000">
      <w:pPr>
        <w:rPr>
          <w:b/>
          <w:bCs/>
        </w:rPr>
      </w:pPr>
      <w:r>
        <w:rPr>
          <w:b/>
          <w:bCs/>
        </w:rPr>
        <w:t>Addressing Shortfalls</w:t>
      </w:r>
    </w:p>
    <w:p w14:paraId="565B81B5" w14:textId="77777777" w:rsidR="00F64A76" w:rsidRDefault="00000000">
      <w:r>
        <w:t>These problems can be alleviated by:</w:t>
      </w:r>
    </w:p>
    <w:p w14:paraId="0F8BDAF1" w14:textId="77777777" w:rsidR="00F64A76" w:rsidRDefault="00000000">
      <w:pPr>
        <w:numPr>
          <w:ilvl w:val="0"/>
          <w:numId w:val="4"/>
        </w:numPr>
        <w:spacing w:after="0"/>
      </w:pPr>
      <w:r>
        <w:t>Incorporation of passive fail-safety measures (like missed dose warnings after a specific time</w:t>
      </w:r>
      <w:proofErr w:type="gramStart"/>
      <w:r>
        <w:t>);</w:t>
      </w:r>
      <w:proofErr w:type="gramEnd"/>
    </w:p>
    <w:p w14:paraId="035B0F65" w14:textId="77777777" w:rsidR="00F64A76" w:rsidRDefault="00000000">
      <w:pPr>
        <w:numPr>
          <w:ilvl w:val="0"/>
          <w:numId w:val="4"/>
        </w:numPr>
        <w:spacing w:before="0" w:after="0"/>
      </w:pPr>
      <w:r>
        <w:t xml:space="preserve">Installing low-cost NFC-based loaner devices to digitally marginalized </w:t>
      </w:r>
      <w:proofErr w:type="gramStart"/>
      <w:r>
        <w:t>groups;</w:t>
      </w:r>
      <w:proofErr w:type="gramEnd"/>
    </w:p>
    <w:p w14:paraId="576A3FE0" w14:textId="77777777" w:rsidR="00F64A76" w:rsidRDefault="00000000">
      <w:pPr>
        <w:numPr>
          <w:ilvl w:val="0"/>
          <w:numId w:val="4"/>
        </w:numPr>
        <w:spacing w:before="0" w:after="0"/>
      </w:pPr>
      <w:r>
        <w:t xml:space="preserve">Full compliance with the GDPR and open data-sharing </w:t>
      </w:r>
      <w:proofErr w:type="gramStart"/>
      <w:r>
        <w:t>opportunities;</w:t>
      </w:r>
      <w:proofErr w:type="gramEnd"/>
    </w:p>
    <w:p w14:paraId="22215855" w14:textId="77777777" w:rsidR="00F64A76" w:rsidRDefault="00000000">
      <w:pPr>
        <w:numPr>
          <w:ilvl w:val="0"/>
          <w:numId w:val="4"/>
        </w:numPr>
        <w:spacing w:before="0"/>
      </w:pPr>
      <w:r>
        <w:t>Integrating the system with the use of behavioural-change coaching in the form of short video modules.</w:t>
      </w:r>
    </w:p>
    <w:p w14:paraId="74467431" w14:textId="6AAAF2D8" w:rsidR="00F64A76" w:rsidRDefault="00E81043">
      <w:r w:rsidRPr="00E81043">
        <w:t xml:space="preserve">Overall, a pill-tracking solution based on NFC is a potentially promising, scalable, and evidence-based digital solution that could be applied to promote medication adherence and reduce preventable public-health burden. </w:t>
      </w:r>
      <w:r>
        <w:br w:type="page"/>
      </w:r>
    </w:p>
    <w:p w14:paraId="4DE4684C" w14:textId="77777777" w:rsidR="00F64A76" w:rsidRDefault="00000000">
      <w:pPr>
        <w:pStyle w:val="Heading1"/>
      </w:pPr>
      <w:bookmarkStart w:id="13" w:name="_77tlisp9dk6z" w:colFirst="0" w:colLast="0"/>
      <w:bookmarkStart w:id="14" w:name="_Toc214953223"/>
      <w:bookmarkEnd w:id="13"/>
      <w:r>
        <w:lastRenderedPageBreak/>
        <w:t>References</w:t>
      </w:r>
      <w:bookmarkEnd w:id="14"/>
    </w:p>
    <w:p w14:paraId="5A44E3B8" w14:textId="77777777" w:rsidR="007E79E1" w:rsidRDefault="007E79E1">
      <w:pPr>
        <w:spacing w:before="0" w:after="240"/>
      </w:pPr>
      <w:r>
        <w:t xml:space="preserve">Al, A.Z. (2024). Policy Solutions for Medication Non-Adherence: what can governments do? </w:t>
      </w:r>
      <w:r>
        <w:rPr>
          <w:i/>
          <w:iCs/>
        </w:rPr>
        <w:t>Expert Review of Pharmacoeconomics &amp; Outcomes Research</w:t>
      </w:r>
      <w:r>
        <w:t xml:space="preserve">, 24(7), pp.777–781. </w:t>
      </w:r>
      <w:hyperlink r:id="rId9">
        <w:r>
          <w:rPr>
            <w:color w:val="1155CC"/>
            <w:u w:val="single"/>
          </w:rPr>
          <w:t>https://doi.org/10.1080/14737167.2024.2321242</w:t>
        </w:r>
      </w:hyperlink>
      <w:r>
        <w:t xml:space="preserve">. </w:t>
      </w:r>
    </w:p>
    <w:p w14:paraId="1FE0F3B8" w14:textId="77777777" w:rsidR="007E79E1" w:rsidRDefault="007E79E1">
      <w:pPr>
        <w:rPr>
          <w:highlight w:val="white"/>
        </w:rPr>
      </w:pPr>
      <w:r>
        <w:rPr>
          <w:highlight w:val="white"/>
        </w:rPr>
        <w:t xml:space="preserve">Cclhealthcare. (2025). </w:t>
      </w:r>
      <w:r>
        <w:rPr>
          <w:i/>
          <w:iCs/>
          <w:highlight w:val="white"/>
        </w:rPr>
        <w:t>NFC Medication Adherence</w:t>
      </w:r>
      <w:r>
        <w:rPr>
          <w:highlight w:val="white"/>
        </w:rPr>
        <w:t xml:space="preserve">. cclhealthcare.com. [online]. Available at: </w:t>
      </w:r>
      <w:hyperlink r:id="rId10">
        <w:r>
          <w:rPr>
            <w:color w:val="1155CC"/>
            <w:highlight w:val="white"/>
            <w:u w:val="single"/>
          </w:rPr>
          <w:t>https://cclhealthcare.com/packaging-products/pharmaceutical-labels/smart-and-intelligent-packaging/nfc/nfc-medication-adherence/</w:t>
        </w:r>
      </w:hyperlink>
      <w:r>
        <w:rPr>
          <w:color w:val="222222"/>
          <w:highlight w:val="white"/>
        </w:rPr>
        <w:t xml:space="preserve"> </w:t>
      </w:r>
      <w:r>
        <w:rPr>
          <w:highlight w:val="white"/>
        </w:rPr>
        <w:t>[Accessed 25 Nov. 2025]</w:t>
      </w:r>
    </w:p>
    <w:p w14:paraId="13F2A693" w14:textId="77777777" w:rsidR="007E79E1" w:rsidRDefault="007E79E1">
      <w:pPr>
        <w:rPr>
          <w:color w:val="222222"/>
          <w:highlight w:val="white"/>
        </w:rPr>
      </w:pPr>
      <w:r>
        <w:rPr>
          <w:highlight w:val="white"/>
        </w:rPr>
        <w:t xml:space="preserve">Ebere, O., Ramsurrun, V., Seeam, P., Katsina, P., Anantwar, S., Sharma, M. and Seeam, A., (2022), October. NFC tag-based mHealth patient healthcare tracking system. In </w:t>
      </w:r>
      <w:r>
        <w:rPr>
          <w:i/>
          <w:iCs/>
          <w:highlight w:val="white"/>
        </w:rPr>
        <w:t>2022 3rd International Conference on Next Generation Computing Applications (NextComp)</w:t>
      </w:r>
      <w:r>
        <w:rPr>
          <w:highlight w:val="white"/>
        </w:rPr>
        <w:t xml:space="preserve"> (pp. 1-6). IEEE.</w:t>
      </w:r>
      <w:r>
        <w:rPr>
          <w:color w:val="222222"/>
          <w:highlight w:val="white"/>
        </w:rPr>
        <w:t xml:space="preserve"> </w:t>
      </w:r>
      <w:hyperlink r:id="rId11">
        <w:r>
          <w:rPr>
            <w:color w:val="1155CC"/>
            <w:highlight w:val="white"/>
            <w:u w:val="single"/>
          </w:rPr>
          <w:t>https://doi.org/10.1109/NextComp55567.2022.9932185</w:t>
        </w:r>
      </w:hyperlink>
    </w:p>
    <w:p w14:paraId="5EED08E0" w14:textId="77777777" w:rsidR="007E79E1" w:rsidRDefault="007E79E1">
      <w:pPr>
        <w:rPr>
          <w:color w:val="222222"/>
          <w:highlight w:val="white"/>
        </w:rPr>
      </w:pPr>
      <w:r>
        <w:rPr>
          <w:highlight w:val="white"/>
        </w:rPr>
        <w:t xml:space="preserve">Faisal, S., Samoth, D., Aslam, Y., Patel, H., Park, S., Baby, B. and Patel, T., (2023). Key features of smart medication adherence products: updated scoping review. </w:t>
      </w:r>
      <w:r>
        <w:rPr>
          <w:i/>
          <w:iCs/>
          <w:highlight w:val="white"/>
        </w:rPr>
        <w:t>JMIR aging</w:t>
      </w:r>
      <w:r>
        <w:rPr>
          <w:highlight w:val="white"/>
        </w:rPr>
        <w:t xml:space="preserve">, </w:t>
      </w:r>
      <w:r>
        <w:rPr>
          <w:i/>
          <w:iCs/>
          <w:highlight w:val="white"/>
        </w:rPr>
        <w:t>6</w:t>
      </w:r>
      <w:r>
        <w:rPr>
          <w:highlight w:val="white"/>
        </w:rPr>
        <w:t xml:space="preserve">, p.e50990. </w:t>
      </w:r>
      <w:hyperlink r:id="rId12">
        <w:r>
          <w:rPr>
            <w:color w:val="1155CC"/>
            <w:highlight w:val="white"/>
            <w:u w:val="single"/>
          </w:rPr>
          <w:t>https://doi.org/10.2196/50990</w:t>
        </w:r>
      </w:hyperlink>
    </w:p>
    <w:p w14:paraId="467A7169" w14:textId="77777777" w:rsidR="007E79E1" w:rsidRDefault="007E79E1">
      <w:pPr>
        <w:rPr>
          <w:color w:val="222222"/>
          <w:highlight w:val="white"/>
        </w:rPr>
      </w:pPr>
      <w:r>
        <w:rPr>
          <w:highlight w:val="white"/>
        </w:rPr>
        <w:t xml:space="preserve">Joy, J., Vahab, S., Vinayakan, G., Prasad, M.V. and Rakesh, S., (2021). SIMoP box–a smart intelligent mobile pill box. </w:t>
      </w:r>
      <w:r>
        <w:rPr>
          <w:i/>
          <w:iCs/>
          <w:highlight w:val="white"/>
        </w:rPr>
        <w:t>Materials Today: Proceedings</w:t>
      </w:r>
      <w:r>
        <w:rPr>
          <w:highlight w:val="white"/>
        </w:rPr>
        <w:t xml:space="preserve">, </w:t>
      </w:r>
      <w:r>
        <w:rPr>
          <w:i/>
          <w:iCs/>
          <w:highlight w:val="white"/>
        </w:rPr>
        <w:t>43</w:t>
      </w:r>
      <w:r>
        <w:rPr>
          <w:highlight w:val="white"/>
        </w:rPr>
        <w:t xml:space="preserve">, pp.3610-3619. </w:t>
      </w:r>
      <w:hyperlink r:id="rId13">
        <w:r>
          <w:rPr>
            <w:color w:val="1155CC"/>
            <w:highlight w:val="white"/>
            <w:u w:val="single"/>
          </w:rPr>
          <w:t>https://doi.org/10.1016/j.matpr.2020.09.829</w:t>
        </w:r>
      </w:hyperlink>
    </w:p>
    <w:p w14:paraId="625DA288" w14:textId="77777777" w:rsidR="007E79E1" w:rsidRDefault="007E79E1">
      <w:pPr>
        <w:rPr>
          <w:color w:val="222222"/>
          <w:highlight w:val="white"/>
        </w:rPr>
      </w:pPr>
      <w:r>
        <w:rPr>
          <w:highlight w:val="white"/>
        </w:rPr>
        <w:t xml:space="preserve">Moon, Z. and Walsh, J., (2025). Digital interventions in medication adherence: a narrative review of current evidence and challenges. </w:t>
      </w:r>
      <w:r>
        <w:rPr>
          <w:i/>
          <w:iCs/>
          <w:highlight w:val="white"/>
        </w:rPr>
        <w:t>Frontiers in Pharmacology</w:t>
      </w:r>
      <w:r>
        <w:rPr>
          <w:highlight w:val="white"/>
        </w:rPr>
        <w:t xml:space="preserve">, </w:t>
      </w:r>
      <w:r>
        <w:rPr>
          <w:i/>
          <w:iCs/>
          <w:highlight w:val="white"/>
        </w:rPr>
        <w:t>16</w:t>
      </w:r>
      <w:r>
        <w:rPr>
          <w:highlight w:val="white"/>
        </w:rPr>
        <w:t xml:space="preserve">, p.1632474. </w:t>
      </w:r>
      <w:hyperlink r:id="rId14">
        <w:r>
          <w:rPr>
            <w:color w:val="1155CC"/>
            <w:highlight w:val="white"/>
            <w:u w:val="single"/>
          </w:rPr>
          <w:t>https://doi.org/10.3389/fphar.2025.1632474</w:t>
        </w:r>
      </w:hyperlink>
    </w:p>
    <w:p w14:paraId="3D312FFF" w14:textId="77777777" w:rsidR="007E79E1" w:rsidRDefault="007E79E1">
      <w:pPr>
        <w:rPr>
          <w:color w:val="222222"/>
          <w:highlight w:val="white"/>
        </w:rPr>
      </w:pPr>
      <w:r>
        <w:rPr>
          <w:highlight w:val="white"/>
        </w:rPr>
        <w:t xml:space="preserve">Ngcobo, N.N., (2025). Polypharmacy and Deprescribing Among Geriatric Patients. </w:t>
      </w:r>
      <w:r>
        <w:rPr>
          <w:i/>
          <w:iCs/>
          <w:highlight w:val="white"/>
        </w:rPr>
        <w:t>Aging and Health Research</w:t>
      </w:r>
      <w:r>
        <w:rPr>
          <w:highlight w:val="white"/>
        </w:rPr>
        <w:t>, p.100256.</w:t>
      </w:r>
      <w:r>
        <w:rPr>
          <w:color w:val="222222"/>
          <w:highlight w:val="white"/>
        </w:rPr>
        <w:t xml:space="preserve"> </w:t>
      </w:r>
      <w:hyperlink r:id="rId15">
        <w:r>
          <w:rPr>
            <w:color w:val="1155CC"/>
            <w:highlight w:val="white"/>
            <w:u w:val="single"/>
          </w:rPr>
          <w:t>https://doi.org/10.1016/j.ahr.2025.100256</w:t>
        </w:r>
      </w:hyperlink>
    </w:p>
    <w:p w14:paraId="230B1564" w14:textId="77777777" w:rsidR="007E79E1" w:rsidRDefault="007E79E1">
      <w:pPr>
        <w:rPr>
          <w:color w:val="222222"/>
          <w:highlight w:val="white"/>
        </w:rPr>
      </w:pPr>
      <w:r>
        <w:rPr>
          <w:highlight w:val="white"/>
        </w:rPr>
        <w:t xml:space="preserve">Peng, Y., Wang, H., Fang, Q., Xie, L., Shu, L., Sun, W. and Liu, Q., (2020). Effectiveness of mobile applications on medication adherence in adults with chronic diseases: a systematic review and meta-analysis. </w:t>
      </w:r>
      <w:r>
        <w:rPr>
          <w:i/>
          <w:iCs/>
          <w:highlight w:val="white"/>
        </w:rPr>
        <w:t>Journal of managed care &amp; specialty pharmacy</w:t>
      </w:r>
      <w:r>
        <w:rPr>
          <w:highlight w:val="white"/>
        </w:rPr>
        <w:t xml:space="preserve">, </w:t>
      </w:r>
      <w:r>
        <w:rPr>
          <w:i/>
          <w:iCs/>
          <w:highlight w:val="white"/>
        </w:rPr>
        <w:t>26</w:t>
      </w:r>
      <w:r>
        <w:rPr>
          <w:highlight w:val="white"/>
        </w:rPr>
        <w:t xml:space="preserve">(4), pp.550-561. </w:t>
      </w:r>
      <w:hyperlink r:id="rId16">
        <w:r>
          <w:rPr>
            <w:color w:val="1155CC"/>
            <w:highlight w:val="white"/>
            <w:u w:val="single"/>
          </w:rPr>
          <w:t>https://doi.org/10.18553/jmcp.2020.26.4.550</w:t>
        </w:r>
      </w:hyperlink>
    </w:p>
    <w:p w14:paraId="7B40694D" w14:textId="77777777" w:rsidR="007E79E1" w:rsidRDefault="007E79E1">
      <w:pPr>
        <w:spacing w:before="0" w:after="240"/>
      </w:pPr>
      <w:r>
        <w:lastRenderedPageBreak/>
        <w:t xml:space="preserve">Pruitt, S.D., Khan, R., Chaiyakunapruk, N., Phrommintikul, A., Aguilera, M.A.D., Tan, N.C., Afzal, S., da Silva van der Laan, A. and Weinman, J. (2025). The silent epidemic of non-adherence – insights from the 2024 </w:t>
      </w:r>
      <w:proofErr w:type="gramStart"/>
      <w:r>
        <w:t>a:care</w:t>
      </w:r>
      <w:proofErr w:type="gramEnd"/>
      <w:r>
        <w:t xml:space="preserve"> congress. </w:t>
      </w:r>
      <w:r>
        <w:rPr>
          <w:i/>
          <w:iCs/>
        </w:rPr>
        <w:t>BMC Proceedings</w:t>
      </w:r>
      <w:r>
        <w:t xml:space="preserve">, 19(S10). </w:t>
      </w:r>
      <w:hyperlink r:id="rId17">
        <w:r>
          <w:rPr>
            <w:color w:val="1155CC"/>
            <w:u w:val="single"/>
          </w:rPr>
          <w:t>https://doi.org/10.1186/s12919-025-00326-4</w:t>
        </w:r>
      </w:hyperlink>
      <w:r>
        <w:t xml:space="preserve">. </w:t>
      </w:r>
    </w:p>
    <w:p w14:paraId="7114B637" w14:textId="77777777" w:rsidR="007E79E1" w:rsidRDefault="007E79E1">
      <w:pPr>
        <w:spacing w:before="0" w:after="240"/>
      </w:pPr>
      <w:r>
        <w:t xml:space="preserve">Religioni, U., Barrios-Rodríguez, R., Requena, P., Borowska, M. and Ostrowski, J. (2025). Enhancing therapy adherence: Impact on clinical outcomes, healthcare costs, and patient quality of life. </w:t>
      </w:r>
      <w:r>
        <w:rPr>
          <w:i/>
          <w:iCs/>
        </w:rPr>
        <w:t>Medicina</w:t>
      </w:r>
      <w:r>
        <w:t xml:space="preserve">, [online] 61(1), pp.153–153. </w:t>
      </w:r>
      <w:hyperlink r:id="rId18">
        <w:r>
          <w:rPr>
            <w:color w:val="1155CC"/>
            <w:u w:val="single"/>
          </w:rPr>
          <w:t>https://doi.org/10.3390/medicina61010153</w:t>
        </w:r>
      </w:hyperlink>
      <w:r>
        <w:t xml:space="preserve">. </w:t>
      </w:r>
    </w:p>
    <w:p w14:paraId="429F56F0" w14:textId="77777777" w:rsidR="007E79E1" w:rsidRDefault="007E79E1">
      <w:pPr>
        <w:rPr>
          <w:color w:val="222222"/>
          <w:highlight w:val="white"/>
        </w:rPr>
      </w:pPr>
      <w:r>
        <w:rPr>
          <w:highlight w:val="white"/>
        </w:rPr>
        <w:t xml:space="preserve">Shahani, A., Nieva, H.R., Czado, K., Shannon, E., Gaetani, R., Gresham, M., Garcia, J.C., Ganesan, H., Cerciello, E., Dave, J. and Jain, R., (2022). An electronic pillbox intervention designed to improve medication safety during care transitions: challenges and lessons learned regarding implementation and evaluation. </w:t>
      </w:r>
      <w:r>
        <w:rPr>
          <w:i/>
          <w:iCs/>
          <w:highlight w:val="white"/>
        </w:rPr>
        <w:t>BMC health services research</w:t>
      </w:r>
      <w:r>
        <w:rPr>
          <w:highlight w:val="white"/>
        </w:rPr>
        <w:t xml:space="preserve">, </w:t>
      </w:r>
      <w:r>
        <w:rPr>
          <w:i/>
          <w:iCs/>
          <w:highlight w:val="white"/>
        </w:rPr>
        <w:t>22</w:t>
      </w:r>
      <w:r>
        <w:rPr>
          <w:highlight w:val="white"/>
        </w:rPr>
        <w:t>(1), p.1304.</w:t>
      </w:r>
      <w:r>
        <w:rPr>
          <w:color w:val="222222"/>
          <w:highlight w:val="white"/>
        </w:rPr>
        <w:t xml:space="preserve"> </w:t>
      </w:r>
      <w:hyperlink r:id="rId19">
        <w:r>
          <w:rPr>
            <w:color w:val="1155CC"/>
            <w:highlight w:val="white"/>
            <w:u w:val="single"/>
          </w:rPr>
          <w:t>https://doi.org/10.1186/s12913-022-08702-y</w:t>
        </w:r>
      </w:hyperlink>
    </w:p>
    <w:p w14:paraId="3042131B" w14:textId="77777777" w:rsidR="00F64A76" w:rsidRDefault="00F64A76">
      <w:pPr>
        <w:rPr>
          <w:rFonts w:ascii="Arial" w:eastAsia="Arial" w:hAnsi="Arial" w:cs="Arial"/>
          <w:color w:val="222222"/>
          <w:sz w:val="20"/>
          <w:szCs w:val="20"/>
          <w:highlight w:val="white"/>
        </w:rPr>
      </w:pPr>
    </w:p>
    <w:sectPr w:rsidR="00F64A76" w:rsidSect="00980C1E">
      <w:footerReference w:type="default" r:id="rId2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378ED" w14:textId="77777777" w:rsidR="006217AC" w:rsidRDefault="006217AC" w:rsidP="007E79E1">
      <w:pPr>
        <w:spacing w:before="0" w:after="0" w:line="240" w:lineRule="auto"/>
      </w:pPr>
      <w:r>
        <w:separator/>
      </w:r>
    </w:p>
  </w:endnote>
  <w:endnote w:type="continuationSeparator" w:id="0">
    <w:p w14:paraId="1AAF8DA1" w14:textId="77777777" w:rsidR="006217AC" w:rsidRDefault="006217AC" w:rsidP="007E79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316D6F5-233E-48E9-B770-013522EB19B4}"/>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BA9FB724-1023-4667-A245-6E22B8031A7F}"/>
  </w:font>
  <w:font w:name="Cambria">
    <w:panose1 w:val="02040503050406030204"/>
    <w:charset w:val="00"/>
    <w:family w:val="roman"/>
    <w:pitch w:val="variable"/>
    <w:sig w:usb0="E00006FF" w:usb1="420024FF" w:usb2="02000000" w:usb3="00000000" w:csb0="0000019F" w:csb1="00000000"/>
    <w:embedRegular r:id="rId3" w:fontKey="{7F7D7E9B-99C7-467A-B33D-2DE19DF3ACB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305486"/>
      <w:docPartObj>
        <w:docPartGallery w:val="Page Numbers (Bottom of Page)"/>
        <w:docPartUnique/>
      </w:docPartObj>
    </w:sdtPr>
    <w:sdtEndPr>
      <w:rPr>
        <w:sz w:val="20"/>
        <w:szCs w:val="20"/>
      </w:rPr>
    </w:sdtEndPr>
    <w:sdtContent>
      <w:p w14:paraId="755C1C82" w14:textId="0D99D624" w:rsidR="007E79E1" w:rsidRPr="007E79E1" w:rsidRDefault="007E79E1">
        <w:pPr>
          <w:pStyle w:val="Footer"/>
          <w:jc w:val="right"/>
          <w:rPr>
            <w:sz w:val="20"/>
            <w:szCs w:val="20"/>
          </w:rPr>
        </w:pPr>
        <w:r w:rsidRPr="007E79E1">
          <w:rPr>
            <w:sz w:val="20"/>
            <w:szCs w:val="20"/>
          </w:rPr>
          <w:fldChar w:fldCharType="begin"/>
        </w:r>
        <w:r w:rsidRPr="007E79E1">
          <w:rPr>
            <w:sz w:val="20"/>
            <w:szCs w:val="20"/>
          </w:rPr>
          <w:instrText>PAGE   \* MERGEFORMAT</w:instrText>
        </w:r>
        <w:r w:rsidRPr="007E79E1">
          <w:rPr>
            <w:sz w:val="20"/>
            <w:szCs w:val="20"/>
          </w:rPr>
          <w:fldChar w:fldCharType="separate"/>
        </w:r>
        <w:r w:rsidRPr="007E79E1">
          <w:rPr>
            <w:sz w:val="20"/>
            <w:szCs w:val="20"/>
            <w:lang w:val="en-GB"/>
          </w:rPr>
          <w:t>2</w:t>
        </w:r>
        <w:r w:rsidRPr="007E79E1">
          <w:rPr>
            <w:sz w:val="20"/>
            <w:szCs w:val="20"/>
          </w:rPr>
          <w:fldChar w:fldCharType="end"/>
        </w:r>
      </w:p>
    </w:sdtContent>
  </w:sdt>
  <w:p w14:paraId="44579365" w14:textId="77777777" w:rsidR="007E79E1" w:rsidRDefault="007E7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22F62" w14:textId="77777777" w:rsidR="006217AC" w:rsidRDefault="006217AC" w:rsidP="007E79E1">
      <w:pPr>
        <w:spacing w:before="0" w:after="0" w:line="240" w:lineRule="auto"/>
      </w:pPr>
      <w:r>
        <w:separator/>
      </w:r>
    </w:p>
  </w:footnote>
  <w:footnote w:type="continuationSeparator" w:id="0">
    <w:p w14:paraId="0C4CA6B8" w14:textId="77777777" w:rsidR="006217AC" w:rsidRDefault="006217AC" w:rsidP="007E79E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6213C"/>
    <w:multiLevelType w:val="multilevel"/>
    <w:tmpl w:val="453EE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BB0689"/>
    <w:multiLevelType w:val="multilevel"/>
    <w:tmpl w:val="C2F25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F96DDC"/>
    <w:multiLevelType w:val="multilevel"/>
    <w:tmpl w:val="1D2A2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1B5F89"/>
    <w:multiLevelType w:val="multilevel"/>
    <w:tmpl w:val="A262F1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486B33"/>
    <w:multiLevelType w:val="hybridMultilevel"/>
    <w:tmpl w:val="8DA6A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96F5A"/>
    <w:multiLevelType w:val="multilevel"/>
    <w:tmpl w:val="624A4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496A62"/>
    <w:multiLevelType w:val="multilevel"/>
    <w:tmpl w:val="E098E7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815C98"/>
    <w:multiLevelType w:val="hybridMultilevel"/>
    <w:tmpl w:val="FCBA1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7749647">
    <w:abstractNumId w:val="2"/>
  </w:num>
  <w:num w:numId="2" w16cid:durableId="2055423095">
    <w:abstractNumId w:val="6"/>
  </w:num>
  <w:num w:numId="3" w16cid:durableId="1284188918">
    <w:abstractNumId w:val="5"/>
  </w:num>
  <w:num w:numId="4" w16cid:durableId="1906796743">
    <w:abstractNumId w:val="3"/>
  </w:num>
  <w:num w:numId="5" w16cid:durableId="380056835">
    <w:abstractNumId w:val="0"/>
  </w:num>
  <w:num w:numId="6" w16cid:durableId="1834300761">
    <w:abstractNumId w:val="1"/>
  </w:num>
  <w:num w:numId="7" w16cid:durableId="69425877">
    <w:abstractNumId w:val="4"/>
  </w:num>
  <w:num w:numId="8" w16cid:durableId="1820909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A76"/>
    <w:rsid w:val="00005FDE"/>
    <w:rsid w:val="000737DB"/>
    <w:rsid w:val="000B40ED"/>
    <w:rsid w:val="00132161"/>
    <w:rsid w:val="001C4EE9"/>
    <w:rsid w:val="00216ED2"/>
    <w:rsid w:val="003E6A39"/>
    <w:rsid w:val="00485303"/>
    <w:rsid w:val="004E685A"/>
    <w:rsid w:val="00525D5B"/>
    <w:rsid w:val="006217AC"/>
    <w:rsid w:val="00660170"/>
    <w:rsid w:val="00684119"/>
    <w:rsid w:val="007E79E1"/>
    <w:rsid w:val="00980C1E"/>
    <w:rsid w:val="00AA7CCA"/>
    <w:rsid w:val="00BC1155"/>
    <w:rsid w:val="00DB4F09"/>
    <w:rsid w:val="00E81043"/>
    <w:rsid w:val="00F64A76"/>
    <w:rsid w:val="00FC3F54"/>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09A5C"/>
  <w15:docId w15:val="{07AC2FC2-4236-4582-B42C-30D790E3F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7E79E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E79E1"/>
  </w:style>
  <w:style w:type="paragraph" w:styleId="Footer">
    <w:name w:val="footer"/>
    <w:basedOn w:val="Normal"/>
    <w:link w:val="FooterChar"/>
    <w:uiPriority w:val="99"/>
    <w:unhideWhenUsed/>
    <w:rsid w:val="007E79E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E79E1"/>
  </w:style>
  <w:style w:type="paragraph" w:styleId="TOCHeading">
    <w:name w:val="TOC Heading"/>
    <w:basedOn w:val="Heading1"/>
    <w:next w:val="Normal"/>
    <w:uiPriority w:val="39"/>
    <w:unhideWhenUsed/>
    <w:qFormat/>
    <w:rsid w:val="000737D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0737DB"/>
    <w:pPr>
      <w:spacing w:after="100"/>
    </w:pPr>
  </w:style>
  <w:style w:type="character" w:styleId="Hyperlink">
    <w:name w:val="Hyperlink"/>
    <w:basedOn w:val="DefaultParagraphFont"/>
    <w:uiPriority w:val="99"/>
    <w:unhideWhenUsed/>
    <w:rsid w:val="000737DB"/>
    <w:rPr>
      <w:color w:val="0000FF" w:themeColor="hyperlink"/>
      <w:u w:val="single"/>
    </w:rPr>
  </w:style>
  <w:style w:type="paragraph" w:styleId="ListParagraph">
    <w:name w:val="List Paragraph"/>
    <w:basedOn w:val="Normal"/>
    <w:uiPriority w:val="34"/>
    <w:qFormat/>
    <w:rsid w:val="006841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matpr.2020.09.829" TargetMode="External"/><Relationship Id="rId18" Type="http://schemas.openxmlformats.org/officeDocument/2006/relationships/hyperlink" Target="https://doi.org/10.3390/medicina6101015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2196/50990" TargetMode="External"/><Relationship Id="rId17" Type="http://schemas.openxmlformats.org/officeDocument/2006/relationships/hyperlink" Target="https://doi.org/10.1186/s12919-025-00326-4" TargetMode="External"/><Relationship Id="rId2" Type="http://schemas.openxmlformats.org/officeDocument/2006/relationships/numbering" Target="numbering.xml"/><Relationship Id="rId16" Type="http://schemas.openxmlformats.org/officeDocument/2006/relationships/hyperlink" Target="https://doi.org/10.18553/jmcp.2020.26.4.55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9/NextComp55567.2022.9932185" TargetMode="External"/><Relationship Id="rId5" Type="http://schemas.openxmlformats.org/officeDocument/2006/relationships/webSettings" Target="webSettings.xml"/><Relationship Id="rId15" Type="http://schemas.openxmlformats.org/officeDocument/2006/relationships/hyperlink" Target="https://doi.org/10.1016/j.ahr.2025.100256" TargetMode="External"/><Relationship Id="rId10" Type="http://schemas.openxmlformats.org/officeDocument/2006/relationships/hyperlink" Target="https://cclhealthcare.com/packaging-products/pharmaceutical-labels/smart-and-intelligent-packaging/nfc/nfc-medication-adherence/" TargetMode="External"/><Relationship Id="rId19" Type="http://schemas.openxmlformats.org/officeDocument/2006/relationships/hyperlink" Target="https://doi.org/10.1186/s12913-022-08702-y" TargetMode="External"/><Relationship Id="rId4" Type="http://schemas.openxmlformats.org/officeDocument/2006/relationships/settings" Target="settings.xml"/><Relationship Id="rId9" Type="http://schemas.openxmlformats.org/officeDocument/2006/relationships/hyperlink" Target="https://doi.org/10.1080/14737167.2024.2321242" TargetMode="External"/><Relationship Id="rId14" Type="http://schemas.openxmlformats.org/officeDocument/2006/relationships/hyperlink" Target="https://doi.org/10.3389/fphar.2025.1632474"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2542A-CB79-4DB1-973D-B841954EF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1643</Words>
  <Characters>10403</Characters>
  <Application>Microsoft Office Word</Application>
  <DocSecurity>0</DocSecurity>
  <Lines>200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15</cp:revision>
  <dcterms:created xsi:type="dcterms:W3CDTF">2025-11-25T03:21:00Z</dcterms:created>
  <dcterms:modified xsi:type="dcterms:W3CDTF">2025-11-26T18:18:00Z</dcterms:modified>
</cp:coreProperties>
</file>