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AE9CC" w14:textId="77777777" w:rsidR="00991A80" w:rsidRDefault="00991A80" w:rsidP="00991A80">
      <w:pPr>
        <w:jc w:val="center"/>
        <w:rPr>
          <w:rFonts w:ascii="Arial" w:hAnsi="Arial" w:cs="Arial"/>
          <w:b/>
          <w:bCs/>
          <w:sz w:val="28"/>
          <w:szCs w:val="28"/>
        </w:rPr>
      </w:pPr>
    </w:p>
    <w:p w14:paraId="353F8E7B" w14:textId="77777777" w:rsidR="00991A80" w:rsidRDefault="00991A80" w:rsidP="00991A80">
      <w:pPr>
        <w:jc w:val="center"/>
        <w:rPr>
          <w:rFonts w:ascii="Arial" w:hAnsi="Arial" w:cs="Arial"/>
          <w:b/>
          <w:bCs/>
          <w:sz w:val="28"/>
          <w:szCs w:val="28"/>
        </w:rPr>
      </w:pPr>
    </w:p>
    <w:p w14:paraId="47B1BF8D" w14:textId="6249D1DC" w:rsidR="00362084" w:rsidRDefault="00991A80" w:rsidP="00991A80">
      <w:pPr>
        <w:jc w:val="center"/>
        <w:rPr>
          <w:rFonts w:ascii="Arial" w:hAnsi="Arial" w:cs="Arial"/>
          <w:b/>
          <w:bCs/>
          <w:sz w:val="28"/>
          <w:szCs w:val="28"/>
        </w:rPr>
      </w:pPr>
      <w:r>
        <w:rPr>
          <w:rFonts w:ascii="Arial" w:hAnsi="Arial" w:cs="Arial"/>
          <w:b/>
          <w:bCs/>
          <w:sz w:val="28"/>
          <w:szCs w:val="28"/>
        </w:rPr>
        <w:t>ECPS5010</w:t>
      </w:r>
    </w:p>
    <w:p w14:paraId="4504C235" w14:textId="70F766AA" w:rsidR="00991A80" w:rsidRDefault="00991A80" w:rsidP="00991A80">
      <w:pPr>
        <w:jc w:val="center"/>
        <w:rPr>
          <w:rFonts w:ascii="Arial" w:hAnsi="Arial" w:cs="Arial"/>
          <w:b/>
          <w:bCs/>
          <w:sz w:val="28"/>
          <w:szCs w:val="28"/>
        </w:rPr>
      </w:pPr>
    </w:p>
    <w:p w14:paraId="5E2A70CE" w14:textId="02528524" w:rsidR="00991A80" w:rsidRDefault="00991A80" w:rsidP="00991A80">
      <w:pPr>
        <w:jc w:val="center"/>
        <w:rPr>
          <w:rFonts w:ascii="Arial" w:hAnsi="Arial" w:cs="Arial"/>
          <w:b/>
          <w:bCs/>
          <w:sz w:val="28"/>
          <w:szCs w:val="28"/>
        </w:rPr>
      </w:pPr>
    </w:p>
    <w:p w14:paraId="32CA74DF" w14:textId="1BF24ABC" w:rsidR="003C7B5C" w:rsidRDefault="003C7B5C" w:rsidP="00991A80">
      <w:pPr>
        <w:jc w:val="center"/>
        <w:rPr>
          <w:rFonts w:ascii="Arial" w:hAnsi="Arial" w:cs="Arial"/>
          <w:b/>
          <w:bCs/>
          <w:sz w:val="28"/>
          <w:szCs w:val="28"/>
        </w:rPr>
      </w:pPr>
    </w:p>
    <w:p w14:paraId="3929CFDC" w14:textId="77777777" w:rsidR="003C7B5C" w:rsidRDefault="003C7B5C" w:rsidP="00991A80">
      <w:pPr>
        <w:jc w:val="center"/>
        <w:rPr>
          <w:rFonts w:ascii="Arial" w:hAnsi="Arial" w:cs="Arial"/>
          <w:b/>
          <w:bCs/>
          <w:sz w:val="28"/>
          <w:szCs w:val="28"/>
        </w:rPr>
      </w:pPr>
    </w:p>
    <w:p w14:paraId="4F2BDA8C" w14:textId="77777777" w:rsidR="00991A80" w:rsidRDefault="00991A80" w:rsidP="00991A80">
      <w:pPr>
        <w:jc w:val="center"/>
        <w:rPr>
          <w:rFonts w:ascii="Arial" w:hAnsi="Arial" w:cs="Arial"/>
          <w:b/>
          <w:bCs/>
          <w:sz w:val="28"/>
          <w:szCs w:val="28"/>
        </w:rPr>
      </w:pPr>
    </w:p>
    <w:p w14:paraId="7A8851F2" w14:textId="7B11E8AF" w:rsidR="00991A80" w:rsidRDefault="00991A80" w:rsidP="00991A80">
      <w:pPr>
        <w:jc w:val="center"/>
        <w:rPr>
          <w:rFonts w:ascii="Arial" w:hAnsi="Arial" w:cs="Arial"/>
          <w:b/>
          <w:bCs/>
          <w:sz w:val="28"/>
          <w:szCs w:val="28"/>
        </w:rPr>
      </w:pPr>
      <w:r>
        <w:rPr>
          <w:rFonts w:ascii="Arial" w:hAnsi="Arial" w:cs="Arial"/>
          <w:b/>
          <w:bCs/>
          <w:sz w:val="28"/>
          <w:szCs w:val="28"/>
        </w:rPr>
        <w:t>Critically exploring the application of Cognitive Behavioural Therapy with the client</w:t>
      </w:r>
    </w:p>
    <w:p w14:paraId="79187004" w14:textId="398E3FC4" w:rsidR="00991A80" w:rsidRDefault="00991A80" w:rsidP="00991A80">
      <w:pPr>
        <w:jc w:val="center"/>
        <w:rPr>
          <w:rFonts w:ascii="Arial" w:hAnsi="Arial" w:cs="Arial"/>
          <w:b/>
          <w:bCs/>
          <w:sz w:val="28"/>
          <w:szCs w:val="28"/>
        </w:rPr>
      </w:pPr>
    </w:p>
    <w:p w14:paraId="213114DA" w14:textId="72F9B015" w:rsidR="00991A80" w:rsidRDefault="00991A80" w:rsidP="00991A80">
      <w:pPr>
        <w:jc w:val="center"/>
        <w:rPr>
          <w:rFonts w:ascii="Arial" w:hAnsi="Arial" w:cs="Arial"/>
          <w:b/>
          <w:bCs/>
          <w:sz w:val="28"/>
          <w:szCs w:val="28"/>
        </w:rPr>
      </w:pPr>
    </w:p>
    <w:p w14:paraId="6FE4FB01" w14:textId="3E7E4C6D" w:rsidR="00991A80" w:rsidRDefault="00991A80" w:rsidP="00991A80">
      <w:pPr>
        <w:jc w:val="center"/>
        <w:rPr>
          <w:rFonts w:ascii="Arial" w:hAnsi="Arial" w:cs="Arial"/>
          <w:b/>
          <w:bCs/>
          <w:sz w:val="28"/>
          <w:szCs w:val="28"/>
        </w:rPr>
      </w:pPr>
    </w:p>
    <w:p w14:paraId="0E46BD34" w14:textId="4AD531EE" w:rsidR="00991A80" w:rsidRDefault="00991A80" w:rsidP="00991A80">
      <w:pPr>
        <w:jc w:val="center"/>
        <w:rPr>
          <w:rFonts w:ascii="Arial" w:hAnsi="Arial" w:cs="Arial"/>
          <w:b/>
          <w:bCs/>
          <w:sz w:val="28"/>
          <w:szCs w:val="28"/>
        </w:rPr>
      </w:pPr>
    </w:p>
    <w:p w14:paraId="6FE96095" w14:textId="672B2E43" w:rsidR="00991A80" w:rsidRDefault="00991A80" w:rsidP="00991A80">
      <w:pPr>
        <w:jc w:val="center"/>
        <w:rPr>
          <w:rFonts w:ascii="Arial" w:hAnsi="Arial" w:cs="Arial"/>
          <w:b/>
          <w:bCs/>
          <w:sz w:val="28"/>
          <w:szCs w:val="28"/>
        </w:rPr>
      </w:pPr>
    </w:p>
    <w:p w14:paraId="7E9A9D2C" w14:textId="0C8CA337" w:rsidR="00991A80" w:rsidRDefault="00991A80" w:rsidP="00991A80">
      <w:pPr>
        <w:jc w:val="center"/>
        <w:rPr>
          <w:rFonts w:ascii="Arial" w:hAnsi="Arial" w:cs="Arial"/>
          <w:b/>
          <w:bCs/>
          <w:sz w:val="28"/>
          <w:szCs w:val="28"/>
        </w:rPr>
      </w:pPr>
    </w:p>
    <w:p w14:paraId="0A5E1CC5" w14:textId="57827659" w:rsidR="00991A80" w:rsidRDefault="00991A80" w:rsidP="00991A80">
      <w:pPr>
        <w:jc w:val="center"/>
        <w:rPr>
          <w:rFonts w:ascii="Arial" w:hAnsi="Arial" w:cs="Arial"/>
          <w:b/>
          <w:bCs/>
          <w:sz w:val="28"/>
          <w:szCs w:val="28"/>
        </w:rPr>
      </w:pPr>
    </w:p>
    <w:p w14:paraId="43032ACB" w14:textId="6B8D8E40" w:rsidR="00991A80" w:rsidRDefault="00991A80" w:rsidP="00991A80">
      <w:pPr>
        <w:jc w:val="center"/>
        <w:rPr>
          <w:rFonts w:ascii="Arial" w:hAnsi="Arial" w:cs="Arial"/>
          <w:b/>
          <w:bCs/>
          <w:sz w:val="28"/>
          <w:szCs w:val="28"/>
        </w:rPr>
      </w:pPr>
    </w:p>
    <w:p w14:paraId="30972BA8" w14:textId="32728FFE" w:rsidR="00991A80" w:rsidRDefault="00991A80" w:rsidP="00991A80">
      <w:pPr>
        <w:jc w:val="center"/>
        <w:rPr>
          <w:rFonts w:ascii="Arial" w:hAnsi="Arial" w:cs="Arial"/>
          <w:b/>
          <w:bCs/>
          <w:sz w:val="28"/>
          <w:szCs w:val="28"/>
        </w:rPr>
      </w:pPr>
    </w:p>
    <w:p w14:paraId="700AD372" w14:textId="6A5EA3E3" w:rsidR="00991A80" w:rsidRDefault="00991A80" w:rsidP="00991A80">
      <w:pPr>
        <w:jc w:val="center"/>
        <w:rPr>
          <w:rFonts w:ascii="Arial" w:hAnsi="Arial" w:cs="Arial"/>
          <w:b/>
          <w:bCs/>
          <w:sz w:val="28"/>
          <w:szCs w:val="28"/>
        </w:rPr>
      </w:pPr>
    </w:p>
    <w:p w14:paraId="4BC235D3" w14:textId="7497AAE1" w:rsidR="00991A80" w:rsidRDefault="00991A80" w:rsidP="00991A80">
      <w:pPr>
        <w:jc w:val="center"/>
        <w:rPr>
          <w:rFonts w:ascii="Arial" w:hAnsi="Arial" w:cs="Arial"/>
          <w:b/>
          <w:bCs/>
          <w:sz w:val="28"/>
          <w:szCs w:val="28"/>
        </w:rPr>
      </w:pPr>
    </w:p>
    <w:p w14:paraId="798361A9" w14:textId="40468E33" w:rsidR="00991A80" w:rsidRDefault="00991A80" w:rsidP="00991A80">
      <w:pPr>
        <w:jc w:val="center"/>
        <w:rPr>
          <w:rFonts w:ascii="Arial" w:hAnsi="Arial" w:cs="Arial"/>
          <w:b/>
          <w:bCs/>
          <w:sz w:val="28"/>
          <w:szCs w:val="28"/>
        </w:rPr>
      </w:pPr>
    </w:p>
    <w:p w14:paraId="6DCA1377" w14:textId="7C59AD5E" w:rsidR="00991A80" w:rsidRDefault="00991A80" w:rsidP="00991A80">
      <w:pPr>
        <w:jc w:val="center"/>
        <w:rPr>
          <w:rFonts w:ascii="Arial" w:hAnsi="Arial" w:cs="Arial"/>
          <w:b/>
          <w:bCs/>
          <w:sz w:val="28"/>
          <w:szCs w:val="28"/>
        </w:rPr>
      </w:pPr>
    </w:p>
    <w:p w14:paraId="175CFA25" w14:textId="64F50ED1" w:rsidR="00991A80" w:rsidRDefault="00991A80" w:rsidP="00991A80">
      <w:pPr>
        <w:jc w:val="center"/>
        <w:rPr>
          <w:rFonts w:ascii="Arial" w:hAnsi="Arial" w:cs="Arial"/>
          <w:b/>
          <w:bCs/>
          <w:sz w:val="28"/>
          <w:szCs w:val="28"/>
        </w:rPr>
      </w:pPr>
    </w:p>
    <w:p w14:paraId="28465CAA" w14:textId="2E5DBF73" w:rsidR="00991A80" w:rsidRDefault="00991A80" w:rsidP="00991A80">
      <w:pPr>
        <w:jc w:val="center"/>
        <w:rPr>
          <w:rFonts w:ascii="Arial" w:hAnsi="Arial" w:cs="Arial"/>
          <w:b/>
          <w:bCs/>
          <w:sz w:val="28"/>
          <w:szCs w:val="28"/>
        </w:rPr>
      </w:pPr>
    </w:p>
    <w:p w14:paraId="5D866283" w14:textId="077E1D3A" w:rsidR="00991A80" w:rsidRDefault="00991A80" w:rsidP="00991A80">
      <w:pPr>
        <w:jc w:val="center"/>
        <w:rPr>
          <w:rFonts w:ascii="Arial" w:hAnsi="Arial" w:cs="Arial"/>
          <w:b/>
          <w:bCs/>
          <w:sz w:val="28"/>
          <w:szCs w:val="28"/>
        </w:rPr>
      </w:pPr>
    </w:p>
    <w:p w14:paraId="0C33E130" w14:textId="3D529ADF" w:rsidR="00991A80" w:rsidRDefault="00991A80" w:rsidP="00991A80">
      <w:pPr>
        <w:jc w:val="center"/>
        <w:rPr>
          <w:rFonts w:ascii="Arial" w:hAnsi="Arial" w:cs="Arial"/>
          <w:b/>
          <w:bCs/>
          <w:sz w:val="28"/>
          <w:szCs w:val="28"/>
        </w:rPr>
      </w:pPr>
    </w:p>
    <w:p w14:paraId="250C2BD7" w14:textId="5EFA8DE0" w:rsidR="00991A80" w:rsidRDefault="00991A80" w:rsidP="00991A80">
      <w:pPr>
        <w:jc w:val="center"/>
        <w:rPr>
          <w:rFonts w:ascii="Arial" w:hAnsi="Arial" w:cs="Arial"/>
          <w:b/>
          <w:bCs/>
          <w:sz w:val="28"/>
          <w:szCs w:val="28"/>
        </w:rPr>
      </w:pPr>
    </w:p>
    <w:p w14:paraId="4D21C21C" w14:textId="2320900E" w:rsidR="00991A80" w:rsidRDefault="00991A80" w:rsidP="00991A80">
      <w:pPr>
        <w:jc w:val="center"/>
        <w:rPr>
          <w:rFonts w:ascii="Arial" w:hAnsi="Arial" w:cs="Arial"/>
          <w:b/>
          <w:bCs/>
          <w:sz w:val="28"/>
          <w:szCs w:val="28"/>
        </w:rPr>
      </w:pPr>
    </w:p>
    <w:p w14:paraId="3343216F" w14:textId="31666994" w:rsidR="00991A80" w:rsidRDefault="00991A80" w:rsidP="00991A80">
      <w:pPr>
        <w:jc w:val="center"/>
        <w:rPr>
          <w:rFonts w:ascii="Arial" w:hAnsi="Arial" w:cs="Arial"/>
          <w:b/>
          <w:bCs/>
          <w:sz w:val="28"/>
          <w:szCs w:val="28"/>
        </w:rPr>
      </w:pPr>
    </w:p>
    <w:p w14:paraId="40ED2CD4" w14:textId="6C8941BD" w:rsidR="00991A80" w:rsidRDefault="00345C34" w:rsidP="001C2F0B">
      <w:pPr>
        <w:spacing w:line="480" w:lineRule="auto"/>
        <w:ind w:firstLine="720"/>
        <w:jc w:val="both"/>
        <w:rPr>
          <w:rFonts w:ascii="Arial" w:hAnsi="Arial" w:cs="Arial"/>
          <w:sz w:val="24"/>
          <w:szCs w:val="24"/>
        </w:rPr>
      </w:pPr>
      <w:r>
        <w:rPr>
          <w:rFonts w:ascii="Arial" w:hAnsi="Arial" w:cs="Arial"/>
          <w:sz w:val="24"/>
          <w:szCs w:val="24"/>
        </w:rPr>
        <w:t>Cognitive behavioural therapy is a therapeutic approach that revolves around the objective of assisting the client to learn to manage issues by way of amending behaviours, perceptions and how they interact with their relationships and environments</w:t>
      </w:r>
      <w:r w:rsidR="008901D1">
        <w:rPr>
          <w:rFonts w:ascii="Arial" w:hAnsi="Arial" w:cs="Arial"/>
          <w:sz w:val="24"/>
          <w:szCs w:val="24"/>
        </w:rPr>
        <w:t xml:space="preserve"> (Misciagna, 2020)</w:t>
      </w:r>
      <w:r>
        <w:rPr>
          <w:rFonts w:ascii="Arial" w:hAnsi="Arial" w:cs="Arial"/>
          <w:sz w:val="24"/>
          <w:szCs w:val="24"/>
        </w:rPr>
        <w:t>. A talking treatment commonly applied to depression and anxiety, CBT works from the notion of interconnectedness between thoughts, feelings and the physical self and highlights how problems in one of these areas impacts the others</w:t>
      </w:r>
      <w:r w:rsidR="004D71D1">
        <w:rPr>
          <w:rFonts w:ascii="Arial" w:hAnsi="Arial" w:cs="Arial"/>
          <w:sz w:val="24"/>
          <w:szCs w:val="24"/>
        </w:rPr>
        <w:t xml:space="preserve"> (Dixon-Gordon &amp; Chapman, 2020)</w:t>
      </w:r>
      <w:r>
        <w:rPr>
          <w:rFonts w:ascii="Arial" w:hAnsi="Arial" w:cs="Arial"/>
          <w:sz w:val="24"/>
          <w:szCs w:val="24"/>
        </w:rPr>
        <w:t xml:space="preserve">. The focus of CBT </w:t>
      </w:r>
      <w:r w:rsidR="008901D1">
        <w:rPr>
          <w:rFonts w:ascii="Arial" w:hAnsi="Arial" w:cs="Arial"/>
          <w:sz w:val="24"/>
          <w:szCs w:val="24"/>
        </w:rPr>
        <w:t>is primarily kept on the present state of the client as opposed to past traumas, however other approaches, such as psychodynamic, have been integrated to advance treatment where past issues are prevalent</w:t>
      </w:r>
      <w:r w:rsidR="007451A5">
        <w:rPr>
          <w:rFonts w:ascii="Arial" w:hAnsi="Arial" w:cs="Arial"/>
          <w:sz w:val="24"/>
          <w:szCs w:val="24"/>
        </w:rPr>
        <w:t xml:space="preserve"> and even </w:t>
      </w:r>
      <w:r w:rsidR="003C7B5C">
        <w:rPr>
          <w:rFonts w:ascii="Arial" w:hAnsi="Arial" w:cs="Arial"/>
          <w:sz w:val="24"/>
          <w:szCs w:val="24"/>
        </w:rPr>
        <w:t xml:space="preserve">in cases of </w:t>
      </w:r>
      <w:r w:rsidR="007451A5">
        <w:rPr>
          <w:rFonts w:ascii="Arial" w:hAnsi="Arial" w:cs="Arial"/>
          <w:sz w:val="24"/>
          <w:szCs w:val="24"/>
        </w:rPr>
        <w:t>severe psychoses</w:t>
      </w:r>
      <w:r w:rsidR="003C7B5C">
        <w:rPr>
          <w:rFonts w:ascii="Arial" w:hAnsi="Arial" w:cs="Arial"/>
          <w:sz w:val="24"/>
          <w:szCs w:val="24"/>
        </w:rPr>
        <w:t xml:space="preserve"> </w:t>
      </w:r>
      <w:r w:rsidR="00C3554E">
        <w:rPr>
          <w:rFonts w:ascii="Arial" w:hAnsi="Arial" w:cs="Arial"/>
          <w:sz w:val="24"/>
          <w:szCs w:val="24"/>
        </w:rPr>
        <w:t>(Garret, 2019).</w:t>
      </w:r>
      <w:r w:rsidR="00132DA1">
        <w:rPr>
          <w:rFonts w:ascii="Arial" w:hAnsi="Arial" w:cs="Arial"/>
          <w:sz w:val="24"/>
          <w:szCs w:val="24"/>
        </w:rPr>
        <w:t xml:space="preserve"> The client, in this instance, is a 38-year-old mother of three teenage children </w:t>
      </w:r>
      <w:r w:rsidR="001C1F77">
        <w:rPr>
          <w:rFonts w:ascii="Arial" w:hAnsi="Arial" w:cs="Arial"/>
          <w:sz w:val="24"/>
          <w:szCs w:val="24"/>
        </w:rPr>
        <w:t xml:space="preserve">and despite maintaining a well-paying occupation, the client is fixating on concerns of being unemployed and continuing support of her children. The climate created by the Covid-19 pandemic has exacerbated the client’s concerns. The client’s concerns can be summarised as distress regarding contracting Covid, loss of income and potential homelessness. The concerns have resulted in loss of sleep, irritability, and restlessness. The goal is to determine how cognitive behavioural </w:t>
      </w:r>
      <w:r w:rsidR="008C20D5">
        <w:rPr>
          <w:rFonts w:ascii="Arial" w:hAnsi="Arial" w:cs="Arial"/>
          <w:sz w:val="24"/>
          <w:szCs w:val="24"/>
        </w:rPr>
        <w:t>therapy</w:t>
      </w:r>
      <w:r w:rsidR="001C1F77">
        <w:rPr>
          <w:rFonts w:ascii="Arial" w:hAnsi="Arial" w:cs="Arial"/>
          <w:sz w:val="24"/>
          <w:szCs w:val="24"/>
        </w:rPr>
        <w:t xml:space="preserve"> can be applied to </w:t>
      </w:r>
      <w:r w:rsidR="008C20D5">
        <w:rPr>
          <w:rFonts w:ascii="Arial" w:hAnsi="Arial" w:cs="Arial"/>
          <w:sz w:val="24"/>
          <w:szCs w:val="24"/>
        </w:rPr>
        <w:t>help the client and critique the potential effectiveness of this approach.</w:t>
      </w:r>
    </w:p>
    <w:p w14:paraId="4D86011A" w14:textId="079D7238" w:rsidR="00802869" w:rsidRDefault="008C20D5" w:rsidP="001C2F0B">
      <w:pPr>
        <w:spacing w:line="480" w:lineRule="auto"/>
        <w:ind w:firstLine="720"/>
        <w:jc w:val="both"/>
        <w:rPr>
          <w:rFonts w:ascii="Arial" w:hAnsi="Arial" w:cs="Arial"/>
          <w:sz w:val="24"/>
          <w:szCs w:val="24"/>
        </w:rPr>
      </w:pPr>
      <w:r>
        <w:rPr>
          <w:rFonts w:ascii="Arial" w:hAnsi="Arial" w:cs="Arial"/>
          <w:sz w:val="24"/>
          <w:szCs w:val="24"/>
        </w:rPr>
        <w:t>The cognitive model of mental illness developed by</w:t>
      </w:r>
      <w:r w:rsidR="0018554D">
        <w:rPr>
          <w:rFonts w:ascii="Arial" w:hAnsi="Arial" w:cs="Arial"/>
          <w:sz w:val="24"/>
          <w:szCs w:val="24"/>
        </w:rPr>
        <w:t xml:space="preserve"> psychiatrist</w:t>
      </w:r>
      <w:r>
        <w:rPr>
          <w:rFonts w:ascii="Arial" w:hAnsi="Arial" w:cs="Arial"/>
          <w:sz w:val="24"/>
          <w:szCs w:val="24"/>
        </w:rPr>
        <w:t xml:space="preserve"> Aaron Beck (1964) formed the basis of the development of cognitive behavioural therapy in that it highlighted how the feelings and actions of an individual are the results of their perceptions and the occurrence of events that influence their perceptions</w:t>
      </w:r>
      <w:r w:rsidR="0001219C">
        <w:rPr>
          <w:rFonts w:ascii="Arial" w:hAnsi="Arial" w:cs="Arial"/>
          <w:sz w:val="24"/>
          <w:szCs w:val="24"/>
        </w:rPr>
        <w:t xml:space="preserve"> (Beck &amp; Fleming, 2021). Before Dr. Beck had identified the pattern among clients with </w:t>
      </w:r>
      <w:r w:rsidR="0001219C">
        <w:rPr>
          <w:rFonts w:ascii="Arial" w:hAnsi="Arial" w:cs="Arial"/>
          <w:sz w:val="24"/>
          <w:szCs w:val="24"/>
        </w:rPr>
        <w:lastRenderedPageBreak/>
        <w:t xml:space="preserve">depression that their negative views were unaffected or not improved by analysis of their past, </w:t>
      </w:r>
      <w:r w:rsidR="0018554D">
        <w:rPr>
          <w:rFonts w:ascii="Arial" w:hAnsi="Arial" w:cs="Arial"/>
          <w:sz w:val="24"/>
          <w:szCs w:val="24"/>
        </w:rPr>
        <w:t>psychologist and psychotherapist Dr. Albert Ellis had already developed Rational Emotive Behaviour Therapy (1955). REBT was designed to assist the client in identifying unhelpful or unhealthy thinking patterns and replacing them with rational thoughts (Bernard &amp; Dryden, 2019)</w:t>
      </w:r>
      <w:r w:rsidR="00263B5D">
        <w:rPr>
          <w:rFonts w:ascii="Arial" w:hAnsi="Arial" w:cs="Arial"/>
          <w:sz w:val="24"/>
          <w:szCs w:val="24"/>
        </w:rPr>
        <w:t>.</w:t>
      </w:r>
      <w:r w:rsidR="00B5341A">
        <w:rPr>
          <w:rFonts w:ascii="Arial" w:hAnsi="Arial" w:cs="Arial"/>
          <w:sz w:val="24"/>
          <w:szCs w:val="24"/>
        </w:rPr>
        <w:t xml:space="preserve"> CBT itself focusses on identifying and improving five current conditions which would be having a negative impact on one another thereby creating a detrimental cycle of thoughts and behaviours. These areas include situations, thoughts, physical </w:t>
      </w:r>
      <w:proofErr w:type="gramStart"/>
      <w:r w:rsidR="00B5341A">
        <w:rPr>
          <w:rFonts w:ascii="Arial" w:hAnsi="Arial" w:cs="Arial"/>
          <w:sz w:val="24"/>
          <w:szCs w:val="24"/>
        </w:rPr>
        <w:t>feelings</w:t>
      </w:r>
      <w:proofErr w:type="gramEnd"/>
      <w:r w:rsidR="00B5341A">
        <w:rPr>
          <w:rFonts w:ascii="Arial" w:hAnsi="Arial" w:cs="Arial"/>
          <w:sz w:val="24"/>
          <w:szCs w:val="24"/>
        </w:rPr>
        <w:t xml:space="preserve"> and action </w:t>
      </w:r>
      <w:r w:rsidR="001444D0">
        <w:rPr>
          <w:rFonts w:ascii="Arial" w:hAnsi="Arial" w:cs="Arial"/>
          <w:sz w:val="24"/>
          <w:szCs w:val="24"/>
        </w:rPr>
        <w:t>(Dobson &amp; Dobson, 2018).</w:t>
      </w:r>
      <w:r w:rsidR="00E416F3">
        <w:rPr>
          <w:rFonts w:ascii="Arial" w:hAnsi="Arial" w:cs="Arial"/>
          <w:sz w:val="24"/>
          <w:szCs w:val="24"/>
        </w:rPr>
        <w:t xml:space="preserve"> </w:t>
      </w:r>
      <w:r w:rsidR="00335E9E">
        <w:rPr>
          <w:rFonts w:ascii="Arial" w:hAnsi="Arial" w:cs="Arial"/>
          <w:sz w:val="24"/>
          <w:szCs w:val="24"/>
        </w:rPr>
        <w:t>The prominence and success of CBT can be easily identified by how widely used it is among practitioners due to how the approach can be used to treat clients suffering from common and complex disorders ranging from generalised anxiety to severe PTSD (Ford, 2021)</w:t>
      </w:r>
      <w:r w:rsidR="00F83409">
        <w:rPr>
          <w:rFonts w:ascii="Arial" w:hAnsi="Arial" w:cs="Arial"/>
          <w:sz w:val="24"/>
          <w:szCs w:val="24"/>
        </w:rPr>
        <w:t>. Furthermore, a meta-analysis of 115 studies regarding effective therapies alongside pharmacological treatments, specifically for depression, yielded results that determined an overwhelming rate of success reported by both clients and practitioners not only mid and post-treatment but also in the prevention of relapse</w:t>
      </w:r>
      <w:r w:rsidR="00AA7D7C">
        <w:rPr>
          <w:rFonts w:ascii="Arial" w:hAnsi="Arial" w:cs="Arial"/>
          <w:sz w:val="24"/>
          <w:szCs w:val="24"/>
        </w:rPr>
        <w:t xml:space="preserve"> (</w:t>
      </w:r>
      <w:proofErr w:type="spellStart"/>
      <w:r w:rsidR="00AA7D7C">
        <w:rPr>
          <w:rFonts w:ascii="Arial" w:hAnsi="Arial" w:cs="Arial"/>
          <w:sz w:val="24"/>
          <w:szCs w:val="24"/>
        </w:rPr>
        <w:t>Werson</w:t>
      </w:r>
      <w:proofErr w:type="spellEnd"/>
      <w:r w:rsidR="00AA7D7C">
        <w:rPr>
          <w:rFonts w:ascii="Arial" w:hAnsi="Arial" w:cs="Arial"/>
          <w:sz w:val="24"/>
          <w:szCs w:val="24"/>
        </w:rPr>
        <w:t xml:space="preserve"> et al. 2022).</w:t>
      </w:r>
      <w:r w:rsidR="00B5341A">
        <w:rPr>
          <w:rFonts w:ascii="Arial" w:hAnsi="Arial" w:cs="Arial"/>
          <w:sz w:val="24"/>
          <w:szCs w:val="24"/>
        </w:rPr>
        <w:t xml:space="preserve"> </w:t>
      </w:r>
    </w:p>
    <w:p w14:paraId="68ABD03E" w14:textId="53058D18" w:rsidR="008C20D5" w:rsidRDefault="002D412B" w:rsidP="001C2F0B">
      <w:pPr>
        <w:spacing w:line="480" w:lineRule="auto"/>
        <w:ind w:firstLine="720"/>
        <w:jc w:val="both"/>
        <w:rPr>
          <w:rFonts w:ascii="Arial" w:hAnsi="Arial" w:cs="Arial"/>
          <w:sz w:val="24"/>
          <w:szCs w:val="24"/>
        </w:rPr>
      </w:pPr>
      <w:r>
        <w:rPr>
          <w:rFonts w:ascii="Arial" w:hAnsi="Arial" w:cs="Arial"/>
          <w:sz w:val="24"/>
          <w:szCs w:val="24"/>
        </w:rPr>
        <w:t xml:space="preserve">Cognitive behavioural therapy is in fact no longer considered a singular approach to the treatment of a client. Instead, it has become regarded as an umbrella term that encompasses multiple therapies within the same discipline where the approaches vary depending on techniques and outcomes best suited for the client. However, the </w:t>
      </w:r>
      <w:proofErr w:type="gramStart"/>
      <w:r>
        <w:rPr>
          <w:rFonts w:ascii="Arial" w:hAnsi="Arial" w:cs="Arial"/>
          <w:sz w:val="24"/>
          <w:szCs w:val="24"/>
        </w:rPr>
        <w:t>ultimate goal</w:t>
      </w:r>
      <w:proofErr w:type="gramEnd"/>
      <w:r>
        <w:rPr>
          <w:rFonts w:ascii="Arial" w:hAnsi="Arial" w:cs="Arial"/>
          <w:sz w:val="24"/>
          <w:szCs w:val="24"/>
        </w:rPr>
        <w:t xml:space="preserve"> of challenging the cycle of negative thoughts and behaviours and replacing them to improve the client’s well-being and quality of life remains the same</w:t>
      </w:r>
      <w:r w:rsidR="008A1E53">
        <w:rPr>
          <w:rFonts w:ascii="Arial" w:hAnsi="Arial" w:cs="Arial"/>
          <w:sz w:val="24"/>
          <w:szCs w:val="24"/>
        </w:rPr>
        <w:t xml:space="preserve"> (David et al. 2018).</w:t>
      </w:r>
      <w:r w:rsidR="00F745F0">
        <w:rPr>
          <w:rFonts w:ascii="Arial" w:hAnsi="Arial" w:cs="Arial"/>
          <w:sz w:val="24"/>
          <w:szCs w:val="24"/>
        </w:rPr>
        <w:t xml:space="preserve"> Such therapies include Mindfulness-Based Cognitive Therapy in which meditation and mindfulness exercises are coupled with CBT </w:t>
      </w:r>
      <w:proofErr w:type="gramStart"/>
      <w:r w:rsidR="00F745F0">
        <w:rPr>
          <w:rFonts w:ascii="Arial" w:hAnsi="Arial" w:cs="Arial"/>
          <w:sz w:val="24"/>
          <w:szCs w:val="24"/>
        </w:rPr>
        <w:t>in order for</w:t>
      </w:r>
      <w:proofErr w:type="gramEnd"/>
      <w:r w:rsidR="00F745F0">
        <w:rPr>
          <w:rFonts w:ascii="Arial" w:hAnsi="Arial" w:cs="Arial"/>
          <w:sz w:val="24"/>
          <w:szCs w:val="24"/>
        </w:rPr>
        <w:t xml:space="preserve"> the client to maintain an attitude in which the focus can be comfortably </w:t>
      </w:r>
      <w:r w:rsidR="00F745F0">
        <w:rPr>
          <w:rFonts w:ascii="Arial" w:hAnsi="Arial" w:cs="Arial"/>
          <w:sz w:val="24"/>
          <w:szCs w:val="24"/>
        </w:rPr>
        <w:lastRenderedPageBreak/>
        <w:t>shifted to the present and prevent the cultivation of judgemental thoughts and behaviours (Tickell et al. 2020).</w:t>
      </w:r>
      <w:r w:rsidR="00B5341A">
        <w:rPr>
          <w:rFonts w:ascii="Arial" w:hAnsi="Arial" w:cs="Arial"/>
          <w:sz w:val="24"/>
          <w:szCs w:val="24"/>
        </w:rPr>
        <w:t xml:space="preserve"> </w:t>
      </w:r>
      <w:r w:rsidR="00E0155F">
        <w:rPr>
          <w:rFonts w:ascii="Arial" w:hAnsi="Arial" w:cs="Arial"/>
          <w:sz w:val="24"/>
          <w:szCs w:val="24"/>
        </w:rPr>
        <w:t xml:space="preserve">This approach was developed as a combination of both CBT and Mindfulness-Based Stress Reduction introduced by Jon Kabat-Zinn (1990). </w:t>
      </w:r>
      <w:r w:rsidR="00AD43FF">
        <w:rPr>
          <w:rFonts w:ascii="Arial" w:hAnsi="Arial" w:cs="Arial"/>
          <w:sz w:val="24"/>
          <w:szCs w:val="24"/>
        </w:rPr>
        <w:t xml:space="preserve">Acceptance and Commitment Therapy was founded by Steven Hayes (1982) and employed the use of CBT and the strict analysis and acknowledgement of feelings in order to determine healthier and more appropriate responses to situations. Over time, this behaviour is reinforced and referred to as </w:t>
      </w:r>
      <w:proofErr w:type="gramStart"/>
      <w:r w:rsidR="00AD43FF">
        <w:rPr>
          <w:rFonts w:ascii="Arial" w:hAnsi="Arial" w:cs="Arial"/>
          <w:sz w:val="24"/>
          <w:szCs w:val="24"/>
        </w:rPr>
        <w:t>counter-conditioning</w:t>
      </w:r>
      <w:proofErr w:type="gramEnd"/>
      <w:r w:rsidR="00AD43FF">
        <w:rPr>
          <w:rFonts w:ascii="Arial" w:hAnsi="Arial" w:cs="Arial"/>
          <w:sz w:val="24"/>
          <w:szCs w:val="24"/>
        </w:rPr>
        <w:t xml:space="preserve"> (Zhang et al 2018).</w:t>
      </w:r>
      <w:r w:rsidR="00EB009F">
        <w:rPr>
          <w:rFonts w:ascii="Arial" w:hAnsi="Arial" w:cs="Arial"/>
          <w:sz w:val="24"/>
          <w:szCs w:val="24"/>
        </w:rPr>
        <w:t xml:space="preserve"> </w:t>
      </w:r>
      <w:r w:rsidR="008203C2">
        <w:rPr>
          <w:rFonts w:ascii="Arial" w:hAnsi="Arial" w:cs="Arial"/>
          <w:sz w:val="24"/>
          <w:szCs w:val="24"/>
        </w:rPr>
        <w:t>Rational Emotive Behaviour Therapy operates within the model of identifying an activating event which causes certain thoughts or beliefs to be generated by the client, identifying what specifically these beliefs are and finally the consequences of these beliefs which refers to the client’s emotional response. The process of directly challenging these beliefs is referred to disputation and allows the client to realise how irrational thought is being attached to specific events and how they are negatively impacting the way the client responds (Ellis, 2021)</w:t>
      </w:r>
      <w:r w:rsidR="002531E8">
        <w:rPr>
          <w:rFonts w:ascii="Arial" w:hAnsi="Arial" w:cs="Arial"/>
          <w:sz w:val="24"/>
          <w:szCs w:val="24"/>
        </w:rPr>
        <w:t xml:space="preserve">. </w:t>
      </w:r>
      <w:r w:rsidR="0015346C">
        <w:rPr>
          <w:rFonts w:ascii="Arial" w:hAnsi="Arial" w:cs="Arial"/>
          <w:sz w:val="24"/>
          <w:szCs w:val="24"/>
        </w:rPr>
        <w:t>Finally, Dialectical Behaviour Therapy encourages the importance of acceptance while placing emphasis on problem solving strategies. DBT has been adapted for clients experiencing intense emotions or severe mental conditions and assists clients in understanding their ineffectiveness in coping with certain situations and promoting more suitable coping strategies while also broadening their ability to view situations with more than just a ‘one way or another’ attitude (Mullen, 2021).</w:t>
      </w:r>
    </w:p>
    <w:p w14:paraId="1702ADF5" w14:textId="63FD6E99" w:rsidR="00FD7AA8" w:rsidRDefault="00FD7AA8" w:rsidP="001C2F0B">
      <w:pPr>
        <w:spacing w:line="480" w:lineRule="auto"/>
        <w:ind w:firstLine="720"/>
        <w:jc w:val="both"/>
        <w:rPr>
          <w:rFonts w:ascii="Arial" w:hAnsi="Arial" w:cs="Arial"/>
          <w:sz w:val="24"/>
          <w:szCs w:val="24"/>
        </w:rPr>
      </w:pPr>
      <w:r>
        <w:rPr>
          <w:rFonts w:ascii="Arial" w:hAnsi="Arial" w:cs="Arial"/>
          <w:sz w:val="24"/>
          <w:szCs w:val="24"/>
        </w:rPr>
        <w:t xml:space="preserve">Within all the approaches that incorporate the principles of CBT, there lies a commonality of stages that can be considered as the goals of the on-going treatment. The identification of situations and conditions that are causing the issues being felt by the client. These can include a mental health condition, a separation or a physical limitation such as injury. As the therapist would assist to work with the client in </w:t>
      </w:r>
      <w:r>
        <w:rPr>
          <w:rFonts w:ascii="Arial" w:hAnsi="Arial" w:cs="Arial"/>
          <w:sz w:val="24"/>
          <w:szCs w:val="24"/>
        </w:rPr>
        <w:lastRenderedPageBreak/>
        <w:t>identifying the situations, certain challenges or limitations could include an overwhelming number of conditions</w:t>
      </w:r>
      <w:r w:rsidR="00DE65B5">
        <w:rPr>
          <w:rFonts w:ascii="Arial" w:hAnsi="Arial" w:cs="Arial"/>
          <w:sz w:val="24"/>
          <w:szCs w:val="24"/>
        </w:rPr>
        <w:t xml:space="preserve"> or recurring circumstances</w:t>
      </w:r>
      <w:r>
        <w:rPr>
          <w:rFonts w:ascii="Arial" w:hAnsi="Arial" w:cs="Arial"/>
          <w:sz w:val="24"/>
          <w:szCs w:val="24"/>
        </w:rPr>
        <w:t xml:space="preserve"> that may require a longer period of more extensive treatment. This may be difficult to fit within the limit of </w:t>
      </w:r>
      <w:r w:rsidR="00DE65B5">
        <w:rPr>
          <w:rFonts w:ascii="Arial" w:hAnsi="Arial" w:cs="Arial"/>
          <w:sz w:val="24"/>
          <w:szCs w:val="24"/>
        </w:rPr>
        <w:t>approximately</w:t>
      </w:r>
      <w:r>
        <w:rPr>
          <w:rFonts w:ascii="Arial" w:hAnsi="Arial" w:cs="Arial"/>
          <w:sz w:val="24"/>
          <w:szCs w:val="24"/>
        </w:rPr>
        <w:t xml:space="preserve"> 2</w:t>
      </w:r>
      <w:r w:rsidR="00DE65B5">
        <w:rPr>
          <w:rFonts w:ascii="Arial" w:hAnsi="Arial" w:cs="Arial"/>
          <w:sz w:val="24"/>
          <w:szCs w:val="24"/>
        </w:rPr>
        <w:t>0</w:t>
      </w:r>
      <w:r>
        <w:rPr>
          <w:rFonts w:ascii="Arial" w:hAnsi="Arial" w:cs="Arial"/>
          <w:sz w:val="24"/>
          <w:szCs w:val="24"/>
        </w:rPr>
        <w:t xml:space="preserve"> sessions lasting up to an hour each typically</w:t>
      </w:r>
      <w:r w:rsidR="00DE65B5">
        <w:rPr>
          <w:rFonts w:ascii="Arial" w:hAnsi="Arial" w:cs="Arial"/>
          <w:sz w:val="24"/>
          <w:szCs w:val="24"/>
        </w:rPr>
        <w:t xml:space="preserve"> (Curwen et al. 2018). The therapist would then encourage the client to engage with their thoughts on the particular situations or problems and through guided self-reflection understand their interpretations of the particular thoughts and behaviours that occur. Understandably, this could prove challenging for individuals whose perceptions and responses have been formed and somewhat codified by past experiences. This could take focus away from the client’s immediate responses and behaviours </w:t>
      </w:r>
      <w:r w:rsidR="001574CA">
        <w:rPr>
          <w:rFonts w:ascii="Arial" w:hAnsi="Arial" w:cs="Arial"/>
          <w:sz w:val="24"/>
          <w:szCs w:val="24"/>
        </w:rPr>
        <w:t>in a situational sense and bring cause more attention to past traumas. This negates the attention on working within the present which is a principle that lies at the centre of CBT (Weinberg et al. 2018).</w:t>
      </w:r>
      <w:r w:rsidR="00DF6990">
        <w:rPr>
          <w:rFonts w:ascii="Arial" w:hAnsi="Arial" w:cs="Arial"/>
          <w:sz w:val="24"/>
          <w:szCs w:val="24"/>
        </w:rPr>
        <w:t xml:space="preserve"> Next would be highlighting negative thinking patterns as responses and how they are contributing to the issues being experienced by the client. </w:t>
      </w:r>
      <w:r w:rsidR="009F470C">
        <w:rPr>
          <w:rFonts w:ascii="Arial" w:hAnsi="Arial" w:cs="Arial"/>
          <w:sz w:val="24"/>
          <w:szCs w:val="24"/>
        </w:rPr>
        <w:t>A client would be prompted to bring attention to their emotional, behavioural, and physical responses depending on the situation. In regard to clients experiencing an anxiety disorder, the expectation of bringing attention to the self during an event causing an episode of anxiety can be at least momentarily difficult or detrimental to the client due to the nature of the disorder itself. Though CBT has proven to help in reducing symptoms of anxiety disorders, up to one-third of patients become unresponsive to treatment due to the requirement of engaging with and reflecting on their internal and external responses continuously as part of their treatment (Kandola, 2018).</w:t>
      </w:r>
      <w:r w:rsidR="00C7360D">
        <w:rPr>
          <w:rFonts w:ascii="Arial" w:hAnsi="Arial" w:cs="Arial"/>
          <w:sz w:val="24"/>
          <w:szCs w:val="24"/>
        </w:rPr>
        <w:t xml:space="preserve"> </w:t>
      </w:r>
      <w:r w:rsidR="00705165">
        <w:rPr>
          <w:rFonts w:ascii="Arial" w:hAnsi="Arial" w:cs="Arial"/>
          <w:sz w:val="24"/>
          <w:szCs w:val="24"/>
        </w:rPr>
        <w:t xml:space="preserve">Finally, </w:t>
      </w:r>
      <w:r w:rsidR="008C226F">
        <w:rPr>
          <w:rFonts w:ascii="Arial" w:hAnsi="Arial" w:cs="Arial"/>
          <w:sz w:val="24"/>
          <w:szCs w:val="24"/>
        </w:rPr>
        <w:t xml:space="preserve">the therapist will encourage the client to reform their negative thinking and facilitate their ability to reframe the client’s perceptions of a certain situation </w:t>
      </w:r>
      <w:proofErr w:type="gramStart"/>
      <w:r w:rsidR="008C226F">
        <w:rPr>
          <w:rFonts w:ascii="Arial" w:hAnsi="Arial" w:cs="Arial"/>
          <w:sz w:val="24"/>
          <w:szCs w:val="24"/>
        </w:rPr>
        <w:t>in order to</w:t>
      </w:r>
      <w:proofErr w:type="gramEnd"/>
      <w:r w:rsidR="008C226F">
        <w:rPr>
          <w:rFonts w:ascii="Arial" w:hAnsi="Arial" w:cs="Arial"/>
          <w:sz w:val="24"/>
          <w:szCs w:val="24"/>
        </w:rPr>
        <w:t xml:space="preserve"> ensure more positive resulting behaviours and productive feelings. Reframing cognitive distortions and learning more </w:t>
      </w:r>
      <w:r w:rsidR="008C226F">
        <w:rPr>
          <w:rFonts w:ascii="Arial" w:hAnsi="Arial" w:cs="Arial"/>
          <w:sz w:val="24"/>
          <w:szCs w:val="24"/>
        </w:rPr>
        <w:lastRenderedPageBreak/>
        <w:t xml:space="preserve">compassion for the self can be extremely challenging for </w:t>
      </w:r>
      <w:proofErr w:type="gramStart"/>
      <w:r w:rsidR="008C226F">
        <w:rPr>
          <w:rFonts w:ascii="Arial" w:hAnsi="Arial" w:cs="Arial"/>
          <w:sz w:val="24"/>
          <w:szCs w:val="24"/>
        </w:rPr>
        <w:t>particular clients</w:t>
      </w:r>
      <w:proofErr w:type="gramEnd"/>
      <w:r w:rsidR="008C226F">
        <w:rPr>
          <w:rFonts w:ascii="Arial" w:hAnsi="Arial" w:cs="Arial"/>
          <w:sz w:val="24"/>
          <w:szCs w:val="24"/>
        </w:rPr>
        <w:t xml:space="preserve"> especially those who have held certain perceptions for so long that they have become engrained as part of the personality. Furthermore, during a 2019 study on the management of stress within the workplace and utilising CBT to promote stress reduction skills among the participants involved, 6</w:t>
      </w:r>
      <w:r w:rsidR="00264415">
        <w:rPr>
          <w:rFonts w:ascii="Arial" w:hAnsi="Arial" w:cs="Arial"/>
          <w:sz w:val="24"/>
          <w:szCs w:val="24"/>
        </w:rPr>
        <w:t>6</w:t>
      </w:r>
      <w:r w:rsidR="008C226F">
        <w:rPr>
          <w:rFonts w:ascii="Arial" w:hAnsi="Arial" w:cs="Arial"/>
          <w:sz w:val="24"/>
          <w:szCs w:val="24"/>
        </w:rPr>
        <w:t xml:space="preserve">% </w:t>
      </w:r>
      <w:r w:rsidR="00264415">
        <w:rPr>
          <w:rFonts w:ascii="Arial" w:hAnsi="Arial" w:cs="Arial"/>
          <w:sz w:val="24"/>
          <w:szCs w:val="24"/>
        </w:rPr>
        <w:t xml:space="preserve">of the individuals </w:t>
      </w:r>
      <w:r w:rsidR="008C226F">
        <w:rPr>
          <w:rFonts w:ascii="Arial" w:hAnsi="Arial" w:cs="Arial"/>
          <w:sz w:val="24"/>
          <w:szCs w:val="24"/>
        </w:rPr>
        <w:t xml:space="preserve">reported success </w:t>
      </w:r>
      <w:r w:rsidR="00264415">
        <w:rPr>
          <w:rFonts w:ascii="Arial" w:hAnsi="Arial" w:cs="Arial"/>
          <w:sz w:val="24"/>
          <w:szCs w:val="24"/>
        </w:rPr>
        <w:t xml:space="preserve">with cognitive reframing in normalising their perceptions linked to resulting stress-related emotions. However, it was determined that although certain techniques were effective in allowing the employees to learn these skills, far more time than what would be traditionally allocated to CBT sessions would be required to permanently ensure an improvement in </w:t>
      </w:r>
      <w:r w:rsidR="00A57E76">
        <w:rPr>
          <w:rFonts w:ascii="Arial" w:hAnsi="Arial" w:cs="Arial"/>
          <w:sz w:val="24"/>
          <w:szCs w:val="24"/>
        </w:rPr>
        <w:t>mental wellbeing</w:t>
      </w:r>
      <w:r w:rsidR="00264415">
        <w:rPr>
          <w:rFonts w:ascii="Arial" w:hAnsi="Arial" w:cs="Arial"/>
          <w:sz w:val="24"/>
          <w:szCs w:val="24"/>
        </w:rPr>
        <w:t xml:space="preserve"> (Feldman, 2019).</w:t>
      </w:r>
    </w:p>
    <w:p w14:paraId="1364C4BF" w14:textId="77777777" w:rsidR="00B32AC7" w:rsidRDefault="007304F8" w:rsidP="001C2F0B">
      <w:pPr>
        <w:spacing w:line="480" w:lineRule="auto"/>
        <w:ind w:firstLine="720"/>
        <w:jc w:val="both"/>
        <w:rPr>
          <w:rFonts w:ascii="Arial" w:hAnsi="Arial" w:cs="Arial"/>
          <w:sz w:val="24"/>
          <w:szCs w:val="24"/>
        </w:rPr>
      </w:pPr>
      <w:r>
        <w:rPr>
          <w:rFonts w:ascii="Arial" w:hAnsi="Arial" w:cs="Arial"/>
          <w:sz w:val="24"/>
          <w:szCs w:val="24"/>
        </w:rPr>
        <w:t xml:space="preserve">Regarding the client for this case study, </w:t>
      </w:r>
      <w:r w:rsidR="00E36769">
        <w:rPr>
          <w:rFonts w:ascii="Arial" w:hAnsi="Arial" w:cs="Arial"/>
          <w:sz w:val="24"/>
          <w:szCs w:val="24"/>
        </w:rPr>
        <w:t xml:space="preserve">the conditions from which her negative thoughts and behaviours are stemming from are the fact that the Covid-19 pandemic has affected her occupational situation and she now must work from home. The client also highlights her concerns over the fact that she must support her children. </w:t>
      </w:r>
      <w:r w:rsidR="00D468A2">
        <w:rPr>
          <w:rFonts w:ascii="Arial" w:hAnsi="Arial" w:cs="Arial"/>
          <w:sz w:val="24"/>
          <w:szCs w:val="24"/>
        </w:rPr>
        <w:t xml:space="preserve">For further context, the client has retained her position within the company for 10 years and the role is considered well-paid.  These conditions would be discussed in depth with the client and, though her concerns are somewhat rational, attention would be brought to the fact that she has still retained her job and income though how she operates within her role has changed. Once these conditions are acknowledged by the client, understanding the occurring perceptions of them would be the natural step forward. The client </w:t>
      </w:r>
      <w:r w:rsidR="007C3180">
        <w:rPr>
          <w:rFonts w:ascii="Arial" w:hAnsi="Arial" w:cs="Arial"/>
          <w:sz w:val="24"/>
          <w:szCs w:val="24"/>
        </w:rPr>
        <w:t xml:space="preserve">has generated concerns of contracting Covid due to the pandemic, loss of income due to how her job has been altered and as a result, concerns of homeless for her and her children if her financial situation is affected. Though there has been no mention of the client’s income being reduced, she has remained within the company for 10 years. A decade of familiarity has become disrupted by the </w:t>
      </w:r>
      <w:r w:rsidR="007C3180">
        <w:rPr>
          <w:rFonts w:ascii="Arial" w:hAnsi="Arial" w:cs="Arial"/>
          <w:sz w:val="24"/>
          <w:szCs w:val="24"/>
        </w:rPr>
        <w:lastRenderedPageBreak/>
        <w:t xml:space="preserve">pandemic which has created an intense emotional response. The client would be guided in identifying these negative responses by assessing which concerns stem from each specific situation and contextualising the situation into a more manageable condition. In this case, the centre of the client’s concerns would be loss of income as the result would be homelessness. The client would then be helped in understanding why these negative thoughts are being drawn. </w:t>
      </w:r>
      <w:proofErr w:type="gramStart"/>
      <w:r w:rsidR="007C3180">
        <w:rPr>
          <w:rFonts w:ascii="Arial" w:hAnsi="Arial" w:cs="Arial"/>
          <w:sz w:val="24"/>
          <w:szCs w:val="24"/>
        </w:rPr>
        <w:t>It would appear that concerns</w:t>
      </w:r>
      <w:proofErr w:type="gramEnd"/>
      <w:r w:rsidR="007C3180">
        <w:rPr>
          <w:rFonts w:ascii="Arial" w:hAnsi="Arial" w:cs="Arial"/>
          <w:sz w:val="24"/>
          <w:szCs w:val="24"/>
        </w:rPr>
        <w:t xml:space="preserve"> for her family are the catalyst for why the response is so intense </w:t>
      </w:r>
      <w:r w:rsidR="00FF3F5F">
        <w:rPr>
          <w:rFonts w:ascii="Arial" w:hAnsi="Arial" w:cs="Arial"/>
          <w:sz w:val="24"/>
          <w:szCs w:val="24"/>
        </w:rPr>
        <w:t xml:space="preserve">and therefore why the client can only frame her change of situation negatively. As the client becomes aware of this process, the client would then be directed in elaborating on how her thoughts are manifesting emotional and physical responses and how they in turn are worsening her perception of the situation. In this case, the client has become unable to sleep, restless and irritable. As the client identifies how these reactions result from her negative thoughts and therefore feed back into her inability to move beyond her negative perceptions, goals could be created with the client to firstly reframe her thought processes to create more positive thinking, and secondly to manage her physical responses </w:t>
      </w:r>
      <w:proofErr w:type="gramStart"/>
      <w:r w:rsidR="00FF3F5F">
        <w:rPr>
          <w:rFonts w:ascii="Arial" w:hAnsi="Arial" w:cs="Arial"/>
          <w:sz w:val="24"/>
          <w:szCs w:val="24"/>
        </w:rPr>
        <w:t>in order to</w:t>
      </w:r>
      <w:proofErr w:type="gramEnd"/>
      <w:r w:rsidR="00FF3F5F">
        <w:rPr>
          <w:rFonts w:ascii="Arial" w:hAnsi="Arial" w:cs="Arial"/>
          <w:sz w:val="24"/>
          <w:szCs w:val="24"/>
        </w:rPr>
        <w:t xml:space="preserve"> prevent further detriment to her mental wellbeing. </w:t>
      </w:r>
    </w:p>
    <w:p w14:paraId="0C88D4F4" w14:textId="2C407C7B" w:rsidR="00A57E76" w:rsidRDefault="00B32AC7" w:rsidP="001C2F0B">
      <w:pPr>
        <w:spacing w:line="480" w:lineRule="auto"/>
        <w:ind w:firstLine="720"/>
        <w:jc w:val="both"/>
        <w:rPr>
          <w:rFonts w:ascii="Arial" w:hAnsi="Arial" w:cs="Arial"/>
          <w:sz w:val="24"/>
          <w:szCs w:val="24"/>
        </w:rPr>
      </w:pPr>
      <w:r>
        <w:rPr>
          <w:rFonts w:ascii="Arial" w:hAnsi="Arial" w:cs="Arial"/>
          <w:sz w:val="24"/>
          <w:szCs w:val="24"/>
        </w:rPr>
        <w:t>C</w:t>
      </w:r>
      <w:r w:rsidR="00E42E29">
        <w:rPr>
          <w:rFonts w:ascii="Arial" w:hAnsi="Arial" w:cs="Arial"/>
          <w:sz w:val="24"/>
          <w:szCs w:val="24"/>
        </w:rPr>
        <w:t>ognitive Behavioural Therapy</w:t>
      </w:r>
      <w:r>
        <w:rPr>
          <w:rFonts w:ascii="Arial" w:hAnsi="Arial" w:cs="Arial"/>
          <w:sz w:val="24"/>
          <w:szCs w:val="24"/>
        </w:rPr>
        <w:t xml:space="preserve"> would be an appropriate approach for this client’s treatment</w:t>
      </w:r>
      <w:r w:rsidR="00E42E29">
        <w:rPr>
          <w:rFonts w:ascii="Arial" w:hAnsi="Arial" w:cs="Arial"/>
          <w:sz w:val="24"/>
          <w:szCs w:val="24"/>
        </w:rPr>
        <w:t>, specifically Mindfulness-Based Cognitive Therapy. As the client has been catastrophising about the future, a core principle of CBT is that</w:t>
      </w:r>
      <w:r>
        <w:rPr>
          <w:rFonts w:ascii="Arial" w:hAnsi="Arial" w:cs="Arial"/>
          <w:sz w:val="24"/>
          <w:szCs w:val="24"/>
        </w:rPr>
        <w:t xml:space="preserve"> </w:t>
      </w:r>
      <w:r w:rsidR="00E42E29">
        <w:rPr>
          <w:rFonts w:ascii="Arial" w:hAnsi="Arial" w:cs="Arial"/>
          <w:sz w:val="24"/>
          <w:szCs w:val="24"/>
        </w:rPr>
        <w:t>the client needs to be aided in bringing their attention to the present, thereby allowing them to develop mechanisms of coping that will assist them with their current condition or situation (Segal et al. 2018).</w:t>
      </w:r>
      <w:r w:rsidR="00125AAE">
        <w:rPr>
          <w:rFonts w:ascii="Arial" w:hAnsi="Arial" w:cs="Arial"/>
          <w:sz w:val="24"/>
          <w:szCs w:val="24"/>
        </w:rPr>
        <w:t xml:space="preserve"> As the client’s symptoms of irritability, restlessness and sleeplessness are indicative of anxiety and depression, CBT is widely considered as a standard and effective treatment for these conditions (Kalin, 2020). A meta-analysis of the effects of MBCT in treatment for clients with depression shows </w:t>
      </w:r>
      <w:r w:rsidR="00A4488A">
        <w:rPr>
          <w:rFonts w:ascii="Arial" w:hAnsi="Arial" w:cs="Arial"/>
          <w:sz w:val="24"/>
          <w:szCs w:val="24"/>
        </w:rPr>
        <w:t xml:space="preserve">both an </w:t>
      </w:r>
      <w:r w:rsidR="00A4488A">
        <w:rPr>
          <w:rFonts w:ascii="Arial" w:hAnsi="Arial" w:cs="Arial"/>
          <w:sz w:val="24"/>
          <w:szCs w:val="24"/>
        </w:rPr>
        <w:lastRenderedPageBreak/>
        <w:t>improvement in clients condition and a reduction in rates of relapse with stable results over</w:t>
      </w:r>
      <w:r w:rsidR="00E36769">
        <w:rPr>
          <w:rFonts w:ascii="Arial" w:hAnsi="Arial" w:cs="Arial"/>
          <w:sz w:val="24"/>
          <w:szCs w:val="24"/>
        </w:rPr>
        <w:t xml:space="preserve"> </w:t>
      </w:r>
      <w:r w:rsidR="00A4488A">
        <w:rPr>
          <w:rFonts w:ascii="Arial" w:hAnsi="Arial" w:cs="Arial"/>
          <w:sz w:val="24"/>
          <w:szCs w:val="24"/>
        </w:rPr>
        <w:t>a two year period. Though this study does include data from research conducted at the beginning of the Covid-19 pandemic, limited data has been drawn from therapies conducted throughout the pandemic, specifically surrounding clients who were isolated. Furthermore,</w:t>
      </w:r>
      <w:r w:rsidR="00B077F2">
        <w:rPr>
          <w:rFonts w:ascii="Arial" w:hAnsi="Arial" w:cs="Arial"/>
          <w:sz w:val="24"/>
          <w:szCs w:val="24"/>
        </w:rPr>
        <w:t xml:space="preserve"> the analysis itself considers the results preliminary due to</w:t>
      </w:r>
      <w:r w:rsidR="00A4488A">
        <w:rPr>
          <w:rFonts w:ascii="Arial" w:hAnsi="Arial" w:cs="Arial"/>
          <w:sz w:val="24"/>
          <w:szCs w:val="24"/>
        </w:rPr>
        <w:t xml:space="preserve"> </w:t>
      </w:r>
      <w:r w:rsidR="00B077F2">
        <w:rPr>
          <w:rFonts w:ascii="Arial" w:hAnsi="Arial" w:cs="Arial"/>
          <w:sz w:val="24"/>
          <w:szCs w:val="24"/>
        </w:rPr>
        <w:t>the limited number</w:t>
      </w:r>
      <w:r w:rsidR="00A4488A">
        <w:rPr>
          <w:rFonts w:ascii="Arial" w:hAnsi="Arial" w:cs="Arial"/>
          <w:sz w:val="24"/>
          <w:szCs w:val="24"/>
        </w:rPr>
        <w:t xml:space="preserve"> </w:t>
      </w:r>
      <w:r w:rsidR="00B077F2">
        <w:rPr>
          <w:rFonts w:ascii="Arial" w:hAnsi="Arial" w:cs="Arial"/>
          <w:sz w:val="24"/>
          <w:szCs w:val="24"/>
        </w:rPr>
        <w:t xml:space="preserve">of </w:t>
      </w:r>
      <w:r w:rsidR="00A4488A">
        <w:rPr>
          <w:rFonts w:ascii="Arial" w:hAnsi="Arial" w:cs="Arial"/>
          <w:sz w:val="24"/>
          <w:szCs w:val="24"/>
        </w:rPr>
        <w:t>studies</w:t>
      </w:r>
      <w:r w:rsidR="00B077F2">
        <w:rPr>
          <w:rFonts w:ascii="Arial" w:hAnsi="Arial" w:cs="Arial"/>
          <w:sz w:val="24"/>
          <w:szCs w:val="24"/>
        </w:rPr>
        <w:t xml:space="preserve"> (20)</w:t>
      </w:r>
      <w:r w:rsidR="00A4488A">
        <w:rPr>
          <w:rFonts w:ascii="Arial" w:hAnsi="Arial" w:cs="Arial"/>
          <w:sz w:val="24"/>
          <w:szCs w:val="24"/>
        </w:rPr>
        <w:t xml:space="preserve"> analysed</w:t>
      </w:r>
      <w:r w:rsidR="00B077F2">
        <w:rPr>
          <w:rFonts w:ascii="Arial" w:hAnsi="Arial" w:cs="Arial"/>
          <w:sz w:val="24"/>
          <w:szCs w:val="24"/>
        </w:rPr>
        <w:t>, relatively small sample sizes and range of time</w:t>
      </w:r>
      <w:r w:rsidR="00A4488A">
        <w:rPr>
          <w:rFonts w:ascii="Arial" w:hAnsi="Arial" w:cs="Arial"/>
          <w:sz w:val="24"/>
          <w:szCs w:val="24"/>
        </w:rPr>
        <w:t xml:space="preserve"> (Thimm &amp; Johnsen, 2020). </w:t>
      </w:r>
      <w:r w:rsidR="00B077F2">
        <w:rPr>
          <w:rFonts w:ascii="Arial" w:hAnsi="Arial" w:cs="Arial"/>
          <w:sz w:val="24"/>
          <w:szCs w:val="24"/>
        </w:rPr>
        <w:t>When considering the client’s specific inability to sleep, evidence does support MBCT’s effectiveness. In researching the long-term effects of MBCT across 30 randomised controlled trials, results have shown a significant decrease in the affects of insomnia, and that these declines have continued for at least a year after therapy</w:t>
      </w:r>
      <w:r w:rsidR="00774DEC">
        <w:rPr>
          <w:rFonts w:ascii="Arial" w:hAnsi="Arial" w:cs="Arial"/>
          <w:sz w:val="24"/>
          <w:szCs w:val="24"/>
        </w:rPr>
        <w:t xml:space="preserve"> (</w:t>
      </w:r>
      <w:proofErr w:type="spellStart"/>
      <w:r w:rsidR="00774DEC">
        <w:rPr>
          <w:rFonts w:ascii="Arial" w:hAnsi="Arial" w:cs="Arial"/>
          <w:sz w:val="24"/>
          <w:szCs w:val="24"/>
        </w:rPr>
        <w:t>Zweerde</w:t>
      </w:r>
      <w:proofErr w:type="spellEnd"/>
      <w:r w:rsidR="00774DEC">
        <w:rPr>
          <w:rFonts w:ascii="Arial" w:hAnsi="Arial" w:cs="Arial"/>
          <w:sz w:val="24"/>
          <w:szCs w:val="24"/>
        </w:rPr>
        <w:t xml:space="preserve"> et al. 2019).</w:t>
      </w:r>
      <w:r w:rsidR="00B077F2">
        <w:rPr>
          <w:rFonts w:ascii="Arial" w:hAnsi="Arial" w:cs="Arial"/>
          <w:sz w:val="24"/>
          <w:szCs w:val="24"/>
        </w:rPr>
        <w:t xml:space="preserve"> </w:t>
      </w:r>
      <w:r w:rsidR="00774DEC">
        <w:rPr>
          <w:rFonts w:ascii="Arial" w:hAnsi="Arial" w:cs="Arial"/>
          <w:sz w:val="24"/>
          <w:szCs w:val="24"/>
        </w:rPr>
        <w:t xml:space="preserve">Further research could be focused on the improvement of cognitive functions </w:t>
      </w:r>
      <w:proofErr w:type="gramStart"/>
      <w:r w:rsidR="00774DEC">
        <w:rPr>
          <w:rFonts w:ascii="Arial" w:hAnsi="Arial" w:cs="Arial"/>
          <w:sz w:val="24"/>
          <w:szCs w:val="24"/>
        </w:rPr>
        <w:t>as a result of</w:t>
      </w:r>
      <w:proofErr w:type="gramEnd"/>
      <w:r w:rsidR="00774DEC">
        <w:rPr>
          <w:rFonts w:ascii="Arial" w:hAnsi="Arial" w:cs="Arial"/>
          <w:sz w:val="24"/>
          <w:szCs w:val="24"/>
        </w:rPr>
        <w:t xml:space="preserve"> reduced insomnia in order to further align the success of MBCT for insomnia with more effective changes in negative thought patterns.</w:t>
      </w:r>
      <w:r w:rsidR="002B57DA">
        <w:rPr>
          <w:rFonts w:ascii="Arial" w:hAnsi="Arial" w:cs="Arial"/>
          <w:sz w:val="24"/>
          <w:szCs w:val="24"/>
        </w:rPr>
        <w:t xml:space="preserve"> Reviews on the effectiveness of CBT during the Covid-19 pandemic have been carried out </w:t>
      </w:r>
      <w:r w:rsidR="0051246F">
        <w:rPr>
          <w:rFonts w:ascii="Arial" w:hAnsi="Arial" w:cs="Arial"/>
          <w:sz w:val="24"/>
          <w:szCs w:val="24"/>
        </w:rPr>
        <w:t>and have specifically identified the pandemic as both an originating and exacerbating event for deteriorating mental health, specifically anxiety and depression. Across 28 studies, the use of CBT on clients experiencing depression and anxiety during the pandemic showed positive results in the reduction of symptoms across wide, global demographics (</w:t>
      </w:r>
      <w:proofErr w:type="spellStart"/>
      <w:r w:rsidR="0051246F">
        <w:rPr>
          <w:rFonts w:ascii="Arial" w:hAnsi="Arial" w:cs="Arial"/>
          <w:sz w:val="24"/>
          <w:szCs w:val="24"/>
        </w:rPr>
        <w:t>Zamiri-Miandoab</w:t>
      </w:r>
      <w:proofErr w:type="spellEnd"/>
      <w:r w:rsidR="0051246F">
        <w:rPr>
          <w:rFonts w:ascii="Arial" w:hAnsi="Arial" w:cs="Arial"/>
          <w:sz w:val="24"/>
          <w:szCs w:val="24"/>
        </w:rPr>
        <w:t xml:space="preserve"> et al. 2022). However, limited research of the same nature can be found relating to the effectiveness of other approaches nor did the inclusion criteria state if the participants were infected with Covid-19 which would likely link to levels of distress and therefore anxiety and depression among participants. </w:t>
      </w:r>
      <w:r w:rsidR="00172702">
        <w:rPr>
          <w:rFonts w:ascii="Arial" w:hAnsi="Arial" w:cs="Arial"/>
          <w:sz w:val="24"/>
          <w:szCs w:val="24"/>
        </w:rPr>
        <w:t xml:space="preserve">Finally, evidence suggests that mindfulness exercises, such as meditation, as promoted by MBCT are highly effective and in regards to the client from this specific case study would assist in the reduction </w:t>
      </w:r>
      <w:r w:rsidR="00172702">
        <w:rPr>
          <w:rFonts w:ascii="Arial" w:hAnsi="Arial" w:cs="Arial"/>
          <w:sz w:val="24"/>
          <w:szCs w:val="24"/>
        </w:rPr>
        <w:lastRenderedPageBreak/>
        <w:t>of negative thoughts and the reduction of physical symptoms</w:t>
      </w:r>
      <w:r w:rsidR="00DC2A81">
        <w:rPr>
          <w:rFonts w:ascii="Arial" w:hAnsi="Arial" w:cs="Arial"/>
          <w:sz w:val="24"/>
          <w:szCs w:val="24"/>
        </w:rPr>
        <w:t xml:space="preserve"> of her mood. One such meta-analysis of 21 studies in which clients had used mindfulness techniques, such as meditation, as prescribed during Mindfulness-Based Cognitive Therapy reported significant reductions in symptoms of anxiety and depression, physical well being and general thought (Blanck et al. 2018). However, across all analysed studies, none of them included clinical samples, thereby generating </w:t>
      </w:r>
      <w:r w:rsidR="00DE0F01">
        <w:rPr>
          <w:rFonts w:ascii="Arial" w:hAnsi="Arial" w:cs="Arial"/>
          <w:sz w:val="24"/>
          <w:szCs w:val="24"/>
        </w:rPr>
        <w:t xml:space="preserve">generalised </w:t>
      </w:r>
      <w:proofErr w:type="gramStart"/>
      <w:r w:rsidR="00DE0F01">
        <w:rPr>
          <w:rFonts w:ascii="Arial" w:hAnsi="Arial" w:cs="Arial"/>
          <w:sz w:val="24"/>
          <w:szCs w:val="24"/>
        </w:rPr>
        <w:t>results</w:t>
      </w:r>
      <w:proofErr w:type="gramEnd"/>
      <w:r w:rsidR="00DE0F01">
        <w:rPr>
          <w:rFonts w:ascii="Arial" w:hAnsi="Arial" w:cs="Arial"/>
          <w:sz w:val="24"/>
          <w:szCs w:val="24"/>
        </w:rPr>
        <w:t xml:space="preserve"> and therefore providing no details varying degrees in severity of symptoms before undergoing MBCT.</w:t>
      </w:r>
    </w:p>
    <w:p w14:paraId="40F444A4" w14:textId="5D3A5A81" w:rsidR="00440AB1" w:rsidRDefault="00440AB1" w:rsidP="001C2F0B">
      <w:pPr>
        <w:spacing w:line="480" w:lineRule="auto"/>
        <w:ind w:firstLine="720"/>
        <w:jc w:val="both"/>
        <w:rPr>
          <w:rFonts w:ascii="Arial" w:hAnsi="Arial" w:cs="Arial"/>
          <w:sz w:val="24"/>
          <w:szCs w:val="24"/>
        </w:rPr>
      </w:pPr>
      <w:r>
        <w:rPr>
          <w:rFonts w:ascii="Arial" w:hAnsi="Arial" w:cs="Arial"/>
          <w:sz w:val="24"/>
          <w:szCs w:val="24"/>
        </w:rPr>
        <w:t xml:space="preserve">In conclusion, Cognitive Behavioural Therapy is an approach that would not only assist the client in the reduction of her symptoms but also aid in the improvement of her thought process that cause them thereby increasing the likelihood of continued positive well being after </w:t>
      </w:r>
      <w:r w:rsidR="005C5120">
        <w:rPr>
          <w:rFonts w:ascii="Arial" w:hAnsi="Arial" w:cs="Arial"/>
          <w:sz w:val="24"/>
          <w:szCs w:val="24"/>
        </w:rPr>
        <w:t>the therapy has concluded. However, it should also be considered that other approaches would be effective in determining underlying factors that could cause the client to have generated these negative thought patterns beyond current events such as past traumas and learned behaviour. Such therapies would include the psychodynamic approach. Yet it is also worth considering that CBT has evolved to work effectively as well in the treatment of conditions relevant to such cases (Cohen &amp; Mannarino, 2019).</w:t>
      </w:r>
    </w:p>
    <w:p w14:paraId="22AEF0F7" w14:textId="2C5EEF00" w:rsidR="001C2F0B" w:rsidRDefault="001C2F0B" w:rsidP="001C2F0B">
      <w:pPr>
        <w:spacing w:line="480" w:lineRule="auto"/>
        <w:ind w:firstLine="720"/>
        <w:jc w:val="both"/>
        <w:rPr>
          <w:rFonts w:ascii="Arial" w:hAnsi="Arial" w:cs="Arial"/>
          <w:sz w:val="24"/>
          <w:szCs w:val="24"/>
        </w:rPr>
      </w:pPr>
    </w:p>
    <w:p w14:paraId="5103A07A" w14:textId="13303B1E" w:rsidR="001C2F0B" w:rsidRDefault="001C2F0B" w:rsidP="001C2F0B">
      <w:pPr>
        <w:spacing w:line="480" w:lineRule="auto"/>
        <w:ind w:firstLine="720"/>
        <w:jc w:val="both"/>
        <w:rPr>
          <w:rFonts w:ascii="Arial" w:hAnsi="Arial" w:cs="Arial"/>
          <w:sz w:val="24"/>
          <w:szCs w:val="24"/>
        </w:rPr>
      </w:pPr>
    </w:p>
    <w:p w14:paraId="3C58BCB9" w14:textId="334CE258" w:rsidR="001C2F0B" w:rsidRDefault="001C2F0B" w:rsidP="001C2F0B">
      <w:pPr>
        <w:spacing w:line="480" w:lineRule="auto"/>
        <w:ind w:firstLine="720"/>
        <w:jc w:val="both"/>
        <w:rPr>
          <w:rFonts w:ascii="Arial" w:hAnsi="Arial" w:cs="Arial"/>
          <w:sz w:val="24"/>
          <w:szCs w:val="24"/>
        </w:rPr>
      </w:pPr>
    </w:p>
    <w:p w14:paraId="27941B58" w14:textId="77E9BC7B" w:rsidR="001C2F0B" w:rsidRDefault="001C2F0B" w:rsidP="001C2F0B">
      <w:pPr>
        <w:spacing w:line="480" w:lineRule="auto"/>
        <w:ind w:firstLine="720"/>
        <w:jc w:val="both"/>
        <w:rPr>
          <w:rFonts w:ascii="Arial" w:hAnsi="Arial" w:cs="Arial"/>
          <w:sz w:val="24"/>
          <w:szCs w:val="24"/>
        </w:rPr>
      </w:pPr>
    </w:p>
    <w:p w14:paraId="5CF0BFC1" w14:textId="1AF93FBC" w:rsidR="001C2F0B" w:rsidRDefault="001C2F0B" w:rsidP="001C2F0B">
      <w:pPr>
        <w:spacing w:line="480" w:lineRule="auto"/>
        <w:ind w:firstLine="720"/>
        <w:jc w:val="both"/>
        <w:rPr>
          <w:rFonts w:ascii="Arial" w:hAnsi="Arial" w:cs="Arial"/>
          <w:sz w:val="24"/>
          <w:szCs w:val="24"/>
        </w:rPr>
      </w:pPr>
    </w:p>
    <w:p w14:paraId="2D94A4AE" w14:textId="77777777" w:rsidR="001C2F0B" w:rsidRDefault="001C2F0B" w:rsidP="001C2F0B">
      <w:pPr>
        <w:jc w:val="center"/>
        <w:rPr>
          <w:rFonts w:ascii="Arial" w:hAnsi="Arial" w:cs="Arial"/>
          <w:b/>
          <w:bCs/>
          <w:sz w:val="28"/>
          <w:szCs w:val="28"/>
        </w:rPr>
      </w:pPr>
      <w:r>
        <w:rPr>
          <w:rFonts w:ascii="Arial" w:hAnsi="Arial" w:cs="Arial"/>
          <w:b/>
          <w:bCs/>
          <w:sz w:val="28"/>
          <w:szCs w:val="28"/>
        </w:rPr>
        <w:lastRenderedPageBreak/>
        <w:t>Reference List</w:t>
      </w:r>
    </w:p>
    <w:p w14:paraId="3A7E6627" w14:textId="77777777" w:rsidR="001C2F0B" w:rsidRDefault="001C2F0B" w:rsidP="001C2F0B">
      <w:pPr>
        <w:jc w:val="center"/>
        <w:rPr>
          <w:rFonts w:ascii="Arial" w:hAnsi="Arial" w:cs="Arial"/>
          <w:b/>
          <w:bCs/>
          <w:sz w:val="28"/>
          <w:szCs w:val="28"/>
        </w:rPr>
      </w:pPr>
    </w:p>
    <w:p w14:paraId="1E21AFD3" w14:textId="77777777" w:rsidR="001C2F0B" w:rsidRDefault="001C2F0B" w:rsidP="001C2F0B">
      <w:pPr>
        <w:jc w:val="both"/>
        <w:rPr>
          <w:rFonts w:ascii="Arial" w:hAnsi="Arial" w:cs="Arial"/>
          <w:sz w:val="24"/>
          <w:szCs w:val="24"/>
        </w:rPr>
      </w:pPr>
      <w:r>
        <w:rPr>
          <w:rFonts w:ascii="Arial" w:hAnsi="Arial" w:cs="Arial"/>
          <w:sz w:val="24"/>
          <w:szCs w:val="24"/>
        </w:rPr>
        <w:t xml:space="preserve">Bernard, M. E., &amp; Dryden, W. (2019). </w:t>
      </w:r>
      <w:r>
        <w:rPr>
          <w:rFonts w:ascii="Arial" w:hAnsi="Arial" w:cs="Arial"/>
          <w:i/>
          <w:iCs/>
          <w:sz w:val="24"/>
          <w:szCs w:val="24"/>
        </w:rPr>
        <w:t xml:space="preserve">Advances in REBT. </w:t>
      </w:r>
      <w:r>
        <w:rPr>
          <w:rFonts w:ascii="Arial" w:hAnsi="Arial" w:cs="Arial"/>
          <w:sz w:val="24"/>
          <w:szCs w:val="24"/>
        </w:rPr>
        <w:t>Springer.</w:t>
      </w:r>
    </w:p>
    <w:p w14:paraId="0D62FA56" w14:textId="77777777" w:rsidR="001C2F0B" w:rsidRPr="003D3566" w:rsidRDefault="001C2F0B" w:rsidP="001C2F0B">
      <w:pPr>
        <w:jc w:val="both"/>
        <w:rPr>
          <w:rFonts w:ascii="Arial" w:hAnsi="Arial" w:cs="Arial"/>
          <w:sz w:val="24"/>
          <w:szCs w:val="24"/>
        </w:rPr>
      </w:pPr>
    </w:p>
    <w:p w14:paraId="292A7010" w14:textId="77777777" w:rsidR="001C2F0B" w:rsidRDefault="001C2F0B" w:rsidP="001C2F0B">
      <w:pPr>
        <w:jc w:val="both"/>
        <w:rPr>
          <w:rFonts w:ascii="Arial" w:hAnsi="Arial" w:cs="Arial"/>
          <w:sz w:val="24"/>
          <w:szCs w:val="24"/>
        </w:rPr>
      </w:pPr>
      <w:r>
        <w:rPr>
          <w:rFonts w:ascii="Arial" w:hAnsi="Arial" w:cs="Arial"/>
          <w:sz w:val="24"/>
          <w:szCs w:val="24"/>
        </w:rPr>
        <w:t xml:space="preserve">Beck, J. S., &amp; Fleming, S. (2021). A brief history of Aaron T. Beck, MD, and cognitive </w:t>
      </w:r>
    </w:p>
    <w:p w14:paraId="5C19DFD7"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behaviour therapy. </w:t>
      </w:r>
      <w:r>
        <w:rPr>
          <w:rFonts w:ascii="Arial" w:hAnsi="Arial" w:cs="Arial"/>
          <w:i/>
          <w:iCs/>
          <w:sz w:val="24"/>
          <w:szCs w:val="24"/>
        </w:rPr>
        <w:t>Clinical Psychology in Europe, 3</w:t>
      </w:r>
      <w:r>
        <w:rPr>
          <w:rFonts w:ascii="Arial" w:hAnsi="Arial" w:cs="Arial"/>
          <w:sz w:val="24"/>
          <w:szCs w:val="24"/>
        </w:rPr>
        <w:t>(2), 1-7.</w:t>
      </w:r>
    </w:p>
    <w:p w14:paraId="67AD26A0" w14:textId="77777777" w:rsidR="001C2F0B" w:rsidRDefault="001C2F0B" w:rsidP="001C2F0B">
      <w:pPr>
        <w:ind w:firstLine="720"/>
        <w:jc w:val="both"/>
        <w:rPr>
          <w:rFonts w:ascii="Arial" w:hAnsi="Arial" w:cs="Arial"/>
          <w:sz w:val="24"/>
          <w:szCs w:val="24"/>
        </w:rPr>
      </w:pPr>
    </w:p>
    <w:p w14:paraId="78AFBB10" w14:textId="77777777" w:rsidR="001C2F0B" w:rsidRDefault="001C2F0B" w:rsidP="001C2F0B">
      <w:pPr>
        <w:jc w:val="both"/>
        <w:rPr>
          <w:rFonts w:ascii="Arial" w:hAnsi="Arial" w:cs="Arial"/>
          <w:sz w:val="24"/>
          <w:szCs w:val="24"/>
        </w:rPr>
      </w:pPr>
      <w:r>
        <w:rPr>
          <w:rFonts w:ascii="Arial" w:hAnsi="Arial" w:cs="Arial"/>
          <w:sz w:val="24"/>
          <w:szCs w:val="24"/>
        </w:rPr>
        <w:t xml:space="preserve">Blanck, P., </w:t>
      </w:r>
      <w:proofErr w:type="spellStart"/>
      <w:r>
        <w:rPr>
          <w:rFonts w:ascii="Arial" w:hAnsi="Arial" w:cs="Arial"/>
          <w:sz w:val="24"/>
          <w:szCs w:val="24"/>
        </w:rPr>
        <w:t>Perleth</w:t>
      </w:r>
      <w:proofErr w:type="spellEnd"/>
      <w:r>
        <w:rPr>
          <w:rFonts w:ascii="Arial" w:hAnsi="Arial" w:cs="Arial"/>
          <w:sz w:val="24"/>
          <w:szCs w:val="24"/>
        </w:rPr>
        <w:t xml:space="preserve">, S., Heidenreich, T., Kroger, P., </w:t>
      </w:r>
      <w:proofErr w:type="spellStart"/>
      <w:r>
        <w:rPr>
          <w:rFonts w:ascii="Arial" w:hAnsi="Arial" w:cs="Arial"/>
          <w:sz w:val="24"/>
          <w:szCs w:val="24"/>
        </w:rPr>
        <w:t>Ditzen</w:t>
      </w:r>
      <w:proofErr w:type="spellEnd"/>
      <w:r>
        <w:rPr>
          <w:rFonts w:ascii="Arial" w:hAnsi="Arial" w:cs="Arial"/>
          <w:sz w:val="24"/>
          <w:szCs w:val="24"/>
        </w:rPr>
        <w:t xml:space="preserve"> B., Bents, H., &amp; Mander, J. </w:t>
      </w:r>
    </w:p>
    <w:p w14:paraId="08A84715"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(2018). Effects of mindfulness exercises as stand-alone intervention on </w:t>
      </w:r>
    </w:p>
    <w:p w14:paraId="3ABBA441"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symptoms of anxiety and depression: systematic review and meta-analysis. </w:t>
      </w:r>
    </w:p>
    <w:p w14:paraId="4B993139" w14:textId="77777777" w:rsidR="001C2F0B" w:rsidRDefault="001C2F0B" w:rsidP="001C2F0B">
      <w:pPr>
        <w:ind w:firstLine="720"/>
        <w:jc w:val="both"/>
        <w:rPr>
          <w:rFonts w:ascii="Arial" w:hAnsi="Arial" w:cs="Arial"/>
          <w:sz w:val="24"/>
          <w:szCs w:val="24"/>
        </w:rPr>
      </w:pPr>
      <w:r>
        <w:rPr>
          <w:rFonts w:ascii="Arial" w:hAnsi="Arial" w:cs="Arial"/>
          <w:i/>
          <w:iCs/>
          <w:sz w:val="24"/>
          <w:szCs w:val="24"/>
        </w:rPr>
        <w:t>Behaviour Research and Therapy, 102</w:t>
      </w:r>
      <w:r>
        <w:rPr>
          <w:rFonts w:ascii="Arial" w:hAnsi="Arial" w:cs="Arial"/>
          <w:sz w:val="24"/>
          <w:szCs w:val="24"/>
        </w:rPr>
        <w:t xml:space="preserve">, 25-35. </w:t>
      </w:r>
    </w:p>
    <w:p w14:paraId="4F0228DB" w14:textId="77777777" w:rsidR="001C2F0B" w:rsidRDefault="001C2F0B" w:rsidP="001C2F0B">
      <w:pPr>
        <w:ind w:firstLine="720"/>
        <w:jc w:val="both"/>
        <w:rPr>
          <w:rFonts w:ascii="Arial" w:hAnsi="Arial" w:cs="Arial"/>
          <w:sz w:val="24"/>
          <w:szCs w:val="24"/>
        </w:rPr>
      </w:pPr>
      <w:hyperlink r:id="rId4" w:history="1">
        <w:r w:rsidRPr="00641425">
          <w:rPr>
            <w:rStyle w:val="Hyperlink"/>
            <w:rFonts w:ascii="Arial" w:hAnsi="Arial" w:cs="Arial"/>
            <w:sz w:val="24"/>
            <w:szCs w:val="24"/>
          </w:rPr>
          <w:t>https://doi.org/10.1016/j.brat.2017.12.002</w:t>
        </w:r>
      </w:hyperlink>
    </w:p>
    <w:p w14:paraId="20E62889" w14:textId="77777777" w:rsidR="001C2F0B" w:rsidRDefault="001C2F0B" w:rsidP="001C2F0B">
      <w:pPr>
        <w:ind w:firstLine="720"/>
        <w:jc w:val="both"/>
        <w:rPr>
          <w:rFonts w:ascii="Arial" w:hAnsi="Arial" w:cs="Arial"/>
          <w:sz w:val="24"/>
          <w:szCs w:val="24"/>
        </w:rPr>
      </w:pPr>
    </w:p>
    <w:p w14:paraId="38ADD47B" w14:textId="77777777" w:rsidR="001C2F0B" w:rsidRDefault="001C2F0B" w:rsidP="001C2F0B">
      <w:pPr>
        <w:jc w:val="both"/>
        <w:rPr>
          <w:rFonts w:ascii="Arial" w:hAnsi="Arial" w:cs="Arial"/>
          <w:sz w:val="24"/>
          <w:szCs w:val="24"/>
        </w:rPr>
      </w:pPr>
      <w:r>
        <w:rPr>
          <w:rFonts w:ascii="Arial" w:hAnsi="Arial" w:cs="Arial"/>
          <w:sz w:val="24"/>
          <w:szCs w:val="24"/>
        </w:rPr>
        <w:t xml:space="preserve">Cohen, J. A., &amp; Mannarino, A. P. (2019). Trauma-focussed cognitive behavioural </w:t>
      </w:r>
    </w:p>
    <w:p w14:paraId="7FBD3BCF"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therapy for childhood traumatic separation. </w:t>
      </w:r>
      <w:r>
        <w:rPr>
          <w:rFonts w:ascii="Arial" w:hAnsi="Arial" w:cs="Arial"/>
          <w:i/>
          <w:iCs/>
          <w:sz w:val="24"/>
          <w:szCs w:val="24"/>
        </w:rPr>
        <w:t>Child Abuse and Neglect, 92</w:t>
      </w:r>
      <w:r>
        <w:rPr>
          <w:rFonts w:ascii="Arial" w:hAnsi="Arial" w:cs="Arial"/>
          <w:sz w:val="24"/>
          <w:szCs w:val="24"/>
        </w:rPr>
        <w:t>, 179-</w:t>
      </w:r>
    </w:p>
    <w:p w14:paraId="19AC7F32" w14:textId="77777777" w:rsidR="001C2F0B" w:rsidRPr="001F7C3D" w:rsidRDefault="001C2F0B" w:rsidP="001C2F0B">
      <w:pPr>
        <w:ind w:firstLine="720"/>
        <w:jc w:val="both"/>
        <w:rPr>
          <w:rFonts w:ascii="Arial" w:hAnsi="Arial" w:cs="Arial"/>
          <w:sz w:val="24"/>
          <w:szCs w:val="24"/>
        </w:rPr>
      </w:pPr>
      <w:r>
        <w:rPr>
          <w:rFonts w:ascii="Arial" w:hAnsi="Arial" w:cs="Arial"/>
          <w:sz w:val="24"/>
          <w:szCs w:val="24"/>
        </w:rPr>
        <w:t xml:space="preserve">195. </w:t>
      </w:r>
      <w:hyperlink r:id="rId5" w:tgtFrame="_blank" w:tooltip="Persistent link using digital object identifier" w:history="1">
        <w:r w:rsidRPr="001F7C3D">
          <w:rPr>
            <w:rStyle w:val="Hyperlink"/>
            <w:rFonts w:ascii="Arial" w:hAnsi="Arial" w:cs="Arial"/>
            <w:sz w:val="24"/>
            <w:szCs w:val="24"/>
          </w:rPr>
          <w:t>https://doi.org/10.1016/j.chiabu.2019.03.006</w:t>
        </w:r>
      </w:hyperlink>
    </w:p>
    <w:p w14:paraId="0998528C" w14:textId="77777777" w:rsidR="001C2F0B" w:rsidRDefault="001C2F0B" w:rsidP="001C2F0B">
      <w:pPr>
        <w:ind w:firstLine="720"/>
        <w:jc w:val="both"/>
        <w:rPr>
          <w:rFonts w:ascii="Arial" w:hAnsi="Arial" w:cs="Arial"/>
          <w:sz w:val="24"/>
          <w:szCs w:val="24"/>
        </w:rPr>
      </w:pPr>
    </w:p>
    <w:p w14:paraId="33A36CDF" w14:textId="77777777" w:rsidR="001C2F0B" w:rsidRPr="00C64D63" w:rsidRDefault="001C2F0B" w:rsidP="001C2F0B">
      <w:pPr>
        <w:jc w:val="both"/>
        <w:rPr>
          <w:rFonts w:ascii="Arial" w:hAnsi="Arial" w:cs="Arial"/>
          <w:sz w:val="24"/>
          <w:szCs w:val="24"/>
        </w:rPr>
      </w:pPr>
      <w:r>
        <w:rPr>
          <w:rFonts w:ascii="Arial" w:hAnsi="Arial" w:cs="Arial"/>
          <w:sz w:val="24"/>
          <w:szCs w:val="24"/>
        </w:rPr>
        <w:t xml:space="preserve">Curwen, B., Palmer, S., &amp; Ruddell, P. (2018). </w:t>
      </w:r>
      <w:r>
        <w:rPr>
          <w:rFonts w:ascii="Arial" w:hAnsi="Arial" w:cs="Arial"/>
          <w:i/>
          <w:iCs/>
          <w:sz w:val="24"/>
          <w:szCs w:val="24"/>
        </w:rPr>
        <w:t xml:space="preserve">Brief Cognitive Behaviour Therapy. </w:t>
      </w:r>
      <w:r>
        <w:rPr>
          <w:rFonts w:ascii="Arial" w:hAnsi="Arial" w:cs="Arial"/>
          <w:sz w:val="24"/>
          <w:szCs w:val="24"/>
        </w:rPr>
        <w:t>Sage.</w:t>
      </w:r>
    </w:p>
    <w:p w14:paraId="1F9480B4" w14:textId="77777777" w:rsidR="001C2F0B" w:rsidRDefault="001C2F0B" w:rsidP="001C2F0B">
      <w:pPr>
        <w:ind w:firstLine="720"/>
        <w:jc w:val="both"/>
        <w:rPr>
          <w:rFonts w:ascii="Arial" w:hAnsi="Arial" w:cs="Arial"/>
          <w:sz w:val="24"/>
          <w:szCs w:val="24"/>
        </w:rPr>
      </w:pPr>
    </w:p>
    <w:p w14:paraId="1F1A3D21" w14:textId="77777777" w:rsidR="001C2F0B" w:rsidRDefault="001C2F0B" w:rsidP="001C2F0B">
      <w:pPr>
        <w:jc w:val="both"/>
        <w:rPr>
          <w:rFonts w:ascii="Arial" w:hAnsi="Arial" w:cs="Arial"/>
          <w:sz w:val="24"/>
          <w:szCs w:val="24"/>
        </w:rPr>
      </w:pPr>
      <w:r>
        <w:rPr>
          <w:rFonts w:ascii="Arial" w:hAnsi="Arial" w:cs="Arial"/>
          <w:sz w:val="24"/>
          <w:szCs w:val="24"/>
        </w:rPr>
        <w:t xml:space="preserve">David, D., Cristea, I., &amp; Hoffman, S. G. (2018). Why cognitive behavioural therapy is </w:t>
      </w:r>
    </w:p>
    <w:p w14:paraId="4CA7D642" w14:textId="77777777" w:rsidR="001C2F0B" w:rsidRDefault="001C2F0B" w:rsidP="001C2F0B">
      <w:pPr>
        <w:ind w:firstLine="720"/>
        <w:jc w:val="both"/>
        <w:rPr>
          <w:rFonts w:ascii="Arial" w:hAnsi="Arial" w:cs="Arial"/>
          <w:i/>
          <w:iCs/>
          <w:sz w:val="24"/>
          <w:szCs w:val="24"/>
        </w:rPr>
      </w:pPr>
      <w:r>
        <w:rPr>
          <w:rFonts w:ascii="Arial" w:hAnsi="Arial" w:cs="Arial"/>
          <w:sz w:val="24"/>
          <w:szCs w:val="24"/>
        </w:rPr>
        <w:t xml:space="preserve">the current gold standard of psychotherapy. </w:t>
      </w:r>
      <w:r>
        <w:rPr>
          <w:rFonts w:ascii="Arial" w:hAnsi="Arial" w:cs="Arial"/>
          <w:i/>
          <w:iCs/>
          <w:sz w:val="24"/>
          <w:szCs w:val="24"/>
        </w:rPr>
        <w:t xml:space="preserve">Frontiers in Psychiatry, 4. </w:t>
      </w:r>
    </w:p>
    <w:p w14:paraId="5DD36F73" w14:textId="77777777" w:rsidR="001C2F0B" w:rsidRDefault="001C2F0B" w:rsidP="001C2F0B">
      <w:pPr>
        <w:ind w:firstLine="720"/>
        <w:jc w:val="both"/>
        <w:rPr>
          <w:rFonts w:ascii="Arial" w:hAnsi="Arial" w:cs="Arial"/>
          <w:sz w:val="24"/>
          <w:szCs w:val="24"/>
        </w:rPr>
      </w:pPr>
      <w:hyperlink r:id="rId6" w:history="1">
        <w:r w:rsidRPr="00641425">
          <w:rPr>
            <w:rStyle w:val="Hyperlink"/>
            <w:rFonts w:ascii="Arial" w:hAnsi="Arial" w:cs="Arial"/>
            <w:sz w:val="24"/>
            <w:szCs w:val="24"/>
          </w:rPr>
          <w:t>https://doi.org/10.3389/fpsyt.2018.00004</w:t>
        </w:r>
      </w:hyperlink>
    </w:p>
    <w:p w14:paraId="136787F0" w14:textId="77777777" w:rsidR="001C2F0B" w:rsidRDefault="001C2F0B" w:rsidP="001C2F0B">
      <w:pPr>
        <w:ind w:firstLine="720"/>
        <w:jc w:val="both"/>
        <w:rPr>
          <w:rFonts w:ascii="Arial" w:hAnsi="Arial" w:cs="Arial"/>
          <w:sz w:val="24"/>
          <w:szCs w:val="24"/>
        </w:rPr>
      </w:pPr>
    </w:p>
    <w:p w14:paraId="05D6D104" w14:textId="77777777" w:rsidR="001C2F0B" w:rsidRDefault="001C2F0B" w:rsidP="001C2F0B">
      <w:pPr>
        <w:jc w:val="both"/>
        <w:rPr>
          <w:rFonts w:ascii="Arial" w:hAnsi="Arial" w:cs="Arial"/>
          <w:i/>
          <w:iCs/>
          <w:sz w:val="24"/>
          <w:szCs w:val="24"/>
        </w:rPr>
      </w:pPr>
      <w:r>
        <w:rPr>
          <w:rFonts w:ascii="Arial" w:hAnsi="Arial" w:cs="Arial"/>
          <w:sz w:val="24"/>
          <w:szCs w:val="24"/>
        </w:rPr>
        <w:t xml:space="preserve">Dobson, D., &amp; Dobson, K. (2018). </w:t>
      </w:r>
      <w:r>
        <w:rPr>
          <w:rFonts w:ascii="Arial" w:hAnsi="Arial" w:cs="Arial"/>
          <w:i/>
          <w:iCs/>
          <w:sz w:val="24"/>
          <w:szCs w:val="24"/>
        </w:rPr>
        <w:t xml:space="preserve">Evidence-Based Practice of Cognitive-Behavioural </w:t>
      </w:r>
    </w:p>
    <w:p w14:paraId="1D1D3D3A" w14:textId="77777777" w:rsidR="001C2F0B" w:rsidRPr="001676C3" w:rsidRDefault="001C2F0B" w:rsidP="001C2F0B">
      <w:pPr>
        <w:ind w:firstLine="720"/>
        <w:jc w:val="both"/>
        <w:rPr>
          <w:rFonts w:ascii="Arial" w:hAnsi="Arial" w:cs="Arial"/>
          <w:sz w:val="24"/>
          <w:szCs w:val="24"/>
        </w:rPr>
      </w:pPr>
      <w:r>
        <w:rPr>
          <w:rFonts w:ascii="Arial" w:hAnsi="Arial" w:cs="Arial"/>
          <w:i/>
          <w:iCs/>
          <w:sz w:val="24"/>
          <w:szCs w:val="24"/>
        </w:rPr>
        <w:t xml:space="preserve">Therapy. </w:t>
      </w:r>
      <w:r>
        <w:rPr>
          <w:rFonts w:ascii="Arial" w:hAnsi="Arial" w:cs="Arial"/>
          <w:sz w:val="24"/>
          <w:szCs w:val="24"/>
        </w:rPr>
        <w:t>The Guilford Press.</w:t>
      </w:r>
    </w:p>
    <w:p w14:paraId="05C2AB72" w14:textId="77777777" w:rsidR="001C2F0B" w:rsidRPr="00D63885" w:rsidRDefault="001C2F0B" w:rsidP="001C2F0B">
      <w:pPr>
        <w:ind w:firstLine="720"/>
        <w:jc w:val="both"/>
        <w:rPr>
          <w:rFonts w:ascii="Arial" w:hAnsi="Arial" w:cs="Arial"/>
          <w:sz w:val="24"/>
          <w:szCs w:val="24"/>
        </w:rPr>
      </w:pPr>
    </w:p>
    <w:p w14:paraId="1837F1EF" w14:textId="77777777" w:rsidR="001C2F0B" w:rsidRDefault="001C2F0B" w:rsidP="001C2F0B">
      <w:pPr>
        <w:jc w:val="both"/>
        <w:rPr>
          <w:rFonts w:ascii="Arial" w:hAnsi="Arial" w:cs="Arial"/>
          <w:i/>
          <w:iCs/>
          <w:sz w:val="24"/>
          <w:szCs w:val="24"/>
        </w:rPr>
      </w:pPr>
      <w:r>
        <w:rPr>
          <w:rFonts w:ascii="Arial" w:hAnsi="Arial" w:cs="Arial"/>
          <w:sz w:val="24"/>
          <w:szCs w:val="24"/>
        </w:rPr>
        <w:t xml:space="preserve">Dixon-Gordon, K. L., &amp; Chapman, A. L. (2020). </w:t>
      </w:r>
      <w:r>
        <w:rPr>
          <w:rFonts w:ascii="Arial" w:hAnsi="Arial" w:cs="Arial"/>
          <w:i/>
          <w:iCs/>
          <w:sz w:val="24"/>
          <w:szCs w:val="24"/>
        </w:rPr>
        <w:t xml:space="preserve">Dialectical Behaviour Therapy. </w:t>
      </w:r>
    </w:p>
    <w:p w14:paraId="3549162C" w14:textId="77777777" w:rsidR="001C2F0B" w:rsidRDefault="001C2F0B" w:rsidP="001C2F0B">
      <w:pPr>
        <w:ind w:firstLine="720"/>
        <w:jc w:val="both"/>
        <w:rPr>
          <w:rFonts w:ascii="Arial" w:hAnsi="Arial" w:cs="Arial"/>
          <w:sz w:val="24"/>
          <w:szCs w:val="24"/>
        </w:rPr>
      </w:pPr>
      <w:r>
        <w:rPr>
          <w:rFonts w:ascii="Arial" w:hAnsi="Arial" w:cs="Arial"/>
          <w:sz w:val="24"/>
          <w:szCs w:val="24"/>
        </w:rPr>
        <w:t>American Psychological Association.</w:t>
      </w:r>
    </w:p>
    <w:p w14:paraId="4FE4603D" w14:textId="77777777" w:rsidR="001C2F0B" w:rsidRDefault="001C2F0B" w:rsidP="001C2F0B">
      <w:pPr>
        <w:ind w:firstLine="720"/>
        <w:jc w:val="both"/>
        <w:rPr>
          <w:rFonts w:ascii="Arial" w:hAnsi="Arial" w:cs="Arial"/>
          <w:sz w:val="24"/>
          <w:szCs w:val="24"/>
        </w:rPr>
      </w:pPr>
    </w:p>
    <w:p w14:paraId="074CDE3A" w14:textId="77777777" w:rsidR="001C2F0B" w:rsidRDefault="001C2F0B" w:rsidP="001C2F0B">
      <w:pPr>
        <w:jc w:val="both"/>
        <w:rPr>
          <w:rFonts w:ascii="Arial" w:hAnsi="Arial" w:cs="Arial"/>
          <w:sz w:val="24"/>
          <w:szCs w:val="24"/>
        </w:rPr>
      </w:pPr>
      <w:r>
        <w:rPr>
          <w:rFonts w:ascii="Arial" w:hAnsi="Arial" w:cs="Arial"/>
          <w:sz w:val="24"/>
          <w:szCs w:val="24"/>
        </w:rPr>
        <w:t xml:space="preserve">Ellis, D. J. (2021) </w:t>
      </w:r>
      <w:r>
        <w:rPr>
          <w:rFonts w:ascii="Arial" w:hAnsi="Arial" w:cs="Arial"/>
          <w:i/>
          <w:iCs/>
          <w:sz w:val="24"/>
          <w:szCs w:val="24"/>
        </w:rPr>
        <w:t xml:space="preserve">Rational Emotive Behaviour Therapy. </w:t>
      </w:r>
      <w:r>
        <w:rPr>
          <w:rFonts w:ascii="Arial" w:hAnsi="Arial" w:cs="Arial"/>
          <w:sz w:val="24"/>
          <w:szCs w:val="24"/>
        </w:rPr>
        <w:t xml:space="preserve">American Psychological </w:t>
      </w:r>
    </w:p>
    <w:p w14:paraId="2AF61749" w14:textId="77777777" w:rsidR="001C2F0B" w:rsidRDefault="001C2F0B" w:rsidP="001C2F0B">
      <w:pPr>
        <w:ind w:firstLine="720"/>
        <w:jc w:val="both"/>
        <w:rPr>
          <w:rFonts w:ascii="Arial" w:hAnsi="Arial" w:cs="Arial"/>
          <w:sz w:val="24"/>
          <w:szCs w:val="24"/>
        </w:rPr>
      </w:pPr>
      <w:r>
        <w:rPr>
          <w:rFonts w:ascii="Arial" w:hAnsi="Arial" w:cs="Arial"/>
          <w:sz w:val="24"/>
          <w:szCs w:val="24"/>
        </w:rPr>
        <w:lastRenderedPageBreak/>
        <w:t xml:space="preserve">Association. </w:t>
      </w:r>
      <w:hyperlink r:id="rId7" w:tgtFrame="_blank" w:history="1">
        <w:r w:rsidRPr="00941BE1">
          <w:rPr>
            <w:rStyle w:val="Hyperlink"/>
            <w:rFonts w:ascii="Arial" w:hAnsi="Arial" w:cs="Arial"/>
            <w:sz w:val="24"/>
            <w:szCs w:val="24"/>
          </w:rPr>
          <w:t>https://doi.org/10.1037/0000218-015</w:t>
        </w:r>
      </w:hyperlink>
    </w:p>
    <w:p w14:paraId="3DE8188C" w14:textId="77777777" w:rsidR="001C2F0B" w:rsidRDefault="001C2F0B" w:rsidP="001C2F0B">
      <w:pPr>
        <w:ind w:firstLine="720"/>
        <w:jc w:val="both"/>
        <w:rPr>
          <w:rFonts w:ascii="Arial" w:hAnsi="Arial" w:cs="Arial"/>
          <w:sz w:val="24"/>
          <w:szCs w:val="24"/>
        </w:rPr>
      </w:pPr>
    </w:p>
    <w:p w14:paraId="0C028236" w14:textId="77777777" w:rsidR="001C2F0B" w:rsidRDefault="001C2F0B" w:rsidP="001C2F0B">
      <w:pPr>
        <w:jc w:val="both"/>
        <w:rPr>
          <w:rFonts w:ascii="Arial" w:hAnsi="Arial" w:cs="Arial"/>
          <w:i/>
          <w:iCs/>
          <w:sz w:val="24"/>
          <w:szCs w:val="24"/>
        </w:rPr>
      </w:pPr>
      <w:r>
        <w:rPr>
          <w:rFonts w:ascii="Arial" w:hAnsi="Arial" w:cs="Arial"/>
          <w:sz w:val="24"/>
          <w:szCs w:val="24"/>
        </w:rPr>
        <w:t xml:space="preserve">Feldman, M. (2019). </w:t>
      </w:r>
      <w:r w:rsidRPr="00930A14">
        <w:rPr>
          <w:rFonts w:ascii="Arial" w:hAnsi="Arial" w:cs="Arial"/>
          <w:i/>
          <w:iCs/>
          <w:sz w:val="24"/>
          <w:szCs w:val="24"/>
        </w:rPr>
        <w:t xml:space="preserve">A CBT-Based Stress Management Intervention </w:t>
      </w:r>
      <w:proofErr w:type="gramStart"/>
      <w:r w:rsidRPr="00930A14">
        <w:rPr>
          <w:rFonts w:ascii="Arial" w:hAnsi="Arial" w:cs="Arial"/>
          <w:i/>
          <w:iCs/>
          <w:sz w:val="24"/>
          <w:szCs w:val="24"/>
        </w:rPr>
        <w:t>For</w:t>
      </w:r>
      <w:proofErr w:type="gramEnd"/>
      <w:r w:rsidRPr="00930A14">
        <w:rPr>
          <w:rFonts w:ascii="Arial" w:hAnsi="Arial" w:cs="Arial"/>
          <w:i/>
          <w:iCs/>
          <w:sz w:val="24"/>
          <w:szCs w:val="24"/>
        </w:rPr>
        <w:t xml:space="preserve"> Work-Related </w:t>
      </w:r>
    </w:p>
    <w:p w14:paraId="574A12CE" w14:textId="77777777" w:rsidR="001C2F0B" w:rsidRPr="00930A14" w:rsidRDefault="001C2F0B" w:rsidP="001C2F0B">
      <w:pPr>
        <w:ind w:firstLine="720"/>
        <w:jc w:val="both"/>
        <w:rPr>
          <w:rFonts w:ascii="Arial" w:hAnsi="Arial" w:cs="Arial"/>
          <w:i/>
          <w:iCs/>
          <w:sz w:val="24"/>
          <w:szCs w:val="24"/>
        </w:rPr>
      </w:pPr>
      <w:r w:rsidRPr="00930A14">
        <w:rPr>
          <w:rFonts w:ascii="Arial" w:hAnsi="Arial" w:cs="Arial"/>
          <w:i/>
          <w:iCs/>
          <w:sz w:val="24"/>
          <w:szCs w:val="24"/>
        </w:rPr>
        <w:t>Stress.</w:t>
      </w:r>
      <w:r>
        <w:rPr>
          <w:rFonts w:ascii="Arial" w:hAnsi="Arial" w:cs="Arial"/>
          <w:i/>
          <w:iCs/>
          <w:sz w:val="24"/>
          <w:szCs w:val="24"/>
        </w:rPr>
        <w:t xml:space="preserve"> </w:t>
      </w:r>
      <w:r>
        <w:rPr>
          <w:rFonts w:ascii="Arial" w:hAnsi="Arial" w:cs="Arial"/>
          <w:sz w:val="24"/>
          <w:szCs w:val="24"/>
        </w:rPr>
        <w:t>Palo Alto University.</w:t>
      </w:r>
      <w:r w:rsidRPr="00930A14">
        <w:rPr>
          <w:rFonts w:ascii="Arial" w:hAnsi="Arial" w:cs="Arial"/>
          <w:i/>
          <w:iCs/>
          <w:sz w:val="24"/>
          <w:szCs w:val="24"/>
        </w:rPr>
        <w:t xml:space="preserve"> </w:t>
      </w:r>
    </w:p>
    <w:p w14:paraId="4FC043B9" w14:textId="77777777" w:rsidR="001C2F0B" w:rsidRDefault="001C2F0B" w:rsidP="001C2F0B">
      <w:pPr>
        <w:ind w:firstLine="720"/>
        <w:jc w:val="both"/>
        <w:rPr>
          <w:rFonts w:ascii="Arial" w:hAnsi="Arial" w:cs="Arial"/>
          <w:sz w:val="24"/>
          <w:szCs w:val="24"/>
        </w:rPr>
      </w:pPr>
    </w:p>
    <w:p w14:paraId="1DF2F6B6" w14:textId="77777777" w:rsidR="001C2F0B" w:rsidRDefault="001C2F0B" w:rsidP="001C2F0B">
      <w:pPr>
        <w:jc w:val="both"/>
        <w:rPr>
          <w:rFonts w:ascii="Arial" w:hAnsi="Arial" w:cs="Arial"/>
          <w:sz w:val="24"/>
          <w:szCs w:val="24"/>
        </w:rPr>
      </w:pPr>
      <w:r>
        <w:rPr>
          <w:rFonts w:ascii="Arial" w:hAnsi="Arial" w:cs="Arial"/>
          <w:sz w:val="24"/>
          <w:szCs w:val="24"/>
        </w:rPr>
        <w:t xml:space="preserve">Ford, J. D. (2021) Progression and limitations in the treatment of complex PTSD and </w:t>
      </w:r>
    </w:p>
    <w:p w14:paraId="0CEF6A2E"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developmental trauma disorder. </w:t>
      </w:r>
      <w:r>
        <w:rPr>
          <w:rFonts w:ascii="Arial" w:hAnsi="Arial" w:cs="Arial"/>
          <w:i/>
          <w:iCs/>
          <w:sz w:val="24"/>
          <w:szCs w:val="24"/>
        </w:rPr>
        <w:t>Current Treatment Options in Psychiatry 8</w:t>
      </w:r>
      <w:r>
        <w:rPr>
          <w:rFonts w:ascii="Arial" w:hAnsi="Arial" w:cs="Arial"/>
          <w:sz w:val="24"/>
          <w:szCs w:val="24"/>
        </w:rPr>
        <w:t xml:space="preserve">(1), </w:t>
      </w:r>
    </w:p>
    <w:p w14:paraId="57C913D1" w14:textId="77777777" w:rsidR="001C2F0B" w:rsidRPr="000A7455" w:rsidRDefault="001C2F0B" w:rsidP="001C2F0B">
      <w:pPr>
        <w:ind w:firstLine="720"/>
        <w:jc w:val="both"/>
        <w:rPr>
          <w:rFonts w:ascii="Arial" w:hAnsi="Arial" w:cs="Arial"/>
          <w:sz w:val="24"/>
          <w:szCs w:val="24"/>
        </w:rPr>
      </w:pPr>
      <w:r>
        <w:rPr>
          <w:rFonts w:ascii="Arial" w:hAnsi="Arial" w:cs="Arial"/>
          <w:sz w:val="24"/>
          <w:szCs w:val="24"/>
        </w:rPr>
        <w:t>1-7.</w:t>
      </w:r>
    </w:p>
    <w:p w14:paraId="580A201A" w14:textId="77777777" w:rsidR="001C2F0B" w:rsidRDefault="001C2F0B" w:rsidP="001C2F0B">
      <w:pPr>
        <w:ind w:firstLine="720"/>
        <w:jc w:val="both"/>
        <w:rPr>
          <w:rFonts w:ascii="Arial" w:hAnsi="Arial" w:cs="Arial"/>
          <w:sz w:val="24"/>
          <w:szCs w:val="24"/>
        </w:rPr>
      </w:pPr>
    </w:p>
    <w:p w14:paraId="177E63DC" w14:textId="77777777" w:rsidR="001C2F0B" w:rsidRDefault="001C2F0B" w:rsidP="001C2F0B">
      <w:pPr>
        <w:jc w:val="both"/>
        <w:rPr>
          <w:rFonts w:ascii="Arial" w:hAnsi="Arial" w:cs="Arial"/>
          <w:i/>
          <w:iCs/>
          <w:sz w:val="24"/>
          <w:szCs w:val="24"/>
        </w:rPr>
      </w:pPr>
      <w:r>
        <w:rPr>
          <w:rFonts w:ascii="Arial" w:hAnsi="Arial" w:cs="Arial"/>
          <w:sz w:val="24"/>
          <w:szCs w:val="24"/>
        </w:rPr>
        <w:t xml:space="preserve">Garrett, M. (2019). </w:t>
      </w:r>
      <w:r>
        <w:rPr>
          <w:rFonts w:ascii="Arial" w:hAnsi="Arial" w:cs="Arial"/>
          <w:i/>
          <w:iCs/>
          <w:sz w:val="24"/>
          <w:szCs w:val="24"/>
        </w:rPr>
        <w:t xml:space="preserve">Psychotherapy for Psychosis: integrating cognitive-behavioural </w:t>
      </w:r>
    </w:p>
    <w:p w14:paraId="66C99D4D" w14:textId="77777777" w:rsidR="001C2F0B" w:rsidRDefault="001C2F0B" w:rsidP="001C2F0B">
      <w:pPr>
        <w:ind w:firstLine="720"/>
        <w:jc w:val="both"/>
        <w:rPr>
          <w:rFonts w:ascii="Arial" w:hAnsi="Arial" w:cs="Arial"/>
          <w:sz w:val="24"/>
          <w:szCs w:val="24"/>
        </w:rPr>
      </w:pPr>
      <w:r>
        <w:rPr>
          <w:rFonts w:ascii="Arial" w:hAnsi="Arial" w:cs="Arial"/>
          <w:i/>
          <w:iCs/>
          <w:sz w:val="24"/>
          <w:szCs w:val="24"/>
        </w:rPr>
        <w:t xml:space="preserve">and psychodynamic treatment. </w:t>
      </w:r>
      <w:r>
        <w:rPr>
          <w:rFonts w:ascii="Arial" w:hAnsi="Arial" w:cs="Arial"/>
          <w:sz w:val="24"/>
          <w:szCs w:val="24"/>
        </w:rPr>
        <w:t>Guilford Publications.</w:t>
      </w:r>
    </w:p>
    <w:p w14:paraId="5FA47D85" w14:textId="77777777" w:rsidR="001C2F0B" w:rsidRDefault="001C2F0B" w:rsidP="001C2F0B">
      <w:pPr>
        <w:ind w:firstLine="720"/>
        <w:jc w:val="both"/>
        <w:rPr>
          <w:rFonts w:ascii="Arial" w:hAnsi="Arial" w:cs="Arial"/>
          <w:sz w:val="24"/>
          <w:szCs w:val="24"/>
        </w:rPr>
      </w:pPr>
    </w:p>
    <w:p w14:paraId="44703C65" w14:textId="77777777" w:rsidR="001C2F0B" w:rsidRDefault="001C2F0B" w:rsidP="001C2F0B">
      <w:pPr>
        <w:jc w:val="both"/>
        <w:rPr>
          <w:rFonts w:ascii="Arial" w:hAnsi="Arial" w:cs="Arial"/>
          <w:sz w:val="24"/>
          <w:szCs w:val="24"/>
        </w:rPr>
      </w:pPr>
      <w:r>
        <w:rPr>
          <w:rFonts w:ascii="Arial" w:hAnsi="Arial" w:cs="Arial"/>
          <w:sz w:val="24"/>
          <w:szCs w:val="24"/>
        </w:rPr>
        <w:t xml:space="preserve">Kalin, N. H. (2020). The critical relationship between anxiety and depression. </w:t>
      </w:r>
    </w:p>
    <w:p w14:paraId="20C9C9CE" w14:textId="77777777" w:rsidR="001C2F0B" w:rsidRDefault="001C2F0B" w:rsidP="001C2F0B">
      <w:pPr>
        <w:ind w:firstLine="720"/>
        <w:jc w:val="both"/>
        <w:rPr>
          <w:rFonts w:ascii="Arial" w:hAnsi="Arial" w:cs="Arial"/>
          <w:sz w:val="24"/>
          <w:szCs w:val="24"/>
        </w:rPr>
      </w:pPr>
      <w:r>
        <w:rPr>
          <w:rFonts w:ascii="Arial" w:hAnsi="Arial" w:cs="Arial"/>
          <w:i/>
          <w:iCs/>
          <w:sz w:val="24"/>
          <w:szCs w:val="24"/>
        </w:rPr>
        <w:t>American Journal of Psychiatry, 177</w:t>
      </w:r>
      <w:r>
        <w:rPr>
          <w:rFonts w:ascii="Arial" w:hAnsi="Arial" w:cs="Arial"/>
          <w:sz w:val="24"/>
          <w:szCs w:val="24"/>
        </w:rPr>
        <w:t xml:space="preserve">(5), 365-367. </w:t>
      </w:r>
    </w:p>
    <w:p w14:paraId="784FB8E0" w14:textId="77777777" w:rsidR="001C2F0B" w:rsidRPr="007D29B1" w:rsidRDefault="001C2F0B" w:rsidP="001C2F0B">
      <w:pPr>
        <w:ind w:firstLine="720"/>
        <w:jc w:val="both"/>
        <w:rPr>
          <w:rFonts w:ascii="Arial" w:hAnsi="Arial" w:cs="Arial"/>
          <w:sz w:val="24"/>
          <w:szCs w:val="24"/>
        </w:rPr>
      </w:pPr>
      <w:hyperlink r:id="rId8" w:history="1">
        <w:r w:rsidRPr="00641425">
          <w:rPr>
            <w:rStyle w:val="Hyperlink"/>
            <w:rFonts w:ascii="Arial" w:hAnsi="Arial" w:cs="Arial"/>
            <w:sz w:val="24"/>
            <w:szCs w:val="24"/>
          </w:rPr>
          <w:t>https://doi.org/10.1176/appi.ajp.2020.20030305</w:t>
        </w:r>
      </w:hyperlink>
    </w:p>
    <w:p w14:paraId="25746FCC" w14:textId="77777777" w:rsidR="001C2F0B" w:rsidRDefault="001C2F0B" w:rsidP="001C2F0B">
      <w:pPr>
        <w:ind w:firstLine="720"/>
        <w:jc w:val="both"/>
        <w:rPr>
          <w:rFonts w:ascii="Arial" w:hAnsi="Arial" w:cs="Arial"/>
          <w:sz w:val="24"/>
          <w:szCs w:val="24"/>
        </w:rPr>
      </w:pPr>
    </w:p>
    <w:p w14:paraId="7EF1B9DA" w14:textId="77777777" w:rsidR="001C2F0B" w:rsidRDefault="001C2F0B" w:rsidP="001C2F0B">
      <w:pPr>
        <w:jc w:val="both"/>
        <w:rPr>
          <w:rFonts w:ascii="Arial" w:hAnsi="Arial" w:cs="Arial"/>
          <w:sz w:val="24"/>
          <w:szCs w:val="24"/>
        </w:rPr>
      </w:pPr>
      <w:r>
        <w:rPr>
          <w:rFonts w:ascii="Arial" w:hAnsi="Arial" w:cs="Arial"/>
          <w:sz w:val="24"/>
          <w:szCs w:val="24"/>
        </w:rPr>
        <w:t xml:space="preserve">Kandola, A., </w:t>
      </w:r>
      <w:proofErr w:type="spellStart"/>
      <w:r>
        <w:rPr>
          <w:rFonts w:ascii="Arial" w:hAnsi="Arial" w:cs="Arial"/>
          <w:sz w:val="24"/>
          <w:szCs w:val="24"/>
        </w:rPr>
        <w:t>Vancampfort</w:t>
      </w:r>
      <w:proofErr w:type="spellEnd"/>
      <w:r>
        <w:rPr>
          <w:rFonts w:ascii="Arial" w:hAnsi="Arial" w:cs="Arial"/>
          <w:sz w:val="24"/>
          <w:szCs w:val="24"/>
        </w:rPr>
        <w:t xml:space="preserve">, D., Herring, M., Rebar, A., Hallgren, M., Firth, J., &amp; Stubbs, </w:t>
      </w:r>
    </w:p>
    <w:p w14:paraId="1A73CABF"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B. (2018). Moving to beat anxiety: epidemiology and therapeutic issues with </w:t>
      </w:r>
    </w:p>
    <w:p w14:paraId="6735C040" w14:textId="77777777" w:rsidR="001C2F0B" w:rsidRPr="001D37AC" w:rsidRDefault="001C2F0B" w:rsidP="001C2F0B">
      <w:pPr>
        <w:ind w:firstLine="720"/>
        <w:jc w:val="both"/>
        <w:rPr>
          <w:rFonts w:ascii="Arial" w:hAnsi="Arial" w:cs="Arial"/>
          <w:sz w:val="24"/>
          <w:szCs w:val="24"/>
        </w:rPr>
      </w:pPr>
      <w:r>
        <w:rPr>
          <w:rFonts w:ascii="Arial" w:hAnsi="Arial" w:cs="Arial"/>
          <w:sz w:val="24"/>
          <w:szCs w:val="24"/>
        </w:rPr>
        <w:t xml:space="preserve">physical activity for anxiety. </w:t>
      </w:r>
      <w:r>
        <w:rPr>
          <w:rFonts w:ascii="Arial" w:hAnsi="Arial" w:cs="Arial"/>
          <w:i/>
          <w:iCs/>
          <w:sz w:val="24"/>
          <w:szCs w:val="24"/>
        </w:rPr>
        <w:t>Current Psychiatry Reports, 20</w:t>
      </w:r>
      <w:r>
        <w:rPr>
          <w:rFonts w:ascii="Arial" w:hAnsi="Arial" w:cs="Arial"/>
          <w:sz w:val="24"/>
          <w:szCs w:val="24"/>
        </w:rPr>
        <w:t>(8), 1-9.</w:t>
      </w:r>
    </w:p>
    <w:p w14:paraId="141D404D" w14:textId="77777777" w:rsidR="001C2F0B" w:rsidRDefault="001C2F0B" w:rsidP="001C2F0B">
      <w:pPr>
        <w:jc w:val="both"/>
        <w:rPr>
          <w:rFonts w:ascii="Arial" w:hAnsi="Arial" w:cs="Arial"/>
          <w:sz w:val="24"/>
          <w:szCs w:val="24"/>
        </w:rPr>
      </w:pPr>
    </w:p>
    <w:p w14:paraId="413896C6" w14:textId="77777777" w:rsidR="001C2F0B" w:rsidRDefault="001C2F0B" w:rsidP="001C2F0B">
      <w:pPr>
        <w:jc w:val="both"/>
        <w:rPr>
          <w:rFonts w:ascii="Arial" w:hAnsi="Arial" w:cs="Arial"/>
          <w:i/>
          <w:iCs/>
          <w:sz w:val="24"/>
          <w:szCs w:val="24"/>
        </w:rPr>
      </w:pPr>
      <w:r>
        <w:rPr>
          <w:rFonts w:ascii="Arial" w:hAnsi="Arial" w:cs="Arial"/>
          <w:sz w:val="24"/>
          <w:szCs w:val="24"/>
        </w:rPr>
        <w:t xml:space="preserve">Misciagna, S. (2020). </w:t>
      </w:r>
      <w:r>
        <w:rPr>
          <w:rFonts w:ascii="Arial" w:hAnsi="Arial" w:cs="Arial"/>
          <w:i/>
          <w:iCs/>
          <w:sz w:val="24"/>
          <w:szCs w:val="24"/>
        </w:rPr>
        <w:t xml:space="preserve">Cognitive Behavioural Therapy: Theories and Applications. </w:t>
      </w:r>
    </w:p>
    <w:p w14:paraId="32FD0ABD" w14:textId="77777777" w:rsidR="001C2F0B" w:rsidRDefault="001C2F0B" w:rsidP="001C2F0B">
      <w:pPr>
        <w:ind w:firstLine="720"/>
        <w:jc w:val="both"/>
        <w:rPr>
          <w:rFonts w:ascii="Arial" w:hAnsi="Arial" w:cs="Arial"/>
          <w:sz w:val="24"/>
          <w:szCs w:val="24"/>
        </w:rPr>
      </w:pPr>
      <w:r>
        <w:rPr>
          <w:rFonts w:ascii="Arial" w:hAnsi="Arial" w:cs="Arial"/>
          <w:sz w:val="24"/>
          <w:szCs w:val="24"/>
        </w:rPr>
        <w:t>IntechOpen.</w:t>
      </w:r>
    </w:p>
    <w:p w14:paraId="3091C236" w14:textId="77777777" w:rsidR="001C2F0B" w:rsidRDefault="001C2F0B" w:rsidP="001C2F0B">
      <w:pPr>
        <w:ind w:firstLine="720"/>
        <w:jc w:val="both"/>
        <w:rPr>
          <w:rFonts w:ascii="Arial" w:hAnsi="Arial" w:cs="Arial"/>
          <w:sz w:val="24"/>
          <w:szCs w:val="24"/>
        </w:rPr>
      </w:pPr>
    </w:p>
    <w:p w14:paraId="62D46B61" w14:textId="77777777" w:rsidR="001C2F0B" w:rsidRDefault="001C2F0B" w:rsidP="001C2F0B">
      <w:pPr>
        <w:jc w:val="both"/>
        <w:rPr>
          <w:rFonts w:ascii="Arial" w:hAnsi="Arial" w:cs="Arial"/>
          <w:i/>
          <w:iCs/>
          <w:sz w:val="24"/>
          <w:szCs w:val="24"/>
        </w:rPr>
      </w:pPr>
      <w:r>
        <w:rPr>
          <w:rFonts w:ascii="Arial" w:hAnsi="Arial" w:cs="Arial"/>
          <w:sz w:val="24"/>
          <w:szCs w:val="24"/>
        </w:rPr>
        <w:t xml:space="preserve">Mullen, M. (2021) </w:t>
      </w:r>
      <w:r>
        <w:rPr>
          <w:rFonts w:ascii="Arial" w:hAnsi="Arial" w:cs="Arial"/>
          <w:i/>
          <w:iCs/>
          <w:sz w:val="24"/>
          <w:szCs w:val="24"/>
        </w:rPr>
        <w:t xml:space="preserve">The Dialectical Behaviour Therapy Skills Workbook For </w:t>
      </w:r>
    </w:p>
    <w:p w14:paraId="0A28594F" w14:textId="77777777" w:rsidR="001C2F0B" w:rsidRDefault="001C2F0B" w:rsidP="001C2F0B">
      <w:pPr>
        <w:ind w:left="720"/>
        <w:jc w:val="both"/>
        <w:rPr>
          <w:rFonts w:ascii="Arial" w:hAnsi="Arial" w:cs="Arial"/>
          <w:i/>
          <w:iCs/>
          <w:sz w:val="24"/>
          <w:szCs w:val="24"/>
        </w:rPr>
      </w:pPr>
      <w:r>
        <w:rPr>
          <w:rFonts w:ascii="Arial" w:hAnsi="Arial" w:cs="Arial"/>
          <w:i/>
          <w:iCs/>
          <w:sz w:val="24"/>
          <w:szCs w:val="24"/>
        </w:rPr>
        <w:t xml:space="preserve">Psychosis: Manage Your Emotions, Reduce Symptoms, And Get Back </w:t>
      </w:r>
      <w:proofErr w:type="gramStart"/>
      <w:r>
        <w:rPr>
          <w:rFonts w:ascii="Arial" w:hAnsi="Arial" w:cs="Arial"/>
          <w:i/>
          <w:iCs/>
          <w:sz w:val="24"/>
          <w:szCs w:val="24"/>
        </w:rPr>
        <w:t>To</w:t>
      </w:r>
      <w:proofErr w:type="gramEnd"/>
      <w:r>
        <w:rPr>
          <w:rFonts w:ascii="Arial" w:hAnsi="Arial" w:cs="Arial"/>
          <w:i/>
          <w:iCs/>
          <w:sz w:val="24"/>
          <w:szCs w:val="24"/>
        </w:rPr>
        <w:t xml:space="preserve"> Your </w:t>
      </w:r>
    </w:p>
    <w:p w14:paraId="48F6E2D9" w14:textId="77777777" w:rsidR="001C2F0B" w:rsidRDefault="001C2F0B" w:rsidP="001C2F0B">
      <w:pPr>
        <w:ind w:left="720"/>
        <w:jc w:val="both"/>
        <w:rPr>
          <w:rFonts w:ascii="Arial" w:hAnsi="Arial" w:cs="Arial"/>
          <w:sz w:val="24"/>
          <w:szCs w:val="24"/>
        </w:rPr>
      </w:pPr>
      <w:r>
        <w:rPr>
          <w:rFonts w:ascii="Arial" w:hAnsi="Arial" w:cs="Arial"/>
          <w:i/>
          <w:iCs/>
          <w:sz w:val="24"/>
          <w:szCs w:val="24"/>
        </w:rPr>
        <w:t xml:space="preserve">Life. </w:t>
      </w:r>
      <w:r>
        <w:rPr>
          <w:rFonts w:ascii="Arial" w:hAnsi="Arial" w:cs="Arial"/>
          <w:sz w:val="24"/>
          <w:szCs w:val="24"/>
        </w:rPr>
        <w:t>New Harbinger Publications.</w:t>
      </w:r>
    </w:p>
    <w:p w14:paraId="42696CAF" w14:textId="77777777" w:rsidR="001C2F0B" w:rsidRDefault="001C2F0B" w:rsidP="001C2F0B">
      <w:pPr>
        <w:ind w:left="720"/>
        <w:jc w:val="both"/>
        <w:rPr>
          <w:rFonts w:ascii="Arial" w:hAnsi="Arial" w:cs="Arial"/>
          <w:sz w:val="24"/>
          <w:szCs w:val="24"/>
        </w:rPr>
      </w:pPr>
    </w:p>
    <w:p w14:paraId="617B44D9" w14:textId="77777777" w:rsidR="001C2F0B" w:rsidRDefault="001C2F0B" w:rsidP="001C2F0B">
      <w:pPr>
        <w:jc w:val="both"/>
        <w:rPr>
          <w:rFonts w:ascii="Arial" w:hAnsi="Arial" w:cs="Arial"/>
          <w:i/>
          <w:iCs/>
          <w:sz w:val="24"/>
          <w:szCs w:val="24"/>
        </w:rPr>
      </w:pPr>
      <w:r>
        <w:rPr>
          <w:rFonts w:ascii="Arial" w:hAnsi="Arial" w:cs="Arial"/>
          <w:sz w:val="24"/>
          <w:szCs w:val="24"/>
        </w:rPr>
        <w:t xml:space="preserve">Segal, Z., Williams, M., &amp; Teasdale, J. (2018). </w:t>
      </w:r>
      <w:r>
        <w:rPr>
          <w:rFonts w:ascii="Arial" w:hAnsi="Arial" w:cs="Arial"/>
          <w:i/>
          <w:iCs/>
          <w:sz w:val="24"/>
          <w:szCs w:val="24"/>
        </w:rPr>
        <w:t xml:space="preserve">Mindfulness-Based Cognitive Therapy </w:t>
      </w:r>
    </w:p>
    <w:p w14:paraId="510D196A" w14:textId="77777777" w:rsidR="001C2F0B" w:rsidRDefault="001C2F0B" w:rsidP="001C2F0B">
      <w:pPr>
        <w:ind w:firstLine="720"/>
        <w:jc w:val="both"/>
        <w:rPr>
          <w:rFonts w:ascii="Arial" w:hAnsi="Arial" w:cs="Arial"/>
          <w:sz w:val="24"/>
          <w:szCs w:val="24"/>
        </w:rPr>
      </w:pPr>
      <w:r>
        <w:rPr>
          <w:rFonts w:ascii="Arial" w:hAnsi="Arial" w:cs="Arial"/>
          <w:i/>
          <w:iCs/>
          <w:sz w:val="24"/>
          <w:szCs w:val="24"/>
        </w:rPr>
        <w:t xml:space="preserve">for Depression. </w:t>
      </w:r>
      <w:r>
        <w:rPr>
          <w:rFonts w:ascii="Arial" w:hAnsi="Arial" w:cs="Arial"/>
          <w:sz w:val="24"/>
          <w:szCs w:val="24"/>
        </w:rPr>
        <w:t>Guilford Publications.</w:t>
      </w:r>
    </w:p>
    <w:p w14:paraId="7E94D683" w14:textId="77777777" w:rsidR="001C2F0B" w:rsidRDefault="001C2F0B" w:rsidP="001C2F0B">
      <w:pPr>
        <w:ind w:firstLine="720"/>
        <w:jc w:val="both"/>
        <w:rPr>
          <w:rFonts w:ascii="Arial" w:hAnsi="Arial" w:cs="Arial"/>
          <w:sz w:val="24"/>
          <w:szCs w:val="24"/>
        </w:rPr>
      </w:pPr>
    </w:p>
    <w:p w14:paraId="2EF66C15" w14:textId="77777777" w:rsidR="001C2F0B" w:rsidRDefault="001C2F0B" w:rsidP="001C2F0B">
      <w:pPr>
        <w:jc w:val="both"/>
        <w:rPr>
          <w:rFonts w:ascii="Arial" w:hAnsi="Arial" w:cs="Arial"/>
          <w:sz w:val="24"/>
          <w:szCs w:val="24"/>
        </w:rPr>
      </w:pPr>
      <w:r>
        <w:rPr>
          <w:rFonts w:ascii="Arial" w:hAnsi="Arial" w:cs="Arial"/>
          <w:sz w:val="24"/>
          <w:szCs w:val="24"/>
        </w:rPr>
        <w:lastRenderedPageBreak/>
        <w:t xml:space="preserve">Thimm, J. C., &amp; Johnsen, T. J. (2020). Time trends in effects of mindfulness-based </w:t>
      </w:r>
    </w:p>
    <w:p w14:paraId="3E9D2B49" w14:textId="77777777" w:rsidR="001C2F0B" w:rsidRDefault="001C2F0B" w:rsidP="001C2F0B">
      <w:pPr>
        <w:ind w:firstLine="720"/>
        <w:jc w:val="both"/>
        <w:rPr>
          <w:rFonts w:ascii="Arial" w:hAnsi="Arial" w:cs="Arial"/>
          <w:i/>
          <w:iCs/>
          <w:sz w:val="24"/>
          <w:szCs w:val="24"/>
        </w:rPr>
      </w:pPr>
      <w:r>
        <w:rPr>
          <w:rFonts w:ascii="Arial" w:hAnsi="Arial" w:cs="Arial"/>
          <w:sz w:val="24"/>
          <w:szCs w:val="24"/>
        </w:rPr>
        <w:t xml:space="preserve">cognitive therapy for depression: a meta-analysis. </w:t>
      </w:r>
      <w:r>
        <w:rPr>
          <w:rFonts w:ascii="Arial" w:hAnsi="Arial" w:cs="Arial"/>
          <w:i/>
          <w:iCs/>
          <w:sz w:val="24"/>
          <w:szCs w:val="24"/>
        </w:rPr>
        <w:t xml:space="preserve">Scandinavian Journal of </w:t>
      </w:r>
    </w:p>
    <w:p w14:paraId="2E925834" w14:textId="77777777" w:rsidR="001C2F0B" w:rsidRPr="00025164" w:rsidRDefault="001C2F0B" w:rsidP="001C2F0B">
      <w:pPr>
        <w:ind w:firstLine="720"/>
        <w:jc w:val="both"/>
        <w:rPr>
          <w:rFonts w:ascii="Arial" w:hAnsi="Arial" w:cs="Arial"/>
          <w:sz w:val="24"/>
          <w:szCs w:val="24"/>
        </w:rPr>
      </w:pPr>
      <w:r>
        <w:rPr>
          <w:rFonts w:ascii="Arial" w:hAnsi="Arial" w:cs="Arial"/>
          <w:i/>
          <w:iCs/>
          <w:sz w:val="24"/>
          <w:szCs w:val="24"/>
        </w:rPr>
        <w:t>Psychology, 61</w:t>
      </w:r>
      <w:r>
        <w:rPr>
          <w:rFonts w:ascii="Arial" w:hAnsi="Arial" w:cs="Arial"/>
          <w:sz w:val="24"/>
          <w:szCs w:val="24"/>
        </w:rPr>
        <w:t xml:space="preserve">(4), 582-591. </w:t>
      </w:r>
      <w:hyperlink r:id="rId9" w:history="1">
        <w:r w:rsidRPr="00025164">
          <w:rPr>
            <w:rStyle w:val="Hyperlink"/>
            <w:rFonts w:ascii="Arial" w:hAnsi="Arial" w:cs="Arial"/>
            <w:sz w:val="24"/>
            <w:szCs w:val="24"/>
          </w:rPr>
          <w:t>https://doi.org/10.1111/sjop.12642</w:t>
        </w:r>
      </w:hyperlink>
    </w:p>
    <w:p w14:paraId="3F4E7DB6" w14:textId="77777777" w:rsidR="001C2F0B" w:rsidRDefault="001C2F0B" w:rsidP="001C2F0B">
      <w:pPr>
        <w:ind w:firstLine="720"/>
        <w:jc w:val="both"/>
        <w:rPr>
          <w:rFonts w:ascii="Arial" w:hAnsi="Arial" w:cs="Arial"/>
          <w:sz w:val="24"/>
          <w:szCs w:val="24"/>
        </w:rPr>
      </w:pPr>
    </w:p>
    <w:p w14:paraId="41397926" w14:textId="77777777" w:rsidR="001C2F0B" w:rsidRDefault="001C2F0B" w:rsidP="001C2F0B">
      <w:pPr>
        <w:jc w:val="both"/>
        <w:rPr>
          <w:rFonts w:ascii="Arial" w:hAnsi="Arial" w:cs="Arial"/>
          <w:sz w:val="24"/>
          <w:szCs w:val="24"/>
        </w:rPr>
      </w:pPr>
      <w:r>
        <w:rPr>
          <w:rFonts w:ascii="Arial" w:hAnsi="Arial" w:cs="Arial"/>
          <w:sz w:val="24"/>
          <w:szCs w:val="24"/>
        </w:rPr>
        <w:t xml:space="preserve">Tickell, A., Ball, S., Bernard, P., </w:t>
      </w:r>
      <w:proofErr w:type="spellStart"/>
      <w:r>
        <w:rPr>
          <w:rFonts w:ascii="Arial" w:hAnsi="Arial" w:cs="Arial"/>
          <w:sz w:val="24"/>
          <w:szCs w:val="24"/>
        </w:rPr>
        <w:t>Kuyken</w:t>
      </w:r>
      <w:proofErr w:type="spellEnd"/>
      <w:r>
        <w:rPr>
          <w:rFonts w:ascii="Arial" w:hAnsi="Arial" w:cs="Arial"/>
          <w:sz w:val="24"/>
          <w:szCs w:val="24"/>
        </w:rPr>
        <w:t xml:space="preserve">, W., Marx, R., Pack, S., Strauss, C., Sweeney, </w:t>
      </w:r>
    </w:p>
    <w:p w14:paraId="54E96BF6"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T., &amp; Crane, C. (2020). The effectiveness of mindfulness-based cognitive </w:t>
      </w:r>
    </w:p>
    <w:p w14:paraId="19DFAF4F"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therapy (MBCT) in real-world healthcare services. </w:t>
      </w:r>
      <w:r>
        <w:rPr>
          <w:rFonts w:ascii="Arial" w:hAnsi="Arial" w:cs="Arial"/>
          <w:i/>
          <w:iCs/>
          <w:sz w:val="24"/>
          <w:szCs w:val="24"/>
        </w:rPr>
        <w:t>Mindfulness, 11</w:t>
      </w:r>
      <w:r>
        <w:rPr>
          <w:rFonts w:ascii="Arial" w:hAnsi="Arial" w:cs="Arial"/>
          <w:sz w:val="24"/>
          <w:szCs w:val="24"/>
        </w:rPr>
        <w:t xml:space="preserve">, 279-290. </w:t>
      </w:r>
    </w:p>
    <w:p w14:paraId="3555359A" w14:textId="77777777" w:rsidR="001C2F0B" w:rsidRDefault="001C2F0B" w:rsidP="001C2F0B">
      <w:pPr>
        <w:ind w:firstLine="720"/>
        <w:jc w:val="both"/>
        <w:rPr>
          <w:rFonts w:ascii="Arial" w:hAnsi="Arial" w:cs="Arial"/>
          <w:sz w:val="24"/>
          <w:szCs w:val="24"/>
        </w:rPr>
      </w:pPr>
      <w:hyperlink r:id="rId10" w:history="1">
        <w:r w:rsidRPr="00641425">
          <w:rPr>
            <w:rStyle w:val="Hyperlink"/>
            <w:rFonts w:ascii="Arial" w:hAnsi="Arial" w:cs="Arial"/>
            <w:sz w:val="24"/>
            <w:szCs w:val="24"/>
          </w:rPr>
          <w:t>https://doi.org/10.1007/s12671-018-1087-9</w:t>
        </w:r>
      </w:hyperlink>
      <w:r>
        <w:rPr>
          <w:rFonts w:ascii="Arial" w:hAnsi="Arial" w:cs="Arial"/>
          <w:sz w:val="24"/>
          <w:szCs w:val="24"/>
        </w:rPr>
        <w:t xml:space="preserve"> </w:t>
      </w:r>
    </w:p>
    <w:p w14:paraId="20F62EDD" w14:textId="77777777" w:rsidR="001C2F0B" w:rsidRDefault="001C2F0B" w:rsidP="001C2F0B">
      <w:pPr>
        <w:ind w:firstLine="720"/>
        <w:jc w:val="both"/>
        <w:rPr>
          <w:rFonts w:ascii="Arial" w:hAnsi="Arial" w:cs="Arial"/>
          <w:sz w:val="24"/>
          <w:szCs w:val="24"/>
        </w:rPr>
      </w:pPr>
    </w:p>
    <w:p w14:paraId="1F708690" w14:textId="77777777" w:rsidR="001C2F0B" w:rsidRDefault="001C2F0B" w:rsidP="001C2F0B">
      <w:pPr>
        <w:jc w:val="both"/>
        <w:rPr>
          <w:rFonts w:ascii="Arial" w:hAnsi="Arial" w:cs="Arial"/>
          <w:sz w:val="24"/>
          <w:szCs w:val="24"/>
        </w:rPr>
      </w:pPr>
      <w:r>
        <w:rPr>
          <w:rFonts w:ascii="Arial" w:hAnsi="Arial" w:cs="Arial"/>
          <w:sz w:val="24"/>
          <w:szCs w:val="24"/>
        </w:rPr>
        <w:t xml:space="preserve">Weinberg, E., Seery, E., &amp; </w:t>
      </w:r>
      <w:proofErr w:type="spellStart"/>
      <w:r>
        <w:rPr>
          <w:rFonts w:ascii="Arial" w:hAnsi="Arial" w:cs="Arial"/>
          <w:sz w:val="24"/>
          <w:szCs w:val="24"/>
        </w:rPr>
        <w:t>Plakun</w:t>
      </w:r>
      <w:proofErr w:type="spellEnd"/>
      <w:r>
        <w:rPr>
          <w:rFonts w:ascii="Arial" w:hAnsi="Arial" w:cs="Arial"/>
          <w:sz w:val="24"/>
          <w:szCs w:val="24"/>
        </w:rPr>
        <w:t xml:space="preserve">, E. M. (2018) A psychodynamic approach to </w:t>
      </w:r>
    </w:p>
    <w:p w14:paraId="3AE71795" w14:textId="77777777" w:rsidR="001C2F0B" w:rsidRPr="00342166" w:rsidRDefault="001C2F0B" w:rsidP="001C2F0B">
      <w:pPr>
        <w:ind w:firstLine="720"/>
        <w:jc w:val="both"/>
        <w:rPr>
          <w:rFonts w:ascii="Arial" w:hAnsi="Arial" w:cs="Arial"/>
          <w:sz w:val="24"/>
          <w:szCs w:val="24"/>
        </w:rPr>
      </w:pPr>
      <w:r>
        <w:rPr>
          <w:rFonts w:ascii="Arial" w:hAnsi="Arial" w:cs="Arial"/>
          <w:sz w:val="24"/>
          <w:szCs w:val="24"/>
        </w:rPr>
        <w:t xml:space="preserve">treatment resistance. </w:t>
      </w:r>
      <w:r>
        <w:rPr>
          <w:rFonts w:ascii="Arial" w:hAnsi="Arial" w:cs="Arial"/>
          <w:i/>
          <w:iCs/>
          <w:sz w:val="24"/>
          <w:szCs w:val="24"/>
        </w:rPr>
        <w:t xml:space="preserve">Treatment Resistance in Psychiatry, 259-310. </w:t>
      </w:r>
      <w:r>
        <w:rPr>
          <w:rFonts w:ascii="Arial" w:hAnsi="Arial" w:cs="Arial"/>
          <w:sz w:val="24"/>
          <w:szCs w:val="24"/>
        </w:rPr>
        <w:t>Springer.</w:t>
      </w:r>
      <w:r>
        <w:rPr>
          <w:rFonts w:ascii="Arial" w:hAnsi="Arial" w:cs="Arial"/>
          <w:i/>
          <w:iCs/>
          <w:sz w:val="24"/>
          <w:szCs w:val="24"/>
        </w:rPr>
        <w:t xml:space="preserve"> </w:t>
      </w:r>
      <w:r>
        <w:rPr>
          <w:rFonts w:ascii="Arial" w:hAnsi="Arial" w:cs="Arial"/>
          <w:sz w:val="24"/>
          <w:szCs w:val="24"/>
        </w:rPr>
        <w:t xml:space="preserve"> </w:t>
      </w:r>
    </w:p>
    <w:p w14:paraId="4E807DBA" w14:textId="77777777" w:rsidR="001C2F0B" w:rsidRDefault="001C2F0B" w:rsidP="001C2F0B">
      <w:pPr>
        <w:jc w:val="both"/>
        <w:rPr>
          <w:rFonts w:ascii="Arial" w:hAnsi="Arial" w:cs="Arial"/>
          <w:sz w:val="24"/>
          <w:szCs w:val="24"/>
        </w:rPr>
      </w:pPr>
    </w:p>
    <w:p w14:paraId="3264372A" w14:textId="77777777" w:rsidR="001C2F0B" w:rsidRDefault="001C2F0B" w:rsidP="001C2F0B">
      <w:pPr>
        <w:jc w:val="both"/>
        <w:rPr>
          <w:rFonts w:ascii="Arial" w:hAnsi="Arial" w:cs="Arial"/>
          <w:sz w:val="24"/>
          <w:szCs w:val="24"/>
        </w:rPr>
      </w:pPr>
      <w:proofErr w:type="spellStart"/>
      <w:r>
        <w:rPr>
          <w:rFonts w:ascii="Arial" w:hAnsi="Arial" w:cs="Arial"/>
          <w:sz w:val="24"/>
          <w:szCs w:val="24"/>
        </w:rPr>
        <w:t>Werson</w:t>
      </w:r>
      <w:proofErr w:type="spellEnd"/>
      <w:r>
        <w:rPr>
          <w:rFonts w:ascii="Arial" w:hAnsi="Arial" w:cs="Arial"/>
          <w:sz w:val="24"/>
          <w:szCs w:val="24"/>
        </w:rPr>
        <w:t xml:space="preserve">, A. D., Meiser-Stedman, R., &amp; Laidlaw, K. (2022) A meta-analysis for CBT </w:t>
      </w:r>
    </w:p>
    <w:p w14:paraId="49A523FE" w14:textId="77777777" w:rsidR="001C2F0B" w:rsidRDefault="001C2F0B" w:rsidP="001C2F0B">
      <w:pPr>
        <w:ind w:firstLine="720"/>
        <w:jc w:val="both"/>
        <w:rPr>
          <w:rFonts w:ascii="Arial" w:hAnsi="Arial" w:cs="Arial"/>
          <w:i/>
          <w:iCs/>
          <w:sz w:val="24"/>
          <w:szCs w:val="24"/>
        </w:rPr>
      </w:pPr>
      <w:r>
        <w:rPr>
          <w:rFonts w:ascii="Arial" w:hAnsi="Arial" w:cs="Arial"/>
          <w:sz w:val="24"/>
          <w:szCs w:val="24"/>
        </w:rPr>
        <w:t xml:space="preserve">efficacy for depression comparing adults and older adults. </w:t>
      </w:r>
      <w:r>
        <w:rPr>
          <w:rFonts w:ascii="Arial" w:hAnsi="Arial" w:cs="Arial"/>
          <w:i/>
          <w:iCs/>
          <w:sz w:val="24"/>
          <w:szCs w:val="24"/>
        </w:rPr>
        <w:t xml:space="preserve">Journal of Affective </w:t>
      </w:r>
    </w:p>
    <w:p w14:paraId="5F62AA07" w14:textId="77777777" w:rsidR="001C2F0B" w:rsidRDefault="001C2F0B" w:rsidP="001C2F0B">
      <w:pPr>
        <w:ind w:firstLine="720"/>
        <w:jc w:val="both"/>
        <w:rPr>
          <w:rFonts w:ascii="Arial" w:hAnsi="Arial" w:cs="Arial"/>
          <w:sz w:val="24"/>
          <w:szCs w:val="24"/>
        </w:rPr>
      </w:pPr>
      <w:r>
        <w:rPr>
          <w:rFonts w:ascii="Arial" w:hAnsi="Arial" w:cs="Arial"/>
          <w:i/>
          <w:iCs/>
          <w:sz w:val="24"/>
          <w:szCs w:val="24"/>
        </w:rPr>
        <w:t xml:space="preserve">Disorders, </w:t>
      </w:r>
      <w:r>
        <w:rPr>
          <w:rFonts w:ascii="Arial" w:hAnsi="Arial" w:cs="Arial"/>
          <w:sz w:val="24"/>
          <w:szCs w:val="24"/>
        </w:rPr>
        <w:t xml:space="preserve">319, 189-201. </w:t>
      </w:r>
      <w:hyperlink r:id="rId11" w:tgtFrame="_blank" w:tooltip="Persistent link using digital object identifier" w:history="1">
        <w:r w:rsidRPr="00E1420C">
          <w:rPr>
            <w:rStyle w:val="Hyperlink"/>
            <w:rFonts w:ascii="Arial" w:hAnsi="Arial" w:cs="Arial"/>
            <w:sz w:val="24"/>
            <w:szCs w:val="24"/>
          </w:rPr>
          <w:t>https://doi.org/10.1016/j.jad.2022.09.020</w:t>
        </w:r>
      </w:hyperlink>
    </w:p>
    <w:p w14:paraId="6721B7D1" w14:textId="77777777" w:rsidR="001C2F0B" w:rsidRDefault="001C2F0B" w:rsidP="001C2F0B">
      <w:pPr>
        <w:ind w:firstLine="720"/>
        <w:jc w:val="both"/>
        <w:rPr>
          <w:rFonts w:ascii="Arial" w:hAnsi="Arial" w:cs="Arial"/>
          <w:sz w:val="24"/>
          <w:szCs w:val="24"/>
        </w:rPr>
      </w:pPr>
    </w:p>
    <w:p w14:paraId="1395AEA3" w14:textId="77777777" w:rsidR="001C2F0B" w:rsidRDefault="001C2F0B" w:rsidP="001C2F0B">
      <w:pPr>
        <w:jc w:val="both"/>
        <w:rPr>
          <w:rFonts w:ascii="Arial" w:hAnsi="Arial" w:cs="Arial"/>
          <w:sz w:val="24"/>
          <w:szCs w:val="24"/>
        </w:rPr>
      </w:pPr>
      <w:proofErr w:type="spellStart"/>
      <w:r>
        <w:rPr>
          <w:rFonts w:ascii="Arial" w:hAnsi="Arial" w:cs="Arial"/>
          <w:sz w:val="24"/>
          <w:szCs w:val="24"/>
        </w:rPr>
        <w:t>Zamiri-Miandoab</w:t>
      </w:r>
      <w:proofErr w:type="spellEnd"/>
      <w:r>
        <w:rPr>
          <w:rFonts w:ascii="Arial" w:hAnsi="Arial" w:cs="Arial"/>
          <w:sz w:val="24"/>
          <w:szCs w:val="24"/>
        </w:rPr>
        <w:t xml:space="preserve">, N., </w:t>
      </w:r>
      <w:proofErr w:type="spellStart"/>
      <w:r>
        <w:rPr>
          <w:rFonts w:ascii="Arial" w:hAnsi="Arial" w:cs="Arial"/>
          <w:sz w:val="24"/>
          <w:szCs w:val="24"/>
        </w:rPr>
        <w:t>Hassanzade</w:t>
      </w:r>
      <w:proofErr w:type="spellEnd"/>
      <w:r>
        <w:rPr>
          <w:rFonts w:ascii="Arial" w:hAnsi="Arial" w:cs="Arial"/>
          <w:sz w:val="24"/>
          <w:szCs w:val="24"/>
        </w:rPr>
        <w:t xml:space="preserve">, R., &amp; </w:t>
      </w:r>
      <w:proofErr w:type="spellStart"/>
      <w:r>
        <w:rPr>
          <w:rFonts w:ascii="Arial" w:hAnsi="Arial" w:cs="Arial"/>
          <w:sz w:val="24"/>
          <w:szCs w:val="24"/>
        </w:rPr>
        <w:t>Mirghafourvand</w:t>
      </w:r>
      <w:proofErr w:type="spellEnd"/>
      <w:r>
        <w:rPr>
          <w:rFonts w:ascii="Arial" w:hAnsi="Arial" w:cs="Arial"/>
          <w:sz w:val="24"/>
          <w:szCs w:val="24"/>
        </w:rPr>
        <w:t xml:space="preserve">, M. (2022). The effect of </w:t>
      </w:r>
    </w:p>
    <w:p w14:paraId="7059514B"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cognitive behavioural therapy on anxiety and depression during Covid-19 </w:t>
      </w:r>
    </w:p>
    <w:p w14:paraId="2D909F49" w14:textId="77777777" w:rsidR="001C2F0B" w:rsidRDefault="001C2F0B" w:rsidP="001C2F0B">
      <w:pPr>
        <w:ind w:firstLine="720"/>
        <w:jc w:val="both"/>
        <w:rPr>
          <w:rFonts w:ascii="Arial" w:hAnsi="Arial" w:cs="Arial"/>
          <w:i/>
          <w:iCs/>
          <w:sz w:val="24"/>
          <w:szCs w:val="24"/>
        </w:rPr>
      </w:pPr>
      <w:r>
        <w:rPr>
          <w:rFonts w:ascii="Arial" w:hAnsi="Arial" w:cs="Arial"/>
          <w:sz w:val="24"/>
          <w:szCs w:val="24"/>
        </w:rPr>
        <w:t xml:space="preserve">pandemic: a systematic review and meta-analysis. </w:t>
      </w:r>
      <w:r>
        <w:rPr>
          <w:rFonts w:ascii="Arial" w:hAnsi="Arial" w:cs="Arial"/>
          <w:i/>
          <w:iCs/>
          <w:sz w:val="24"/>
          <w:szCs w:val="24"/>
        </w:rPr>
        <w:t xml:space="preserve">Annals of General </w:t>
      </w:r>
    </w:p>
    <w:p w14:paraId="203B82DF" w14:textId="77777777" w:rsidR="001C2F0B" w:rsidRDefault="001C2F0B" w:rsidP="001C2F0B">
      <w:pPr>
        <w:ind w:firstLine="720"/>
        <w:jc w:val="both"/>
        <w:rPr>
          <w:rFonts w:ascii="Arial" w:hAnsi="Arial" w:cs="Arial"/>
          <w:sz w:val="24"/>
          <w:szCs w:val="24"/>
        </w:rPr>
      </w:pPr>
      <w:r>
        <w:rPr>
          <w:rFonts w:ascii="Arial" w:hAnsi="Arial" w:cs="Arial"/>
          <w:i/>
          <w:iCs/>
          <w:sz w:val="24"/>
          <w:szCs w:val="24"/>
        </w:rPr>
        <w:t>Psychology, 21</w:t>
      </w:r>
      <w:r>
        <w:rPr>
          <w:rFonts w:ascii="Arial" w:hAnsi="Arial" w:cs="Arial"/>
          <w:sz w:val="24"/>
          <w:szCs w:val="24"/>
        </w:rPr>
        <w:t xml:space="preserve">(40). </w:t>
      </w:r>
      <w:hyperlink r:id="rId12" w:history="1">
        <w:r w:rsidRPr="00641425">
          <w:rPr>
            <w:rStyle w:val="Hyperlink"/>
            <w:rFonts w:ascii="Arial" w:hAnsi="Arial" w:cs="Arial"/>
            <w:sz w:val="24"/>
            <w:szCs w:val="24"/>
          </w:rPr>
          <w:t>https://doi.org/10.1186/s12991-022-00417-y</w:t>
        </w:r>
      </w:hyperlink>
    </w:p>
    <w:p w14:paraId="26186634" w14:textId="77777777" w:rsidR="001C2F0B" w:rsidRDefault="001C2F0B" w:rsidP="001C2F0B">
      <w:pPr>
        <w:jc w:val="both"/>
        <w:rPr>
          <w:rFonts w:ascii="Arial" w:hAnsi="Arial" w:cs="Arial"/>
          <w:sz w:val="24"/>
          <w:szCs w:val="24"/>
        </w:rPr>
      </w:pPr>
    </w:p>
    <w:p w14:paraId="11158D6B" w14:textId="77777777" w:rsidR="001C2F0B" w:rsidRDefault="001C2F0B" w:rsidP="001C2F0B">
      <w:pPr>
        <w:jc w:val="both"/>
        <w:rPr>
          <w:rFonts w:ascii="Arial" w:hAnsi="Arial" w:cs="Arial"/>
          <w:sz w:val="24"/>
          <w:szCs w:val="24"/>
        </w:rPr>
      </w:pPr>
      <w:r>
        <w:rPr>
          <w:rFonts w:ascii="Arial" w:hAnsi="Arial" w:cs="Arial"/>
          <w:sz w:val="24"/>
          <w:szCs w:val="24"/>
        </w:rPr>
        <w:t xml:space="preserve">Zhang, C., Leeming, E., Smith, P., Chung, P., Hagger, M. S., &amp; Hayes, S. C. (2018). </w:t>
      </w:r>
    </w:p>
    <w:p w14:paraId="02DF0204"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Acceptance and commitment therapy for health behaviour change: a </w:t>
      </w:r>
    </w:p>
    <w:p w14:paraId="405CF326" w14:textId="77777777" w:rsidR="001C2F0B" w:rsidRDefault="001C2F0B" w:rsidP="001C2F0B">
      <w:pPr>
        <w:ind w:firstLine="720"/>
        <w:jc w:val="both"/>
        <w:rPr>
          <w:rFonts w:ascii="Arial" w:hAnsi="Arial" w:cs="Arial"/>
          <w:sz w:val="24"/>
          <w:szCs w:val="24"/>
        </w:rPr>
      </w:pPr>
      <w:proofErr w:type="gramStart"/>
      <w:r>
        <w:rPr>
          <w:rFonts w:ascii="Arial" w:hAnsi="Arial" w:cs="Arial"/>
          <w:sz w:val="24"/>
          <w:szCs w:val="24"/>
        </w:rPr>
        <w:t>contextually-driven</w:t>
      </w:r>
      <w:proofErr w:type="gramEnd"/>
      <w:r>
        <w:rPr>
          <w:rFonts w:ascii="Arial" w:hAnsi="Arial" w:cs="Arial"/>
          <w:sz w:val="24"/>
          <w:szCs w:val="24"/>
        </w:rPr>
        <w:t xml:space="preserve"> approach. </w:t>
      </w:r>
      <w:r>
        <w:rPr>
          <w:rFonts w:ascii="Arial" w:hAnsi="Arial" w:cs="Arial"/>
          <w:i/>
          <w:iCs/>
          <w:sz w:val="24"/>
          <w:szCs w:val="24"/>
        </w:rPr>
        <w:t xml:space="preserve">Frontiers in Psychology, </w:t>
      </w:r>
      <w:r>
        <w:rPr>
          <w:rFonts w:ascii="Arial" w:hAnsi="Arial" w:cs="Arial"/>
          <w:sz w:val="24"/>
          <w:szCs w:val="24"/>
        </w:rPr>
        <w:t xml:space="preserve">2350. </w:t>
      </w:r>
    </w:p>
    <w:p w14:paraId="48E8CC47" w14:textId="77777777" w:rsidR="001C2F0B" w:rsidRDefault="001C2F0B" w:rsidP="001C2F0B">
      <w:pPr>
        <w:ind w:firstLine="720"/>
        <w:jc w:val="both"/>
        <w:rPr>
          <w:rFonts w:ascii="Arial" w:hAnsi="Arial" w:cs="Arial"/>
          <w:sz w:val="24"/>
          <w:szCs w:val="24"/>
        </w:rPr>
      </w:pPr>
      <w:hyperlink r:id="rId13" w:history="1">
        <w:r w:rsidRPr="00641425">
          <w:rPr>
            <w:rStyle w:val="Hyperlink"/>
            <w:rFonts w:ascii="Arial" w:hAnsi="Arial" w:cs="Arial"/>
            <w:sz w:val="24"/>
            <w:szCs w:val="24"/>
          </w:rPr>
          <w:t>https://doi.org/10.3389/fpsyg.2017.02350</w:t>
        </w:r>
      </w:hyperlink>
    </w:p>
    <w:p w14:paraId="25F1979C" w14:textId="77777777" w:rsidR="001C2F0B" w:rsidRDefault="001C2F0B" w:rsidP="001C2F0B">
      <w:pPr>
        <w:ind w:firstLine="720"/>
        <w:jc w:val="both"/>
        <w:rPr>
          <w:rFonts w:ascii="Arial" w:hAnsi="Arial" w:cs="Arial"/>
          <w:sz w:val="24"/>
          <w:szCs w:val="24"/>
        </w:rPr>
      </w:pPr>
    </w:p>
    <w:p w14:paraId="40521104" w14:textId="77777777" w:rsidR="001C2F0B" w:rsidRDefault="001C2F0B" w:rsidP="001C2F0B">
      <w:pPr>
        <w:jc w:val="both"/>
        <w:rPr>
          <w:rFonts w:ascii="Arial" w:hAnsi="Arial" w:cs="Arial"/>
          <w:sz w:val="24"/>
          <w:szCs w:val="24"/>
        </w:rPr>
      </w:pPr>
      <w:proofErr w:type="spellStart"/>
      <w:r>
        <w:rPr>
          <w:rFonts w:ascii="Arial" w:hAnsi="Arial" w:cs="Arial"/>
          <w:sz w:val="24"/>
          <w:szCs w:val="24"/>
        </w:rPr>
        <w:t>Zweerde</w:t>
      </w:r>
      <w:proofErr w:type="spellEnd"/>
      <w:r>
        <w:rPr>
          <w:rFonts w:ascii="Arial" w:hAnsi="Arial" w:cs="Arial"/>
          <w:sz w:val="24"/>
          <w:szCs w:val="24"/>
        </w:rPr>
        <w:t xml:space="preserve">, T., </w:t>
      </w:r>
      <w:proofErr w:type="spellStart"/>
      <w:r>
        <w:rPr>
          <w:rFonts w:ascii="Arial" w:hAnsi="Arial" w:cs="Arial"/>
          <w:sz w:val="24"/>
          <w:szCs w:val="24"/>
        </w:rPr>
        <w:t>Bisdounis</w:t>
      </w:r>
      <w:proofErr w:type="spellEnd"/>
      <w:r>
        <w:rPr>
          <w:rFonts w:ascii="Arial" w:hAnsi="Arial" w:cs="Arial"/>
          <w:sz w:val="24"/>
          <w:szCs w:val="24"/>
        </w:rPr>
        <w:t xml:space="preserve">, L., Kyle, S. D., </w:t>
      </w:r>
      <w:proofErr w:type="spellStart"/>
      <w:r>
        <w:rPr>
          <w:rFonts w:ascii="Arial" w:hAnsi="Arial" w:cs="Arial"/>
          <w:sz w:val="24"/>
          <w:szCs w:val="24"/>
        </w:rPr>
        <w:t>Lancee</w:t>
      </w:r>
      <w:proofErr w:type="spellEnd"/>
      <w:r>
        <w:rPr>
          <w:rFonts w:ascii="Arial" w:hAnsi="Arial" w:cs="Arial"/>
          <w:sz w:val="24"/>
          <w:szCs w:val="24"/>
        </w:rPr>
        <w:t xml:space="preserve">, J., &amp; Straten, A. (2019). Cognitive </w:t>
      </w:r>
    </w:p>
    <w:p w14:paraId="27639C06"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behavioural therapy for insomnia: a meta-analysis of long-term effects in </w:t>
      </w:r>
    </w:p>
    <w:p w14:paraId="3365564A" w14:textId="77777777" w:rsidR="001C2F0B" w:rsidRDefault="001C2F0B" w:rsidP="001C2F0B">
      <w:pPr>
        <w:ind w:firstLine="720"/>
        <w:jc w:val="both"/>
        <w:rPr>
          <w:rFonts w:ascii="Arial" w:hAnsi="Arial" w:cs="Arial"/>
          <w:sz w:val="24"/>
          <w:szCs w:val="24"/>
        </w:rPr>
      </w:pPr>
      <w:r>
        <w:rPr>
          <w:rFonts w:ascii="Arial" w:hAnsi="Arial" w:cs="Arial"/>
          <w:sz w:val="24"/>
          <w:szCs w:val="24"/>
        </w:rPr>
        <w:t xml:space="preserve">controlled studies. </w:t>
      </w:r>
      <w:r>
        <w:rPr>
          <w:rFonts w:ascii="Arial" w:hAnsi="Arial" w:cs="Arial"/>
          <w:i/>
          <w:iCs/>
          <w:sz w:val="24"/>
          <w:szCs w:val="24"/>
        </w:rPr>
        <w:t>Sleep Medicine Reviews, 48.</w:t>
      </w:r>
      <w:r>
        <w:rPr>
          <w:rFonts w:ascii="Arial" w:hAnsi="Arial" w:cs="Arial"/>
          <w:sz w:val="24"/>
          <w:szCs w:val="24"/>
        </w:rPr>
        <w:t xml:space="preserve"> </w:t>
      </w:r>
    </w:p>
    <w:p w14:paraId="670EC2FF" w14:textId="63789A32" w:rsidR="001C2F0B" w:rsidRPr="00345C34" w:rsidRDefault="001C2F0B" w:rsidP="001C2F0B">
      <w:pPr>
        <w:ind w:firstLine="720"/>
        <w:jc w:val="both"/>
        <w:rPr>
          <w:rFonts w:ascii="Arial" w:hAnsi="Arial" w:cs="Arial"/>
          <w:sz w:val="24"/>
          <w:szCs w:val="24"/>
        </w:rPr>
      </w:pPr>
      <w:hyperlink r:id="rId14" w:history="1">
        <w:r w:rsidRPr="00641425">
          <w:rPr>
            <w:rStyle w:val="Hyperlink"/>
            <w:rFonts w:ascii="Arial" w:hAnsi="Arial" w:cs="Arial"/>
            <w:sz w:val="24"/>
            <w:szCs w:val="24"/>
          </w:rPr>
          <w:t>https://doi.org/10.1016/j.smrv.2019.08.002</w:t>
        </w:r>
      </w:hyperlink>
      <w:r>
        <w:rPr>
          <w:rFonts w:ascii="Arial" w:hAnsi="Arial" w:cs="Arial"/>
          <w:sz w:val="24"/>
          <w:szCs w:val="24"/>
        </w:rPr>
        <w:t xml:space="preserve"> </w:t>
      </w:r>
    </w:p>
    <w:sectPr w:rsidR="001C2F0B" w:rsidRPr="00345C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A80"/>
    <w:rsid w:val="0001219C"/>
    <w:rsid w:val="00125AAE"/>
    <w:rsid w:val="00132713"/>
    <w:rsid w:val="00132DA1"/>
    <w:rsid w:val="001444D0"/>
    <w:rsid w:val="0015346C"/>
    <w:rsid w:val="001574CA"/>
    <w:rsid w:val="00172702"/>
    <w:rsid w:val="0018554D"/>
    <w:rsid w:val="001C1F77"/>
    <w:rsid w:val="001C2F0B"/>
    <w:rsid w:val="00245718"/>
    <w:rsid w:val="002531E8"/>
    <w:rsid w:val="00263B5D"/>
    <w:rsid w:val="00264415"/>
    <w:rsid w:val="002B57DA"/>
    <w:rsid w:val="002D412B"/>
    <w:rsid w:val="00314310"/>
    <w:rsid w:val="00335E9E"/>
    <w:rsid w:val="00345C34"/>
    <w:rsid w:val="00362084"/>
    <w:rsid w:val="003C7B5C"/>
    <w:rsid w:val="00440AB1"/>
    <w:rsid w:val="004D71D1"/>
    <w:rsid w:val="0051246F"/>
    <w:rsid w:val="005A3582"/>
    <w:rsid w:val="005C5120"/>
    <w:rsid w:val="0060241D"/>
    <w:rsid w:val="00705165"/>
    <w:rsid w:val="007304F8"/>
    <w:rsid w:val="007451A5"/>
    <w:rsid w:val="00774DEC"/>
    <w:rsid w:val="007C3180"/>
    <w:rsid w:val="00802869"/>
    <w:rsid w:val="008203C2"/>
    <w:rsid w:val="008775B5"/>
    <w:rsid w:val="008901D1"/>
    <w:rsid w:val="008A1E53"/>
    <w:rsid w:val="008C1230"/>
    <w:rsid w:val="008C20D5"/>
    <w:rsid w:val="008C226F"/>
    <w:rsid w:val="00991A80"/>
    <w:rsid w:val="009F470C"/>
    <w:rsid w:val="00A4488A"/>
    <w:rsid w:val="00A57E76"/>
    <w:rsid w:val="00AA7D7C"/>
    <w:rsid w:val="00AD43FF"/>
    <w:rsid w:val="00B077F2"/>
    <w:rsid w:val="00B32AC7"/>
    <w:rsid w:val="00B5341A"/>
    <w:rsid w:val="00C32C08"/>
    <w:rsid w:val="00C3554E"/>
    <w:rsid w:val="00C7360D"/>
    <w:rsid w:val="00CF679D"/>
    <w:rsid w:val="00D468A2"/>
    <w:rsid w:val="00D86B3E"/>
    <w:rsid w:val="00DC2A81"/>
    <w:rsid w:val="00DE0F01"/>
    <w:rsid w:val="00DE65B5"/>
    <w:rsid w:val="00DF6990"/>
    <w:rsid w:val="00E0155F"/>
    <w:rsid w:val="00E36769"/>
    <w:rsid w:val="00E416F3"/>
    <w:rsid w:val="00E42E29"/>
    <w:rsid w:val="00E5290C"/>
    <w:rsid w:val="00EB009F"/>
    <w:rsid w:val="00EF4608"/>
    <w:rsid w:val="00F73F9B"/>
    <w:rsid w:val="00F745F0"/>
    <w:rsid w:val="00F83409"/>
    <w:rsid w:val="00FD7AA8"/>
    <w:rsid w:val="00FF3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380B9"/>
  <w15:chartTrackingRefBased/>
  <w15:docId w15:val="{B9ECA160-4535-43D6-874D-EB50F2FE2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2F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ajp.2020.20030305" TargetMode="External"/><Relationship Id="rId13" Type="http://schemas.openxmlformats.org/officeDocument/2006/relationships/hyperlink" Target="https://doi.org/10.3389/fpsyg.2017.02350" TargetMode="External"/><Relationship Id="rId3" Type="http://schemas.openxmlformats.org/officeDocument/2006/relationships/webSettings" Target="webSettings.xml"/><Relationship Id="rId7" Type="http://schemas.openxmlformats.org/officeDocument/2006/relationships/hyperlink" Target="https://psycnet.apa.org/doi/10.1037/0000218-015" TargetMode="External"/><Relationship Id="rId12" Type="http://schemas.openxmlformats.org/officeDocument/2006/relationships/hyperlink" Target="https://doi.org/10.1186/s12991-022-00417-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3389/fpsyt.2018.00004" TargetMode="External"/><Relationship Id="rId11" Type="http://schemas.openxmlformats.org/officeDocument/2006/relationships/hyperlink" Target="https://doi-org.ezproxy.uwtsd.ac.uk/10.1016/j.jad.2022.09.020" TargetMode="External"/><Relationship Id="rId5" Type="http://schemas.openxmlformats.org/officeDocument/2006/relationships/hyperlink" Target="https://doi.org/10.1016/j.chiabu.2019.03.006" TargetMode="External"/><Relationship Id="rId15" Type="http://schemas.openxmlformats.org/officeDocument/2006/relationships/fontTable" Target="fontTable.xml"/><Relationship Id="rId10" Type="http://schemas.openxmlformats.org/officeDocument/2006/relationships/hyperlink" Target="https://doi.org/10.1007/s12671-018-1087-9" TargetMode="External"/><Relationship Id="rId4" Type="http://schemas.openxmlformats.org/officeDocument/2006/relationships/hyperlink" Target="https://doi.org/10.1016/j.brat.2017.12.002" TargetMode="External"/><Relationship Id="rId9" Type="http://schemas.openxmlformats.org/officeDocument/2006/relationships/hyperlink" Target="https://doi.org/10.1111/sjop.12642" TargetMode="External"/><Relationship Id="rId14" Type="http://schemas.openxmlformats.org/officeDocument/2006/relationships/hyperlink" Target="https://doi.org/10.1016/j.smrv.2019.08.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12</Pages>
  <Words>2679</Words>
  <Characters>18221</Characters>
  <Application>Microsoft Office Word</Application>
  <DocSecurity>0</DocSecurity>
  <Lines>467</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Page (2113430)</dc:creator>
  <cp:keywords/>
  <dc:description/>
  <cp:lastModifiedBy>William Page (2113430)</cp:lastModifiedBy>
  <cp:revision>45</cp:revision>
  <dcterms:created xsi:type="dcterms:W3CDTF">2022-11-29T11:02:00Z</dcterms:created>
  <dcterms:modified xsi:type="dcterms:W3CDTF">2022-11-29T22:56:00Z</dcterms:modified>
</cp:coreProperties>
</file>