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B26EE" w14:textId="0D24959C" w:rsidR="002F5017" w:rsidRDefault="00C343FE" w:rsidP="00451D1F">
      <w:pPr>
        <w:rPr>
          <w:rFonts w:eastAsia="Times New Roman" w:cstheme="minorHAnsi"/>
          <w:lang w:eastAsia="en-GB"/>
        </w:rPr>
      </w:pPr>
      <w:r w:rsidRPr="00C76F43">
        <w:t xml:space="preserve">The Supreme Court Justice </w:t>
      </w:r>
      <w:r w:rsidR="009C7C31" w:rsidRPr="00C76F43">
        <w:t xml:space="preserve">deals with civil and criminal cases that have passed through all lower </w:t>
      </w:r>
      <w:r w:rsidR="009C7C31" w:rsidRPr="00C76F43">
        <w:rPr>
          <w:rFonts w:cstheme="minorHAnsi"/>
        </w:rPr>
        <w:t>courts and is the final court of appeal, it has a very important role in the making of United Kingdom laws.</w:t>
      </w:r>
      <w:r w:rsidR="00C76F43" w:rsidRPr="00C76F43">
        <w:rPr>
          <w:rFonts w:cstheme="minorHAnsi"/>
          <w:shd w:val="clear" w:color="auto" w:fill="FFFFFF"/>
        </w:rPr>
        <w:t xml:space="preserve"> </w:t>
      </w:r>
      <w:r w:rsidR="00C76F43" w:rsidRPr="00C76F43">
        <w:rPr>
          <w:rFonts w:cstheme="minorHAnsi"/>
          <w:shd w:val="clear" w:color="auto" w:fill="FFFFFF"/>
        </w:rPr>
        <w:t xml:space="preserve">The Supreme Court is located in Westminster, London and hears criminal and civil appeals from England, </w:t>
      </w:r>
      <w:r w:rsidR="00C76F43" w:rsidRPr="00C76F43">
        <w:rPr>
          <w:rFonts w:cstheme="minorHAnsi"/>
          <w:shd w:val="clear" w:color="auto" w:fill="FFFFFF"/>
        </w:rPr>
        <w:t>Wales,</w:t>
      </w:r>
      <w:r w:rsidR="00C76F43" w:rsidRPr="00C76F43">
        <w:rPr>
          <w:rFonts w:cstheme="minorHAnsi"/>
          <w:shd w:val="clear" w:color="auto" w:fill="FFFFFF"/>
        </w:rPr>
        <w:t xml:space="preserve"> and Northern Ireland. It also hears civil appeals from Scotland. In most cases, there will be five justices to hear a case, however this can increase to a larger odd number depending on the importance and complexity of the case. Most of the time the Supreme Court hears cases from the Court of Appeal, however some cases can "leapfrog" and jump from the High Court straight to the Supreme Court.</w:t>
      </w:r>
      <w:r w:rsidR="00C76F43" w:rsidRPr="00C76F43">
        <w:rPr>
          <w:rFonts w:ascii="Arial" w:hAnsi="Arial" w:cs="Arial"/>
          <w:shd w:val="clear" w:color="auto" w:fill="FFFFFF"/>
        </w:rPr>
        <w:t> </w:t>
      </w:r>
      <w:r w:rsidR="009C7C31" w:rsidRPr="00C76F43">
        <w:t xml:space="preserve"> </w:t>
      </w:r>
      <w:r w:rsidR="00C76F43" w:rsidRPr="00C76F43">
        <w:t xml:space="preserve"> </w:t>
      </w:r>
      <w:r w:rsidR="00C76F43" w:rsidRPr="00C76F43">
        <w:t>The Supreme Court provides a second level of appeal</w:t>
      </w:r>
      <w:r w:rsidR="00C76F43">
        <w:t>,</w:t>
      </w:r>
      <w:r w:rsidR="00C76F43" w:rsidRPr="00C76F43">
        <w:t xml:space="preserve"> </w:t>
      </w:r>
      <w:r w:rsidR="00C76F43">
        <w:t>a</w:t>
      </w:r>
      <w:r w:rsidR="00C76F43" w:rsidRPr="00C76F43">
        <w:t xml:space="preserve"> case will only be heard in the Supreme Court if a 'leave to appeal' is granted. This can be by the court where the appeal is being attempted at or by the Supreme Court itself.</w:t>
      </w:r>
      <w:r w:rsidR="009C7C31" w:rsidRPr="00C76F43">
        <w:t xml:space="preserve"> </w:t>
      </w:r>
      <w:r w:rsidR="00451D1F" w:rsidRPr="00C76F43">
        <w:t xml:space="preserve">The Supreme Court focuses on cases of public and constitutional importance as the highest court.  From England and Wales, the Supreme Court hears appeals from </w:t>
      </w:r>
      <w:r w:rsidR="00451D1F" w:rsidRPr="00C76F43">
        <w:rPr>
          <w:rFonts w:eastAsia="Times New Roman" w:cstheme="minorHAnsi"/>
          <w:lang w:eastAsia="en-GB"/>
        </w:rPr>
        <w:t xml:space="preserve">the Court of Appeal, Civil Division, Criminal Division and in some </w:t>
      </w:r>
      <w:r w:rsidR="000B4478" w:rsidRPr="00C76F43">
        <w:rPr>
          <w:rFonts w:eastAsia="Times New Roman" w:cstheme="minorHAnsi"/>
          <w:lang w:eastAsia="en-GB"/>
        </w:rPr>
        <w:t xml:space="preserve">special </w:t>
      </w:r>
      <w:r w:rsidR="00451D1F" w:rsidRPr="00C76F43">
        <w:rPr>
          <w:rFonts w:eastAsia="Times New Roman" w:cstheme="minorHAnsi"/>
          <w:lang w:eastAsia="en-GB"/>
        </w:rPr>
        <w:t>cases the High Court</w:t>
      </w:r>
      <w:r w:rsidR="00025191" w:rsidRPr="00C76F43">
        <w:rPr>
          <w:rFonts w:eastAsia="Times New Roman" w:cstheme="minorHAnsi"/>
          <w:lang w:eastAsia="en-GB"/>
        </w:rPr>
        <w:t xml:space="preserve"> </w:t>
      </w:r>
      <w:r w:rsidR="00025191" w:rsidRPr="00C76F43">
        <w:rPr>
          <w:rFonts w:eastAsia="Times New Roman" w:cstheme="minorHAnsi"/>
          <w:i/>
          <w:iCs/>
          <w:lang w:eastAsia="en-GB"/>
        </w:rPr>
        <w:t>(SupremeCourt.uk)</w:t>
      </w:r>
      <w:r w:rsidR="00663276" w:rsidRPr="00C76F43">
        <w:rPr>
          <w:rFonts w:eastAsia="Times New Roman" w:cstheme="minorHAnsi"/>
          <w:i/>
          <w:iCs/>
          <w:lang w:eastAsia="en-GB"/>
        </w:rPr>
        <w:t xml:space="preserve"> </w:t>
      </w:r>
      <w:r w:rsidR="00663276" w:rsidRPr="00C76F43">
        <w:rPr>
          <w:rFonts w:eastAsia="Times New Roman" w:cstheme="minorHAnsi"/>
          <w:lang w:eastAsia="en-GB"/>
        </w:rPr>
        <w:t xml:space="preserve">The Supreme Court rules on how laws can be interpreted and applied, if the justices disagree with a law set forward by parliament they can advise parliament to reconsider. However, they cannot stop laws set by the Queen, House of Lords and Commons. There are 12 </w:t>
      </w:r>
      <w:r w:rsidR="00FE2D5F">
        <w:rPr>
          <w:rFonts w:eastAsia="Times New Roman" w:cstheme="minorHAnsi"/>
          <w:lang w:eastAsia="en-GB"/>
        </w:rPr>
        <w:t>J</w:t>
      </w:r>
      <w:r w:rsidR="00663276" w:rsidRPr="00C76F43">
        <w:rPr>
          <w:rFonts w:eastAsia="Times New Roman" w:cstheme="minorHAnsi"/>
          <w:lang w:eastAsia="en-GB"/>
        </w:rPr>
        <w:t xml:space="preserve">ustices </w:t>
      </w:r>
      <w:r w:rsidR="005E0251" w:rsidRPr="005E0251">
        <w:rPr>
          <w:rFonts w:eastAsia="Times New Roman" w:cstheme="minorHAnsi"/>
          <w:lang w:eastAsia="en-GB"/>
        </w:rPr>
        <w:t>vacancies</w:t>
      </w:r>
      <w:r w:rsidR="005E0251" w:rsidRPr="005E0251">
        <w:rPr>
          <w:rFonts w:eastAsia="Times New Roman" w:cstheme="minorHAnsi"/>
          <w:lang w:eastAsia="en-GB"/>
        </w:rPr>
        <w:t xml:space="preserve"> </w:t>
      </w:r>
      <w:r w:rsidR="00AD5D99" w:rsidRPr="00C76F43">
        <w:rPr>
          <w:rFonts w:eastAsia="Times New Roman" w:cstheme="minorHAnsi"/>
          <w:lang w:eastAsia="en-GB"/>
        </w:rPr>
        <w:t xml:space="preserve">on the Supreme court </w:t>
      </w:r>
      <w:r w:rsidR="005E0251">
        <w:rPr>
          <w:rFonts w:eastAsia="Times New Roman" w:cstheme="minorHAnsi"/>
          <w:lang w:eastAsia="en-GB"/>
        </w:rPr>
        <w:t>and</w:t>
      </w:r>
      <w:r w:rsidR="00AD5D99" w:rsidRPr="00C76F43">
        <w:rPr>
          <w:rFonts w:eastAsia="Times New Roman" w:cstheme="minorHAnsi"/>
          <w:lang w:eastAsia="en-GB"/>
        </w:rPr>
        <w:t xml:space="preserve"> only an odd amount of justices are allowed to hear a case to make sure there is a majority ruling. </w:t>
      </w:r>
    </w:p>
    <w:p w14:paraId="3D795A38" w14:textId="1A63C0EA" w:rsidR="00451D1F" w:rsidRPr="002F5017" w:rsidRDefault="002F5017" w:rsidP="00451D1F">
      <w:pPr>
        <w:rPr>
          <w:rFonts w:eastAsia="Times New Roman" w:cstheme="minorHAnsi"/>
          <w:lang w:eastAsia="en-GB"/>
        </w:rPr>
      </w:pPr>
      <w:r>
        <w:rPr>
          <w:rFonts w:eastAsia="Times New Roman" w:cstheme="minorHAnsi"/>
          <w:lang w:eastAsia="en-GB"/>
        </w:rPr>
        <w:t xml:space="preserve"> </w:t>
      </w:r>
      <w:r w:rsidRPr="002F5017">
        <w:rPr>
          <w:rFonts w:eastAsia="Times New Roman" w:cstheme="minorHAnsi"/>
          <w:lang w:eastAsia="en-GB"/>
        </w:rPr>
        <w:t xml:space="preserve">Judges are chosen by the Judicial Commission of England and Wales (JAC), this was established by </w:t>
      </w:r>
      <w:r w:rsidRPr="002F5017">
        <w:rPr>
          <w:rFonts w:eastAsia="Times New Roman" w:cstheme="minorHAnsi"/>
          <w:lang w:eastAsia="en-GB"/>
        </w:rPr>
        <w:t>C</w:t>
      </w:r>
      <w:r>
        <w:rPr>
          <w:rFonts w:eastAsia="Times New Roman" w:cstheme="minorHAnsi"/>
          <w:lang w:eastAsia="en-GB"/>
        </w:rPr>
        <w:t>onstitutional Reform Act</w:t>
      </w:r>
      <w:r w:rsidRPr="002F5017">
        <w:rPr>
          <w:rFonts w:eastAsia="Times New Roman" w:cstheme="minorHAnsi"/>
          <w:lang w:eastAsia="en-GB"/>
        </w:rPr>
        <w:t xml:space="preserve"> 2005. JAC is independent of government and there are 15 commissioners. According to s63 of the CRA 2005, JAC must make appointments solely on merit. </w:t>
      </w:r>
      <w:r>
        <w:rPr>
          <w:rFonts w:eastAsia="Times New Roman" w:cstheme="minorHAnsi"/>
          <w:lang w:eastAsia="en-GB"/>
        </w:rPr>
        <w:t>However,</w:t>
      </w:r>
      <w:r w:rsidRPr="002F5017">
        <w:rPr>
          <w:rFonts w:eastAsia="Times New Roman" w:cstheme="minorHAnsi"/>
          <w:lang w:eastAsia="en-GB"/>
        </w:rPr>
        <w:t xml:space="preserve"> s64 says there must have regard to the need to encourage </w:t>
      </w:r>
      <w:r w:rsidRPr="002F5017">
        <w:rPr>
          <w:rFonts w:eastAsia="Times New Roman" w:cstheme="minorHAnsi"/>
          <w:lang w:eastAsia="en-GB"/>
        </w:rPr>
        <w:t>diversity.</w:t>
      </w:r>
      <w:r>
        <w:rPr>
          <w:rFonts w:eastAsia="Times New Roman" w:cstheme="minorHAnsi"/>
          <w:lang w:eastAsia="en-GB"/>
        </w:rPr>
        <w:t xml:space="preserve"> </w:t>
      </w:r>
      <w:r w:rsidRPr="002F5017">
        <w:rPr>
          <w:rFonts w:eastAsia="Times New Roman" w:cstheme="minorHAnsi"/>
          <w:lang w:eastAsia="en-GB"/>
        </w:rPr>
        <w:t>For selection of the Supreme Court Justices, there is a separate section set out by s27 CRA 2005.</w:t>
      </w:r>
      <w:r>
        <w:rPr>
          <w:rFonts w:eastAsia="Times New Roman" w:cstheme="minorHAnsi"/>
          <w:lang w:eastAsia="en-GB"/>
        </w:rPr>
        <w:t xml:space="preserve"> </w:t>
      </w:r>
      <w:r w:rsidRPr="00C76F43">
        <w:rPr>
          <w:rFonts w:eastAsia="Times New Roman" w:cstheme="minorHAnsi"/>
          <w:lang w:eastAsia="en-GB"/>
        </w:rPr>
        <w:t>The selection process for a new Supreme Court begins when there is a vacancy available on the bench, this usually happens when a justice reaches 7</w:t>
      </w:r>
      <w:r>
        <w:rPr>
          <w:rFonts w:eastAsia="Times New Roman" w:cstheme="minorHAnsi"/>
          <w:lang w:eastAsia="en-GB"/>
        </w:rPr>
        <w:t>5</w:t>
      </w:r>
      <w:r w:rsidRPr="00C76F43">
        <w:rPr>
          <w:rFonts w:eastAsia="Times New Roman" w:cstheme="minorHAnsi"/>
          <w:lang w:eastAsia="en-GB"/>
        </w:rPr>
        <w:t xml:space="preserve"> years of age as then they have to retire. </w:t>
      </w:r>
      <w:r>
        <w:rPr>
          <w:rFonts w:eastAsia="Times New Roman" w:cstheme="minorHAnsi"/>
          <w:lang w:eastAsia="en-GB"/>
        </w:rPr>
        <w:t>The</w:t>
      </w:r>
      <w:r w:rsidR="00AD5D99" w:rsidRPr="00C76F43">
        <w:rPr>
          <w:rFonts w:eastAsia="Times New Roman" w:cstheme="minorHAnsi"/>
          <w:lang w:eastAsia="en-GB"/>
        </w:rPr>
        <w:t xml:space="preserve"> committee </w:t>
      </w:r>
      <w:r>
        <w:rPr>
          <w:rFonts w:eastAsia="Times New Roman" w:cstheme="minorHAnsi"/>
          <w:lang w:eastAsia="en-GB"/>
        </w:rPr>
        <w:t xml:space="preserve">is </w:t>
      </w:r>
      <w:r w:rsidR="00AD5D99" w:rsidRPr="00C76F43">
        <w:rPr>
          <w:rFonts w:eastAsia="Times New Roman" w:cstheme="minorHAnsi"/>
          <w:lang w:eastAsia="en-GB"/>
        </w:rPr>
        <w:t xml:space="preserve">led by the Supreme Court president with representatives from England, Wales, Scotland, and Northern Ireland meet to talk about the candidates. For a </w:t>
      </w:r>
      <w:r w:rsidR="0066573B" w:rsidRPr="00C76F43">
        <w:rPr>
          <w:rFonts w:eastAsia="Times New Roman" w:cstheme="minorHAnsi"/>
          <w:lang w:eastAsia="en-GB"/>
        </w:rPr>
        <w:t>candidate</w:t>
      </w:r>
      <w:r w:rsidR="00AD5D99" w:rsidRPr="00C76F43">
        <w:rPr>
          <w:rFonts w:eastAsia="Times New Roman" w:cstheme="minorHAnsi"/>
          <w:lang w:eastAsia="en-GB"/>
        </w:rPr>
        <w:t xml:space="preserve"> to be eligible they must </w:t>
      </w:r>
      <w:r w:rsidR="0004759F" w:rsidRPr="00C76F43">
        <w:rPr>
          <w:rFonts w:eastAsia="Times New Roman" w:cstheme="minorHAnsi"/>
          <w:lang w:eastAsia="en-GB"/>
        </w:rPr>
        <w:t>have been either a High Court or Court of Appeal judge for two years or a practicing lawyer for 15 years.</w:t>
      </w:r>
      <w:r w:rsidR="007A3A08" w:rsidRPr="00C76F43">
        <w:rPr>
          <w:rFonts w:eastAsia="Times New Roman" w:cstheme="minorHAnsi"/>
          <w:lang w:eastAsia="en-GB"/>
        </w:rPr>
        <w:t xml:space="preserve"> </w:t>
      </w:r>
      <w:r w:rsidR="007A3A08" w:rsidRPr="00C76F43">
        <w:rPr>
          <w:rFonts w:eastAsia="Times New Roman" w:cstheme="minorHAnsi"/>
          <w:i/>
          <w:iCs/>
          <w:lang w:eastAsia="en-GB"/>
        </w:rPr>
        <w:t>(The Judicial Appointments Regulations, 2013)</w:t>
      </w:r>
      <w:r w:rsidR="0004759F" w:rsidRPr="00C76F43">
        <w:rPr>
          <w:rFonts w:eastAsia="Times New Roman" w:cstheme="minorHAnsi"/>
          <w:lang w:eastAsia="en-GB"/>
        </w:rPr>
        <w:t xml:space="preserve"> The committee then selects a candidate then the Lord Chancellor will either approve or disapprove the choice. There can be multiply choices of candidates and the Lord Chancellor can only deny one. The approved candidate’s name is then sent to the Prime Minister who will then send it to the Queen to make an appointment with the candidate.</w:t>
      </w:r>
      <w:r w:rsidR="00BF07B2" w:rsidRPr="00C76F43">
        <w:rPr>
          <w:rFonts w:eastAsia="Times New Roman" w:cstheme="minorHAnsi"/>
          <w:lang w:eastAsia="en-GB"/>
        </w:rPr>
        <w:t xml:space="preserve"> </w:t>
      </w:r>
      <w:r w:rsidR="00BF07B2" w:rsidRPr="00C76F43">
        <w:rPr>
          <w:rFonts w:eastAsia="Times New Roman" w:cstheme="minorHAnsi"/>
          <w:i/>
          <w:iCs/>
          <w:lang w:eastAsia="en-GB"/>
        </w:rPr>
        <w:t>(Constitutional Reform Act, 2005)</w:t>
      </w:r>
      <w:r w:rsidR="0004759F" w:rsidRPr="00C76F43">
        <w:rPr>
          <w:rFonts w:eastAsia="Times New Roman" w:cstheme="minorHAnsi"/>
          <w:lang w:eastAsia="en-GB"/>
        </w:rPr>
        <w:t xml:space="preserve"> After someone has become a justice they cannot belong to a political party. </w:t>
      </w:r>
      <w:r w:rsidR="00BF07B2" w:rsidRPr="00C76F43">
        <w:rPr>
          <w:rFonts w:eastAsia="Times New Roman" w:cstheme="minorHAnsi"/>
          <w:i/>
          <w:iCs/>
          <w:lang w:eastAsia="en-GB"/>
        </w:rPr>
        <w:t>(Crime and Courts Act 2013)</w:t>
      </w:r>
    </w:p>
    <w:p w14:paraId="32467E0F" w14:textId="65DCD285" w:rsidR="007A3A08" w:rsidRDefault="00C76F43" w:rsidP="00451D1F">
      <w:pPr>
        <w:rPr>
          <w:rFonts w:cstheme="minorHAnsi"/>
          <w:shd w:val="clear" w:color="auto" w:fill="FFFFFF"/>
        </w:rPr>
      </w:pPr>
      <w:r w:rsidRPr="00C76F43">
        <w:rPr>
          <w:rFonts w:cstheme="minorHAnsi"/>
          <w:shd w:val="clear" w:color="auto" w:fill="FFFFFF"/>
        </w:rPr>
        <w:t>T</w:t>
      </w:r>
      <w:r w:rsidRPr="00C76F43">
        <w:rPr>
          <w:rFonts w:cstheme="minorHAnsi"/>
          <w:shd w:val="clear" w:color="auto" w:fill="FFFFFF"/>
        </w:rPr>
        <w:t>he problem with the Supreme Court is the lack of diversity it has when it comes to choosing justices. It is argued that diversity in the judiciary is not important and what only matters is for the justices to be experts in law and make sound decisions. </w:t>
      </w:r>
      <w:r w:rsidR="007A3A08" w:rsidRPr="00C76F43">
        <w:rPr>
          <w:rFonts w:eastAsia="Times New Roman" w:cstheme="minorHAnsi"/>
          <w:lang w:eastAsia="en-GB"/>
        </w:rPr>
        <w:t>The judiciary in England and Wales has always consisted of mostly white, upper-class men. There has been small improvements in recent years but there is still a large lack of diversity in the judiciary for women and BAME representation.</w:t>
      </w:r>
      <w:r w:rsidR="0005699E" w:rsidRPr="00C76F43">
        <w:rPr>
          <w:rFonts w:eastAsia="Times New Roman" w:cstheme="minorHAnsi"/>
          <w:lang w:eastAsia="en-GB"/>
        </w:rPr>
        <w:t xml:space="preserve"> At the moment, there is only one woman out of the 10 justices of the Supreme Court and there is no BAME representation. </w:t>
      </w:r>
      <w:r w:rsidR="007A3A08" w:rsidRPr="00C76F43">
        <w:rPr>
          <w:rFonts w:eastAsia="Times New Roman" w:cstheme="minorHAnsi"/>
          <w:lang w:eastAsia="en-GB"/>
        </w:rPr>
        <w:t xml:space="preserve"> </w:t>
      </w:r>
      <w:r w:rsidR="000B7C7B" w:rsidRPr="00C76F43">
        <w:rPr>
          <w:rFonts w:eastAsia="Times New Roman" w:cstheme="minorHAnsi"/>
          <w:lang w:eastAsia="en-GB"/>
        </w:rPr>
        <w:t>As of 2020, only 26% of High Court judges and above were women and only 4% with BAME backgrounds.</w:t>
      </w:r>
      <w:r w:rsidR="00797987" w:rsidRPr="00C76F43">
        <w:rPr>
          <w:rFonts w:eastAsia="Times New Roman" w:cstheme="minorHAnsi"/>
          <w:lang w:eastAsia="en-GB"/>
        </w:rPr>
        <w:t xml:space="preserve"> </w:t>
      </w:r>
      <w:r w:rsidR="00797987" w:rsidRPr="00C76F43">
        <w:rPr>
          <w:rFonts w:eastAsia="Times New Roman" w:cstheme="minorHAnsi"/>
          <w:i/>
          <w:iCs/>
          <w:lang w:eastAsia="en-GB"/>
        </w:rPr>
        <w:t>(Ministry of Justice Statistics, 2020)</w:t>
      </w:r>
      <w:r w:rsidRPr="00C76F43">
        <w:rPr>
          <w:rFonts w:eastAsia="Times New Roman" w:cstheme="minorHAnsi"/>
          <w:i/>
          <w:iCs/>
          <w:lang w:eastAsia="en-GB"/>
        </w:rPr>
        <w:t xml:space="preserve"> </w:t>
      </w:r>
      <w:r w:rsidRPr="00C76F43">
        <w:rPr>
          <w:rFonts w:cstheme="minorHAnsi"/>
          <w:shd w:val="clear" w:color="auto" w:fill="FFFFFF"/>
        </w:rPr>
        <w:t xml:space="preserve">Justices have great power to affect ordinary people's lives. Former President of the Supreme Court, Brenda Hale, said “In a democratic country in which we are all equal citizens, it is wrong in principle for that authority to be wielded by such a very unrepresentative section of the population.” Hale states that a lack of diversity in the judiciary means that there is a one-dimensional mindset as people with very similar backgrounds and upbringings will deal with cases in </w:t>
      </w:r>
      <w:r>
        <w:rPr>
          <w:rFonts w:cstheme="minorHAnsi"/>
          <w:shd w:val="clear" w:color="auto" w:fill="FFFFFF"/>
        </w:rPr>
        <w:t>the same</w:t>
      </w:r>
      <w:r w:rsidRPr="00C76F43">
        <w:rPr>
          <w:rFonts w:cstheme="minorHAnsi"/>
          <w:shd w:val="clear" w:color="auto" w:fill="FFFFFF"/>
        </w:rPr>
        <w:t xml:space="preserve"> way.</w:t>
      </w:r>
      <w:r>
        <w:rPr>
          <w:rFonts w:cstheme="minorHAnsi"/>
          <w:shd w:val="clear" w:color="auto" w:fill="FFFFFF"/>
        </w:rPr>
        <w:t xml:space="preserve"> </w:t>
      </w:r>
      <w:r w:rsidR="00DC0C58">
        <w:rPr>
          <w:rFonts w:eastAsia="Times New Roman" w:cstheme="minorHAnsi"/>
          <w:lang w:eastAsia="en-GB"/>
        </w:rPr>
        <w:t xml:space="preserve">In 2015, Lady Hale gave a lecture in the University of Birmingham where she stated that six vacancies are available in the next three </w:t>
      </w:r>
      <w:r w:rsidR="00DC0C58">
        <w:rPr>
          <w:rFonts w:eastAsia="Times New Roman" w:cstheme="minorHAnsi"/>
          <w:lang w:eastAsia="en-GB"/>
        </w:rPr>
        <w:lastRenderedPageBreak/>
        <w:t xml:space="preserve">years and if there does not manage to achieve a more diverse Supreme Court ‘we ought to be ashamed of ourselves’. </w:t>
      </w:r>
      <w:r w:rsidR="00DC0C58" w:rsidRPr="00DC0C58">
        <w:rPr>
          <w:rFonts w:eastAsia="Times New Roman" w:cstheme="minorHAnsi"/>
          <w:i/>
          <w:iCs/>
          <w:lang w:eastAsia="en-GB"/>
        </w:rPr>
        <w:t>(University of Birmingham, Website)</w:t>
      </w:r>
    </w:p>
    <w:p w14:paraId="622795E2" w14:textId="77777777" w:rsidR="007D4EA2" w:rsidRDefault="002F5017" w:rsidP="00451D1F">
      <w:pPr>
        <w:rPr>
          <w:rFonts w:eastAsia="Times New Roman" w:cstheme="minorHAnsi"/>
          <w:lang w:eastAsia="en-GB"/>
        </w:rPr>
      </w:pPr>
      <w:r w:rsidRPr="002F5017">
        <w:rPr>
          <w:rFonts w:eastAsia="Times New Roman" w:cstheme="minorHAnsi"/>
          <w:lang w:eastAsia="en-GB"/>
        </w:rPr>
        <w:t xml:space="preserve">The Labour Government issued a consultation paper, Increasing Diversity in the Judiciary (2004). </w:t>
      </w:r>
      <w:r w:rsidR="009C4D2E">
        <w:rPr>
          <w:rFonts w:eastAsia="Times New Roman" w:cstheme="minorHAnsi"/>
          <w:lang w:eastAsia="en-GB"/>
        </w:rPr>
        <w:t xml:space="preserve">In this paper, the </w:t>
      </w:r>
      <w:r w:rsidRPr="002F5017">
        <w:rPr>
          <w:rFonts w:eastAsia="Times New Roman" w:cstheme="minorHAnsi"/>
          <w:lang w:eastAsia="en-GB"/>
        </w:rPr>
        <w:t xml:space="preserve">Minister for Constitutional Affairs </w:t>
      </w:r>
      <w:r w:rsidR="009C4D2E" w:rsidRPr="002F5017">
        <w:rPr>
          <w:rFonts w:eastAsia="Times New Roman" w:cstheme="minorHAnsi"/>
          <w:lang w:eastAsia="en-GB"/>
        </w:rPr>
        <w:t>stated,</w:t>
      </w:r>
      <w:r w:rsidRPr="002F5017">
        <w:rPr>
          <w:rFonts w:eastAsia="Times New Roman" w:cstheme="minorHAnsi"/>
          <w:lang w:eastAsia="en-GB"/>
        </w:rPr>
        <w:t xml:space="preserve"> </w:t>
      </w:r>
      <w:r w:rsidR="009C4D2E">
        <w:rPr>
          <w:rFonts w:eastAsia="Times New Roman" w:cstheme="minorHAnsi"/>
          <w:lang w:eastAsia="en-GB"/>
        </w:rPr>
        <w:t>“</w:t>
      </w:r>
      <w:r w:rsidR="009C4D2E" w:rsidRPr="009C4D2E">
        <w:rPr>
          <w:rFonts w:eastAsia="Times New Roman" w:cstheme="minorHAnsi"/>
          <w:lang w:eastAsia="en-GB"/>
        </w:rPr>
        <w:t>A more diverse judiciary is essential if the public’s confidence in its judges is to be maintained and strengthened</w:t>
      </w:r>
      <w:r w:rsidR="009C4D2E">
        <w:rPr>
          <w:rFonts w:eastAsia="Times New Roman" w:cstheme="minorHAnsi"/>
          <w:lang w:eastAsia="en-GB"/>
        </w:rPr>
        <w:t>”</w:t>
      </w:r>
      <w:r w:rsidRPr="002F5017">
        <w:rPr>
          <w:rFonts w:eastAsia="Times New Roman" w:cstheme="minorHAnsi"/>
          <w:lang w:eastAsia="en-GB"/>
        </w:rPr>
        <w:t xml:space="preserve">. </w:t>
      </w:r>
      <w:r w:rsidR="009C4D2E">
        <w:rPr>
          <w:rFonts w:eastAsia="Times New Roman" w:cstheme="minorHAnsi"/>
          <w:lang w:eastAsia="en-GB"/>
        </w:rPr>
        <w:t>It is also mentioned that n</w:t>
      </w:r>
      <w:r w:rsidRPr="002F5017">
        <w:rPr>
          <w:rFonts w:eastAsia="Times New Roman" w:cstheme="minorHAnsi"/>
          <w:lang w:eastAsia="en-GB"/>
        </w:rPr>
        <w:t>ot many people with diverse backgrounds and disabilities are not applying for judicial appointments. The paper also mentions it does not believe there is any conflict between merit and diversity.</w:t>
      </w:r>
    </w:p>
    <w:p w14:paraId="0FA99984" w14:textId="249DCA91" w:rsidR="007D4EA2" w:rsidRDefault="007D4EA2" w:rsidP="00451D1F">
      <w:pPr>
        <w:rPr>
          <w:rFonts w:eastAsia="Times New Roman" w:cstheme="minorHAnsi"/>
          <w:lang w:eastAsia="en-GB"/>
        </w:rPr>
      </w:pPr>
      <w:r>
        <w:rPr>
          <w:rFonts w:eastAsia="Times New Roman" w:cstheme="minorHAnsi"/>
          <w:lang w:eastAsia="en-GB"/>
        </w:rPr>
        <w:t>The</w:t>
      </w:r>
      <w:r>
        <w:t xml:space="preserve"> Crime and Courts Act </w:t>
      </w:r>
      <w:r>
        <w:t xml:space="preserve">in </w:t>
      </w:r>
      <w:r>
        <w:t xml:space="preserve">2013 was passed. The Act amends the Constitutional Reform Act 2005 to </w:t>
      </w:r>
      <w:r>
        <w:t xml:space="preserve">give candidates with underrepresented backgrounds a positive favour if two candidates </w:t>
      </w:r>
      <w:r>
        <w:t>are of equal merit</w:t>
      </w:r>
      <w:r>
        <w:t xml:space="preserve">. The act encourages positive discrimination for candidates of ethnic minorities and gender. Nevertheless, statistics for diversity in the </w:t>
      </w:r>
      <w:r w:rsidRPr="002F5017">
        <w:rPr>
          <w:rFonts w:eastAsia="Times New Roman" w:cstheme="minorHAnsi"/>
          <w:lang w:eastAsia="en-GB"/>
        </w:rPr>
        <w:t>judiciary</w:t>
      </w:r>
      <w:r>
        <w:t xml:space="preserve"> has not improved since these acts has been implemented to </w:t>
      </w:r>
      <w:r w:rsidR="00077F1A">
        <w:t>an</w:t>
      </w:r>
      <w:r>
        <w:t xml:space="preserve"> equal level. </w:t>
      </w:r>
    </w:p>
    <w:p w14:paraId="4CEC7D4A" w14:textId="12FD0FC3" w:rsidR="0031039B" w:rsidRDefault="002F5017" w:rsidP="00451D1F">
      <w:pPr>
        <w:rPr>
          <w:rFonts w:eastAsia="Times New Roman" w:cstheme="minorHAnsi"/>
          <w:i/>
          <w:iCs/>
          <w:lang w:eastAsia="en-GB"/>
        </w:rPr>
      </w:pPr>
      <w:r w:rsidRPr="002F5017">
        <w:rPr>
          <w:rFonts w:eastAsia="Times New Roman" w:cstheme="minorHAnsi"/>
          <w:lang w:eastAsia="en-GB"/>
        </w:rPr>
        <w:t xml:space="preserve">In 2006, a diversity strategy was launched by the Lord Chancellor with the goal to increase the number of women and ethnic minority judges. The strategy promoted fair selection processes based on merit and encouraged that the culture and working space for ethnic minorities would be supported with flexible hours and a work shadowing-scheme. However, despite its efforts the strategy failed to increase diversity in the judiciary. The statistics show a small increase of women and ethnic minority </w:t>
      </w:r>
      <w:r w:rsidRPr="002F5017">
        <w:rPr>
          <w:rFonts w:eastAsia="Times New Roman" w:cstheme="minorHAnsi"/>
          <w:lang w:eastAsia="en-GB"/>
        </w:rPr>
        <w:t>appointments;</w:t>
      </w:r>
      <w:r w:rsidRPr="002F5017">
        <w:rPr>
          <w:rFonts w:eastAsia="Times New Roman" w:cstheme="minorHAnsi"/>
          <w:lang w:eastAsia="en-GB"/>
        </w:rPr>
        <w:t xml:space="preserve"> </w:t>
      </w:r>
      <w:r w:rsidR="00077F1A">
        <w:rPr>
          <w:rFonts w:eastAsia="Times New Roman" w:cstheme="minorHAnsi"/>
          <w:lang w:eastAsia="en-GB"/>
        </w:rPr>
        <w:t>but</w:t>
      </w:r>
      <w:r w:rsidRPr="002F5017">
        <w:rPr>
          <w:rFonts w:eastAsia="Times New Roman" w:cstheme="minorHAnsi"/>
          <w:lang w:eastAsia="en-GB"/>
        </w:rPr>
        <w:t xml:space="preserve"> these were at part-time and low level not High Court. The Commission then stated that the profession must become more diverse. </w:t>
      </w:r>
      <w:r w:rsidRPr="009C4D2E">
        <w:rPr>
          <w:rFonts w:eastAsia="Times New Roman" w:cstheme="minorHAnsi"/>
          <w:i/>
          <w:iCs/>
          <w:lang w:eastAsia="en-GB"/>
        </w:rPr>
        <w:t xml:space="preserve">(English Legal System, </w:t>
      </w:r>
      <w:r w:rsidR="0031039B">
        <w:rPr>
          <w:rFonts w:eastAsia="Times New Roman" w:cstheme="minorHAnsi"/>
          <w:i/>
          <w:iCs/>
          <w:lang w:eastAsia="en-GB"/>
        </w:rPr>
        <w:t xml:space="preserve">2017) </w:t>
      </w:r>
    </w:p>
    <w:p w14:paraId="2035AF32" w14:textId="5CF87FF1" w:rsidR="000B5BDF" w:rsidRDefault="00077F1A" w:rsidP="00451D1F">
      <w:r w:rsidRPr="00B81E13">
        <w:rPr>
          <w:rFonts w:cstheme="minorHAnsi"/>
          <w:shd w:val="clear" w:color="auto" w:fill="FFFFFF"/>
        </w:rPr>
        <w:t xml:space="preserve">The Pre-Application Judicial Education (PAJE) programme launched in </w:t>
      </w:r>
      <w:r w:rsidRPr="00B81E13">
        <w:rPr>
          <w:rFonts w:cstheme="minorHAnsi"/>
          <w:shd w:val="clear" w:color="auto" w:fill="FFFFFF"/>
        </w:rPr>
        <w:t>2</w:t>
      </w:r>
      <w:r w:rsidRPr="00B81E13">
        <w:rPr>
          <w:rFonts w:cstheme="minorHAnsi"/>
          <w:shd w:val="clear" w:color="auto" w:fill="FFFFFF"/>
        </w:rPr>
        <w:t xml:space="preserve">019. </w:t>
      </w:r>
      <w:r w:rsidR="000B5BDF">
        <w:rPr>
          <w:rFonts w:cstheme="minorHAnsi"/>
          <w:shd w:val="clear" w:color="auto" w:fill="FFFFFF"/>
        </w:rPr>
        <w:t xml:space="preserve">The aim of the program is to help lawyers from underrepresented groups to be more prepared when applying for a judicial job. PAJE offers digital resources such as online videos and podcasts made by the Judicial College which give in depth information about judge’s work and the Judiciary. </w:t>
      </w:r>
      <w:r w:rsidR="000D5CC8" w:rsidRPr="000D5CC8">
        <w:rPr>
          <w:rFonts w:cstheme="minorHAnsi"/>
          <w:i/>
          <w:iCs/>
          <w:shd w:val="clear" w:color="auto" w:fill="FFFFFF"/>
        </w:rPr>
        <w:t>(Courts and Tribunal Website)</w:t>
      </w:r>
      <w:r w:rsidR="000D5CC8">
        <w:rPr>
          <w:rFonts w:cstheme="minorHAnsi"/>
          <w:shd w:val="clear" w:color="auto" w:fill="FFFFFF"/>
        </w:rPr>
        <w:t xml:space="preserve"> Also in 2019, a </w:t>
      </w:r>
      <w:r w:rsidR="000D5CC8" w:rsidRPr="000D5CC8">
        <w:rPr>
          <w:rFonts w:cstheme="minorHAnsi"/>
          <w:shd w:val="clear" w:color="auto" w:fill="FFFFFF"/>
        </w:rPr>
        <w:t>Judicial Diversity Statistics</w:t>
      </w:r>
      <w:r w:rsidR="000D5CC8">
        <w:rPr>
          <w:rFonts w:cstheme="minorHAnsi"/>
          <w:shd w:val="clear" w:color="auto" w:fill="FFFFFF"/>
        </w:rPr>
        <w:t xml:space="preserve"> document was published. Its findings were </w:t>
      </w:r>
      <w:r w:rsidR="005E0251">
        <w:rPr>
          <w:rFonts w:cstheme="minorHAnsi"/>
          <w:shd w:val="clear" w:color="auto" w:fill="FFFFFF"/>
        </w:rPr>
        <w:t>an</w:t>
      </w:r>
      <w:r w:rsidR="000D5CC8">
        <w:rPr>
          <w:rFonts w:cstheme="minorHAnsi"/>
          <w:shd w:val="clear" w:color="auto" w:fill="FFFFFF"/>
        </w:rPr>
        <w:t xml:space="preserve"> 8% increase in women judges and only a 2% increase in each BAME ethnic group court judges between 2014-2019. </w:t>
      </w:r>
      <w:r w:rsidR="000D5CC8" w:rsidRPr="000D5CC8">
        <w:rPr>
          <w:rFonts w:cstheme="minorHAnsi"/>
          <w:i/>
          <w:iCs/>
          <w:shd w:val="clear" w:color="auto" w:fill="FFFFFF"/>
        </w:rPr>
        <w:t>(</w:t>
      </w:r>
      <w:r w:rsidR="000D5CC8" w:rsidRPr="000D5CC8">
        <w:rPr>
          <w:i/>
          <w:iCs/>
        </w:rPr>
        <w:t>Judicial Diversity Statistics 2019</w:t>
      </w:r>
      <w:r w:rsidR="000D5CC8" w:rsidRPr="000D5CC8">
        <w:rPr>
          <w:i/>
          <w:iCs/>
        </w:rPr>
        <w:t>)</w:t>
      </w:r>
      <w:r w:rsidR="005E0251">
        <w:rPr>
          <w:i/>
          <w:iCs/>
        </w:rPr>
        <w:t xml:space="preserve"> </w:t>
      </w:r>
      <w:r w:rsidR="0035315F">
        <w:t xml:space="preserve">In 2020, the Courts and Tribunals Judiciary implemented a 5-year plan to try increase diversity in the judiciary, this is called the </w:t>
      </w:r>
      <w:r w:rsidR="0035315F">
        <w:t>Judicial Diversity and Inclusion Strategy 2020–2025</w:t>
      </w:r>
      <w:r w:rsidR="0035315F">
        <w:t xml:space="preserve"> and is still on going. The goal is to increase the amount of personal diversity in all levels of judiciary over the next five years by increasing the number of well qualified diverse </w:t>
      </w:r>
      <w:r w:rsidR="0015536A">
        <w:t>candidates</w:t>
      </w:r>
      <w:r w:rsidR="0035315F">
        <w:t xml:space="preserve"> by supporting their </w:t>
      </w:r>
      <w:r w:rsidR="0015536A">
        <w:t xml:space="preserve">inclusion, </w:t>
      </w:r>
      <w:r w:rsidR="0015536A">
        <w:t>retention,</w:t>
      </w:r>
      <w:r w:rsidR="0015536A">
        <w:t xml:space="preserve"> and progress in the judiciary.</w:t>
      </w:r>
      <w:r w:rsidR="0015536A">
        <w:t xml:space="preserve"> </w:t>
      </w:r>
      <w:r w:rsidR="0015536A" w:rsidRPr="00A91A9E">
        <w:rPr>
          <w:i/>
          <w:iCs/>
        </w:rPr>
        <w:t>(</w:t>
      </w:r>
      <w:r w:rsidR="00A91A9E" w:rsidRPr="00A91A9E">
        <w:rPr>
          <w:i/>
          <w:iCs/>
        </w:rPr>
        <w:t>Judicial</w:t>
      </w:r>
      <w:r w:rsidR="00A91A9E" w:rsidRPr="00A91A9E">
        <w:rPr>
          <w:i/>
          <w:iCs/>
        </w:rPr>
        <w:t xml:space="preserve"> Diversity and Inclusion Strategy 2020–</w:t>
      </w:r>
      <w:r w:rsidR="00A91A9E" w:rsidRPr="00A91A9E">
        <w:rPr>
          <w:i/>
          <w:iCs/>
        </w:rPr>
        <w:t>2</w:t>
      </w:r>
      <w:r w:rsidR="00A91A9E" w:rsidRPr="00A91A9E">
        <w:rPr>
          <w:i/>
          <w:iCs/>
        </w:rPr>
        <w:t>025</w:t>
      </w:r>
      <w:r w:rsidR="00A91A9E" w:rsidRPr="00A91A9E">
        <w:rPr>
          <w:i/>
          <w:iCs/>
        </w:rPr>
        <w:t>)</w:t>
      </w:r>
    </w:p>
    <w:p w14:paraId="741A3E7A" w14:textId="21EC45E6" w:rsidR="005E0251" w:rsidRPr="005E0251" w:rsidRDefault="005E0251" w:rsidP="00451D1F">
      <w:pPr>
        <w:rPr>
          <w:rFonts w:cstheme="minorHAnsi"/>
          <w:shd w:val="clear" w:color="auto" w:fill="FFFFFF"/>
        </w:rPr>
      </w:pPr>
      <w:r>
        <w:t xml:space="preserve">In conclusion, I believe diversity in the </w:t>
      </w:r>
      <w:r w:rsidRPr="005E0251">
        <w:t>judiciary</w:t>
      </w:r>
      <w:r>
        <w:t xml:space="preserve">, and specifically the Supreme Court Justices is very important </w:t>
      </w:r>
      <w:r w:rsidR="00FE2D5F">
        <w:t>but</w:t>
      </w:r>
      <w:r>
        <w:t xml:space="preserve"> lacking, with not enough attempts being made to improve diversity. A judge’s </w:t>
      </w:r>
      <w:r w:rsidR="00FE2D5F">
        <w:t xml:space="preserve">expertise </w:t>
      </w:r>
      <w:r>
        <w:t xml:space="preserve">are very important as they need to be experts in law to make good decisions, however like Lady Hale stated, if all justices have very similar backgrounds the decisions made will also be similar as they would have the same experiences and mindsets. </w:t>
      </w:r>
      <w:r w:rsidR="008A320B">
        <w:t xml:space="preserve">With more BAME representation and women as justices you will get higher quality discussions that will truly be to the </w:t>
      </w:r>
      <w:r w:rsidR="008A320B" w:rsidRPr="00C76F43">
        <w:t>public</w:t>
      </w:r>
      <w:r w:rsidR="008A320B">
        <w:t xml:space="preserve">’s interest as you will have a larger range of perspectives. </w:t>
      </w:r>
    </w:p>
    <w:p w14:paraId="435A89E5" w14:textId="5D7E244C" w:rsidR="0031039B" w:rsidRDefault="0031039B" w:rsidP="00451D1F">
      <w:pPr>
        <w:rPr>
          <w:rFonts w:cstheme="minorHAnsi"/>
          <w:shd w:val="clear" w:color="auto" w:fill="FFFFFF"/>
        </w:rPr>
      </w:pPr>
    </w:p>
    <w:p w14:paraId="31D180C4" w14:textId="77777777" w:rsidR="007A3A08" w:rsidRDefault="007A3A08" w:rsidP="00451D1F">
      <w:pPr>
        <w:rPr>
          <w:rFonts w:eastAsia="Times New Roman" w:cstheme="minorHAnsi"/>
          <w:lang w:eastAsia="en-GB"/>
        </w:rPr>
      </w:pPr>
    </w:p>
    <w:p w14:paraId="6C9CF9AF" w14:textId="77777777" w:rsidR="007A3A08" w:rsidRDefault="007A3A08" w:rsidP="007A3A08">
      <w:pPr>
        <w:rPr>
          <w:rFonts w:eastAsia="Times New Roman" w:cstheme="minorHAnsi"/>
          <w:lang w:eastAsia="en-GB"/>
        </w:rPr>
      </w:pPr>
    </w:p>
    <w:p w14:paraId="4829618C" w14:textId="77777777" w:rsidR="0015536A" w:rsidRDefault="0015536A" w:rsidP="00AE2710">
      <w:pPr>
        <w:rPr>
          <w:rFonts w:eastAsia="Times New Roman" w:cstheme="minorHAnsi"/>
          <w:lang w:eastAsia="en-GB"/>
        </w:rPr>
      </w:pPr>
    </w:p>
    <w:p w14:paraId="052B2021" w14:textId="76842FC4" w:rsidR="00AE2710" w:rsidRDefault="00AE2710" w:rsidP="00AE2710">
      <w:r>
        <w:rPr>
          <w:b/>
          <w:bCs/>
          <w:sz w:val="24"/>
          <w:szCs w:val="24"/>
          <w:u w:val="single"/>
        </w:rPr>
        <w:lastRenderedPageBreak/>
        <w:t>References</w:t>
      </w:r>
    </w:p>
    <w:p w14:paraId="65CB1A76" w14:textId="63D4BEB3" w:rsidR="00AE2710" w:rsidRPr="00AE2710" w:rsidRDefault="00AE2710" w:rsidP="00451D1F">
      <w:pPr>
        <w:rPr>
          <w:rFonts w:eastAsia="Times New Roman" w:cstheme="minorHAnsi"/>
          <w:b/>
          <w:bCs/>
          <w:i/>
          <w:iCs/>
          <w:lang w:eastAsia="en-GB"/>
        </w:rPr>
      </w:pPr>
      <w:r w:rsidRPr="00AE2710">
        <w:rPr>
          <w:rFonts w:eastAsia="Times New Roman" w:cstheme="minorHAnsi"/>
          <w:b/>
          <w:bCs/>
          <w:i/>
          <w:iCs/>
          <w:lang w:eastAsia="en-GB"/>
        </w:rPr>
        <w:t>Supreme Court Website, available at:</w:t>
      </w:r>
    </w:p>
    <w:p w14:paraId="73A4D52E" w14:textId="6A5BA981" w:rsidR="00AE2710" w:rsidRDefault="00A91A9E" w:rsidP="00451D1F">
      <w:pPr>
        <w:rPr>
          <w:rFonts w:eastAsia="Times New Roman" w:cstheme="minorHAnsi"/>
          <w:lang w:eastAsia="en-GB"/>
        </w:rPr>
      </w:pPr>
      <w:hyperlink r:id="rId5" w:anchor=":~:text=As%20an%20appeal%20court%2C%20The,The%20Supreme%20Court%3A&amp;text=hears%20appeals%20on%20arguable%20points,greatest%20public%20and%20constitutional%20importance" w:history="1">
        <w:r w:rsidR="00AE2710" w:rsidRPr="000750B4">
          <w:rPr>
            <w:rStyle w:val="Hyperlink"/>
            <w:rFonts w:eastAsia="Times New Roman" w:cstheme="minorHAnsi"/>
            <w:lang w:eastAsia="en-GB"/>
          </w:rPr>
          <w:t>https://www.supremecourt.uk/about/role-of-the-supreme-court.html#:~:text=As%20an%20appeal%20court%2C%20The,The%20Supreme%20Court%3A&amp;text=hears%20appeals%20on%20arguable%20points,greatest%20public%20and%20constitutional%20importance</w:t>
        </w:r>
      </w:hyperlink>
    </w:p>
    <w:p w14:paraId="6CE158E2" w14:textId="3BA919C5" w:rsidR="007A3A08" w:rsidRDefault="007A3A08" w:rsidP="00451D1F">
      <w:pPr>
        <w:rPr>
          <w:rFonts w:eastAsia="Times New Roman" w:cstheme="minorHAnsi"/>
          <w:b/>
          <w:bCs/>
          <w:i/>
          <w:iCs/>
          <w:lang w:eastAsia="en-GB"/>
        </w:rPr>
      </w:pPr>
      <w:r w:rsidRPr="007A3A08">
        <w:rPr>
          <w:rFonts w:eastAsia="Times New Roman" w:cstheme="minorHAnsi"/>
          <w:b/>
          <w:bCs/>
          <w:i/>
          <w:iCs/>
          <w:lang w:eastAsia="en-GB"/>
        </w:rPr>
        <w:t>The Judicial Appointments Regulations 2013</w:t>
      </w:r>
    </w:p>
    <w:p w14:paraId="5982A0E3" w14:textId="6B9C792B" w:rsidR="00BF07B2" w:rsidRDefault="00BF07B2" w:rsidP="00451D1F">
      <w:pPr>
        <w:rPr>
          <w:rFonts w:eastAsia="Times New Roman" w:cstheme="minorHAnsi"/>
          <w:b/>
          <w:bCs/>
          <w:i/>
          <w:iCs/>
          <w:lang w:eastAsia="en-GB"/>
        </w:rPr>
      </w:pPr>
      <w:r w:rsidRPr="00BF07B2">
        <w:rPr>
          <w:rFonts w:eastAsia="Times New Roman" w:cstheme="minorHAnsi"/>
          <w:b/>
          <w:bCs/>
          <w:i/>
          <w:iCs/>
          <w:lang w:eastAsia="en-GB"/>
        </w:rPr>
        <w:t>Constitutional Reform Act 2005</w:t>
      </w:r>
      <w:r>
        <w:rPr>
          <w:rFonts w:eastAsia="Times New Roman" w:cstheme="minorHAnsi"/>
          <w:b/>
          <w:bCs/>
          <w:i/>
          <w:iCs/>
          <w:lang w:eastAsia="en-GB"/>
        </w:rPr>
        <w:t>, Sections 25 to 31</w:t>
      </w:r>
    </w:p>
    <w:p w14:paraId="044B2D4B" w14:textId="0FA3E343" w:rsidR="00BF07B2" w:rsidRDefault="00BF07B2" w:rsidP="00451D1F">
      <w:pPr>
        <w:rPr>
          <w:rFonts w:eastAsia="Times New Roman" w:cstheme="minorHAnsi"/>
          <w:b/>
          <w:bCs/>
          <w:i/>
          <w:iCs/>
          <w:lang w:eastAsia="en-GB"/>
        </w:rPr>
      </w:pPr>
      <w:r>
        <w:rPr>
          <w:rFonts w:eastAsia="Times New Roman" w:cstheme="minorHAnsi"/>
          <w:b/>
          <w:bCs/>
          <w:i/>
          <w:iCs/>
          <w:lang w:eastAsia="en-GB"/>
        </w:rPr>
        <w:t>Crime and Courts Act 2013</w:t>
      </w:r>
    </w:p>
    <w:p w14:paraId="1D523604" w14:textId="7526C37E" w:rsidR="00797987" w:rsidRDefault="00797987" w:rsidP="00451D1F">
      <w:pPr>
        <w:rPr>
          <w:b/>
          <w:bCs/>
          <w:i/>
          <w:iCs/>
        </w:rPr>
      </w:pPr>
      <w:r>
        <w:rPr>
          <w:b/>
          <w:bCs/>
          <w:i/>
          <w:iCs/>
        </w:rPr>
        <w:t xml:space="preserve">Ministry of Justice, </w:t>
      </w:r>
      <w:r w:rsidRPr="00797987">
        <w:rPr>
          <w:b/>
          <w:bCs/>
          <w:i/>
          <w:iCs/>
        </w:rPr>
        <w:t>Diversity of the judiciary: Legal professions, new appointments, and current post-holders 2020 statistics</w:t>
      </w:r>
    </w:p>
    <w:p w14:paraId="6B26AC89" w14:textId="58A4AED7" w:rsidR="009C4D2E" w:rsidRDefault="009C4D2E" w:rsidP="00451D1F">
      <w:pPr>
        <w:rPr>
          <w:rFonts w:eastAsia="Times New Roman" w:cstheme="minorHAnsi"/>
          <w:b/>
          <w:bCs/>
          <w:i/>
          <w:iCs/>
          <w:lang w:eastAsia="en-GB"/>
        </w:rPr>
      </w:pPr>
      <w:r w:rsidRPr="0031039B">
        <w:rPr>
          <w:rFonts w:eastAsia="Times New Roman" w:cstheme="minorHAnsi"/>
          <w:b/>
          <w:bCs/>
          <w:i/>
          <w:iCs/>
          <w:lang w:eastAsia="en-GB"/>
        </w:rPr>
        <w:t>Increasing Diversity in the Judiciary</w:t>
      </w:r>
      <w:r w:rsidRPr="0031039B">
        <w:rPr>
          <w:rFonts w:eastAsia="Times New Roman" w:cstheme="minorHAnsi"/>
          <w:b/>
          <w:bCs/>
          <w:i/>
          <w:iCs/>
          <w:lang w:eastAsia="en-GB"/>
        </w:rPr>
        <w:t xml:space="preserve">, </w:t>
      </w:r>
      <w:r w:rsidRPr="0031039B">
        <w:rPr>
          <w:rFonts w:eastAsia="Times New Roman" w:cstheme="minorHAnsi"/>
          <w:b/>
          <w:bCs/>
          <w:i/>
          <w:iCs/>
          <w:lang w:eastAsia="en-GB"/>
        </w:rPr>
        <w:t>2004</w:t>
      </w:r>
      <w:r w:rsidRPr="0031039B">
        <w:rPr>
          <w:rFonts w:eastAsia="Times New Roman" w:cstheme="minorHAnsi"/>
          <w:b/>
          <w:bCs/>
          <w:i/>
          <w:iCs/>
          <w:lang w:eastAsia="en-GB"/>
        </w:rPr>
        <w:t xml:space="preserve">, </w:t>
      </w:r>
      <w:r w:rsidR="0031039B" w:rsidRPr="0031039B">
        <w:rPr>
          <w:rFonts w:eastAsia="Times New Roman" w:cstheme="minorHAnsi"/>
          <w:b/>
          <w:bCs/>
          <w:i/>
          <w:iCs/>
          <w:lang w:eastAsia="en-GB"/>
        </w:rPr>
        <w:t>D</w:t>
      </w:r>
      <w:r w:rsidR="0031039B" w:rsidRPr="0031039B">
        <w:rPr>
          <w:rFonts w:eastAsia="Times New Roman" w:cstheme="minorHAnsi"/>
          <w:b/>
          <w:bCs/>
          <w:i/>
          <w:iCs/>
          <w:lang w:eastAsia="en-GB"/>
        </w:rPr>
        <w:t xml:space="preserve">epartment of </w:t>
      </w:r>
      <w:r w:rsidR="0031039B" w:rsidRPr="0031039B">
        <w:rPr>
          <w:rFonts w:eastAsia="Times New Roman" w:cstheme="minorHAnsi"/>
          <w:b/>
          <w:bCs/>
          <w:i/>
          <w:iCs/>
          <w:lang w:eastAsia="en-GB"/>
        </w:rPr>
        <w:t>C</w:t>
      </w:r>
      <w:r w:rsidR="0031039B" w:rsidRPr="0031039B">
        <w:rPr>
          <w:rFonts w:eastAsia="Times New Roman" w:cstheme="minorHAnsi"/>
          <w:b/>
          <w:bCs/>
          <w:i/>
          <w:iCs/>
          <w:lang w:eastAsia="en-GB"/>
        </w:rPr>
        <w:t xml:space="preserve">onstitutional </w:t>
      </w:r>
      <w:r w:rsidR="0031039B" w:rsidRPr="0031039B">
        <w:rPr>
          <w:rFonts w:eastAsia="Times New Roman" w:cstheme="minorHAnsi"/>
          <w:b/>
          <w:bCs/>
          <w:i/>
          <w:iCs/>
          <w:lang w:eastAsia="en-GB"/>
        </w:rPr>
        <w:t>A</w:t>
      </w:r>
      <w:r w:rsidR="0031039B" w:rsidRPr="0031039B">
        <w:rPr>
          <w:rFonts w:eastAsia="Times New Roman" w:cstheme="minorHAnsi"/>
          <w:b/>
          <w:bCs/>
          <w:i/>
          <w:iCs/>
          <w:lang w:eastAsia="en-GB"/>
        </w:rPr>
        <w:t>ffairs</w:t>
      </w:r>
    </w:p>
    <w:p w14:paraId="40D44CE4" w14:textId="7C5FF568" w:rsidR="0031039B" w:rsidRDefault="0031039B" w:rsidP="00451D1F">
      <w:pPr>
        <w:rPr>
          <w:rFonts w:eastAsia="Times New Roman" w:cstheme="minorHAnsi"/>
          <w:b/>
          <w:bCs/>
          <w:i/>
          <w:iCs/>
          <w:lang w:eastAsia="en-GB"/>
        </w:rPr>
      </w:pPr>
      <w:r w:rsidRPr="0031039B">
        <w:rPr>
          <w:rFonts w:eastAsia="Times New Roman" w:cstheme="minorHAnsi"/>
          <w:b/>
          <w:bCs/>
          <w:i/>
          <w:iCs/>
          <w:lang w:eastAsia="en-GB"/>
        </w:rPr>
        <w:t>English Legal System (Eighteenth Edition 2017/2018) Catherine Elliott, Quinn Frances</w:t>
      </w:r>
      <w:r>
        <w:rPr>
          <w:rFonts w:eastAsia="Times New Roman" w:cstheme="minorHAnsi"/>
          <w:b/>
          <w:bCs/>
          <w:i/>
          <w:iCs/>
          <w:lang w:eastAsia="en-GB"/>
        </w:rPr>
        <w:t>, Pearson Education</w:t>
      </w:r>
    </w:p>
    <w:p w14:paraId="45378768" w14:textId="77777777" w:rsidR="00DC0C58" w:rsidRDefault="00DC0C58" w:rsidP="00451D1F">
      <w:pPr>
        <w:rPr>
          <w:rFonts w:eastAsia="Times New Roman" w:cstheme="minorHAnsi"/>
          <w:b/>
          <w:bCs/>
          <w:i/>
          <w:iCs/>
          <w:lang w:eastAsia="en-GB"/>
        </w:rPr>
      </w:pPr>
      <w:r>
        <w:rPr>
          <w:rFonts w:eastAsia="Times New Roman" w:cstheme="minorHAnsi"/>
          <w:b/>
          <w:bCs/>
          <w:i/>
          <w:iCs/>
          <w:lang w:eastAsia="en-GB"/>
        </w:rPr>
        <w:t xml:space="preserve">University of Birmingham Website Article, available at: </w:t>
      </w:r>
    </w:p>
    <w:p w14:paraId="0856829B" w14:textId="7C6A5EF0" w:rsidR="00DC0C58" w:rsidRDefault="00DC0C58" w:rsidP="00451D1F">
      <w:pPr>
        <w:rPr>
          <w:rFonts w:eastAsia="Times New Roman" w:cstheme="minorHAnsi"/>
          <w:b/>
          <w:bCs/>
          <w:i/>
          <w:iCs/>
          <w:lang w:eastAsia="en-GB"/>
        </w:rPr>
      </w:pPr>
      <w:hyperlink r:id="rId6" w:history="1">
        <w:r w:rsidRPr="00BC36E2">
          <w:rPr>
            <w:rStyle w:val="Hyperlink"/>
            <w:rFonts w:eastAsia="Times New Roman" w:cstheme="minorHAnsi"/>
            <w:b/>
            <w:bCs/>
            <w:i/>
            <w:iCs/>
            <w:lang w:eastAsia="en-GB"/>
          </w:rPr>
          <w:t>https://www.birmingham.ac.uk/schools/law/news/2015/10/lady-hale.aspx#:~:text=Lady%20Hale%20speaks%20at%20University%20of%20Birmingham%20on%20Appointments%20to%20the%20Supreme%20Court,-Posted%20on%2010&amp;text=On%205%20November%202015%2C%20Lady,to%20be%20ashamed%20of%20ourselves%20%E2%80%A6</w:t>
        </w:r>
      </w:hyperlink>
    </w:p>
    <w:p w14:paraId="17C92137" w14:textId="221E2BF7" w:rsidR="000D5CC8" w:rsidRDefault="000D5CC8" w:rsidP="00451D1F">
      <w:pPr>
        <w:rPr>
          <w:rFonts w:eastAsia="Times New Roman" w:cstheme="minorHAnsi"/>
          <w:b/>
          <w:bCs/>
          <w:i/>
          <w:iCs/>
          <w:lang w:eastAsia="en-GB"/>
        </w:rPr>
      </w:pPr>
      <w:r>
        <w:rPr>
          <w:rFonts w:eastAsia="Times New Roman" w:cstheme="minorHAnsi"/>
          <w:b/>
          <w:bCs/>
          <w:i/>
          <w:iCs/>
          <w:lang w:eastAsia="en-GB"/>
        </w:rPr>
        <w:t>Courts and Tribunal Website, Diversity, available at:</w:t>
      </w:r>
    </w:p>
    <w:p w14:paraId="006F7D24" w14:textId="0867058B" w:rsidR="000D5CC8" w:rsidRDefault="000D5CC8" w:rsidP="00451D1F">
      <w:pPr>
        <w:rPr>
          <w:rFonts w:eastAsia="Times New Roman" w:cstheme="minorHAnsi"/>
          <w:b/>
          <w:bCs/>
          <w:i/>
          <w:iCs/>
          <w:lang w:eastAsia="en-GB"/>
        </w:rPr>
      </w:pPr>
      <w:hyperlink r:id="rId7" w:history="1">
        <w:r w:rsidRPr="00BC36E2">
          <w:rPr>
            <w:rStyle w:val="Hyperlink"/>
            <w:rFonts w:eastAsia="Times New Roman" w:cstheme="minorHAnsi"/>
            <w:b/>
            <w:bCs/>
            <w:i/>
            <w:iCs/>
            <w:lang w:eastAsia="en-GB"/>
          </w:rPr>
          <w:t>https://www.judiciary.uk/diversity/pre-application-judicial-education-programme-paje/#:~:text=The%20Pre%2DApplication%20Judicial%20Education,for%20a%20future%20judicial%20role</w:t>
        </w:r>
      </w:hyperlink>
    </w:p>
    <w:p w14:paraId="734C6628" w14:textId="6A303CB8" w:rsidR="000D5CC8" w:rsidRPr="005E0251" w:rsidRDefault="000D5CC8" w:rsidP="00451D1F">
      <w:pPr>
        <w:rPr>
          <w:b/>
          <w:bCs/>
          <w:i/>
          <w:iCs/>
        </w:rPr>
      </w:pPr>
      <w:r w:rsidRPr="005E0251">
        <w:rPr>
          <w:b/>
          <w:bCs/>
          <w:i/>
          <w:iCs/>
        </w:rPr>
        <w:t>Judicial Diversity Statistics</w:t>
      </w:r>
      <w:r w:rsidRPr="005E0251">
        <w:rPr>
          <w:b/>
          <w:bCs/>
          <w:i/>
          <w:iCs/>
        </w:rPr>
        <w:t>,</w:t>
      </w:r>
      <w:r w:rsidRPr="005E0251">
        <w:rPr>
          <w:b/>
          <w:bCs/>
          <w:i/>
          <w:iCs/>
        </w:rPr>
        <w:t xml:space="preserve"> 2019</w:t>
      </w:r>
      <w:r w:rsidR="005E0251" w:rsidRPr="005E0251">
        <w:rPr>
          <w:b/>
          <w:bCs/>
          <w:i/>
          <w:iCs/>
        </w:rPr>
        <w:t>, available at:</w:t>
      </w:r>
    </w:p>
    <w:p w14:paraId="57965109" w14:textId="76900EB3" w:rsidR="005E0251" w:rsidRDefault="005E0251" w:rsidP="00451D1F">
      <w:pPr>
        <w:rPr>
          <w:rFonts w:eastAsia="Times New Roman" w:cstheme="minorHAnsi"/>
          <w:i/>
          <w:iCs/>
          <w:lang w:eastAsia="en-GB"/>
        </w:rPr>
      </w:pPr>
      <w:hyperlink r:id="rId8" w:history="1">
        <w:r w:rsidRPr="00BC36E2">
          <w:rPr>
            <w:rStyle w:val="Hyperlink"/>
            <w:rFonts w:eastAsia="Times New Roman" w:cstheme="minorHAnsi"/>
            <w:i/>
            <w:iCs/>
            <w:lang w:eastAsia="en-GB"/>
          </w:rPr>
          <w:t>https://www.judiciary.uk/wp-content/uploads/2019/07/Judicial-Diversity-Statistics-2019-1-2.pdf</w:t>
        </w:r>
      </w:hyperlink>
    </w:p>
    <w:p w14:paraId="1F03F7DF" w14:textId="4AFD5FB2" w:rsidR="0015536A" w:rsidRPr="0015536A" w:rsidRDefault="0015536A" w:rsidP="00451D1F">
      <w:pPr>
        <w:rPr>
          <w:rFonts w:eastAsia="Times New Roman" w:cstheme="minorHAnsi"/>
          <w:b/>
          <w:bCs/>
          <w:i/>
          <w:iCs/>
          <w:lang w:eastAsia="en-GB"/>
        </w:rPr>
      </w:pPr>
      <w:r w:rsidRPr="0015536A">
        <w:rPr>
          <w:rFonts w:eastAsia="Times New Roman" w:cstheme="minorHAnsi"/>
          <w:b/>
          <w:bCs/>
          <w:i/>
          <w:iCs/>
          <w:lang w:eastAsia="en-GB"/>
        </w:rPr>
        <w:t>Judicial</w:t>
      </w:r>
      <w:r w:rsidRPr="0015536A">
        <w:rPr>
          <w:rFonts w:eastAsia="Times New Roman" w:cstheme="minorHAnsi"/>
          <w:b/>
          <w:bCs/>
          <w:i/>
          <w:iCs/>
          <w:lang w:eastAsia="en-GB"/>
        </w:rPr>
        <w:t xml:space="preserve"> Diversity and Inclusion Strategy</w:t>
      </w:r>
      <w:r>
        <w:rPr>
          <w:rFonts w:eastAsia="Times New Roman" w:cstheme="minorHAnsi"/>
          <w:b/>
          <w:bCs/>
          <w:i/>
          <w:iCs/>
          <w:lang w:eastAsia="en-GB"/>
        </w:rPr>
        <w:t>,</w:t>
      </w:r>
      <w:r w:rsidRPr="0015536A">
        <w:rPr>
          <w:rFonts w:eastAsia="Times New Roman" w:cstheme="minorHAnsi"/>
          <w:b/>
          <w:bCs/>
          <w:i/>
          <w:iCs/>
          <w:lang w:eastAsia="en-GB"/>
        </w:rPr>
        <w:t xml:space="preserve"> 2020 – 2025</w:t>
      </w:r>
    </w:p>
    <w:p w14:paraId="0F90D6E0" w14:textId="72DD2477" w:rsidR="0015536A" w:rsidRDefault="0015536A" w:rsidP="00451D1F">
      <w:pPr>
        <w:rPr>
          <w:rFonts w:eastAsia="Times New Roman" w:cstheme="minorHAnsi"/>
          <w:i/>
          <w:iCs/>
          <w:lang w:eastAsia="en-GB"/>
        </w:rPr>
      </w:pPr>
      <w:hyperlink r:id="rId9" w:history="1">
        <w:r w:rsidRPr="00BC36E2">
          <w:rPr>
            <w:rStyle w:val="Hyperlink"/>
            <w:rFonts w:eastAsia="Times New Roman" w:cstheme="minorHAnsi"/>
            <w:i/>
            <w:iCs/>
            <w:lang w:eastAsia="en-GB"/>
          </w:rPr>
          <w:t>https://www.judiciary.uk/wp-content/uploads/2020/11/Judicial-Diversity-and-Inclusion-Strategy-2020-2025-v2.pdf</w:t>
        </w:r>
      </w:hyperlink>
    </w:p>
    <w:p w14:paraId="2A1E8CC2" w14:textId="77777777" w:rsidR="0015536A" w:rsidRDefault="0015536A" w:rsidP="00451D1F">
      <w:pPr>
        <w:rPr>
          <w:rFonts w:eastAsia="Times New Roman" w:cstheme="minorHAnsi"/>
          <w:i/>
          <w:iCs/>
          <w:lang w:eastAsia="en-GB"/>
        </w:rPr>
      </w:pPr>
    </w:p>
    <w:p w14:paraId="24D3E39D" w14:textId="77777777" w:rsidR="005E0251" w:rsidRPr="000D5CC8" w:rsidRDefault="005E0251" w:rsidP="00451D1F">
      <w:pPr>
        <w:rPr>
          <w:rFonts w:eastAsia="Times New Roman" w:cstheme="minorHAnsi"/>
          <w:i/>
          <w:iCs/>
          <w:lang w:eastAsia="en-GB"/>
        </w:rPr>
      </w:pPr>
    </w:p>
    <w:p w14:paraId="121BE8AB" w14:textId="77777777" w:rsidR="000D5CC8" w:rsidRDefault="000D5CC8" w:rsidP="00451D1F">
      <w:pPr>
        <w:rPr>
          <w:rFonts w:eastAsia="Times New Roman" w:cstheme="minorHAnsi"/>
          <w:b/>
          <w:bCs/>
          <w:i/>
          <w:iCs/>
          <w:lang w:eastAsia="en-GB"/>
        </w:rPr>
      </w:pPr>
    </w:p>
    <w:p w14:paraId="3BDE06F4" w14:textId="77777777" w:rsidR="00DC0C58" w:rsidRPr="0031039B" w:rsidRDefault="00DC0C58" w:rsidP="00451D1F">
      <w:pPr>
        <w:rPr>
          <w:rFonts w:eastAsia="Times New Roman" w:cstheme="minorHAnsi"/>
          <w:b/>
          <w:bCs/>
          <w:i/>
          <w:iCs/>
          <w:lang w:eastAsia="en-GB"/>
        </w:rPr>
      </w:pPr>
    </w:p>
    <w:p w14:paraId="4442F6F1" w14:textId="77777777" w:rsidR="00AE2710" w:rsidRDefault="00AE2710" w:rsidP="00451D1F">
      <w:pPr>
        <w:rPr>
          <w:rFonts w:eastAsia="Times New Roman" w:cstheme="minorHAnsi"/>
          <w:lang w:eastAsia="en-GB"/>
        </w:rPr>
      </w:pPr>
    </w:p>
    <w:p w14:paraId="43DDFBCD" w14:textId="3611C68F" w:rsidR="009C7C31" w:rsidRDefault="009C7C31"/>
    <w:sectPr w:rsidR="009C7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2013E2"/>
    <w:multiLevelType w:val="multilevel"/>
    <w:tmpl w:val="E5E07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8E0745"/>
    <w:multiLevelType w:val="hybridMultilevel"/>
    <w:tmpl w:val="39C48622"/>
    <w:lvl w:ilvl="0" w:tplc="6D747FC6">
      <w:start w:val="1"/>
      <w:numFmt w:val="bullet"/>
      <w:lvlText w:val=""/>
      <w:lvlJc w:val="left"/>
      <w:pPr>
        <w:tabs>
          <w:tab w:val="num" w:pos="720"/>
        </w:tabs>
        <w:ind w:left="720" w:hanging="360"/>
      </w:pPr>
      <w:rPr>
        <w:rFonts w:ascii="Wingdings 3" w:hAnsi="Wingdings 3" w:hint="default"/>
      </w:rPr>
    </w:lvl>
    <w:lvl w:ilvl="1" w:tplc="4266BE62" w:tentative="1">
      <w:start w:val="1"/>
      <w:numFmt w:val="bullet"/>
      <w:lvlText w:val=""/>
      <w:lvlJc w:val="left"/>
      <w:pPr>
        <w:tabs>
          <w:tab w:val="num" w:pos="1440"/>
        </w:tabs>
        <w:ind w:left="1440" w:hanging="360"/>
      </w:pPr>
      <w:rPr>
        <w:rFonts w:ascii="Wingdings 3" w:hAnsi="Wingdings 3" w:hint="default"/>
      </w:rPr>
    </w:lvl>
    <w:lvl w:ilvl="2" w:tplc="2DDC96C2" w:tentative="1">
      <w:start w:val="1"/>
      <w:numFmt w:val="bullet"/>
      <w:lvlText w:val=""/>
      <w:lvlJc w:val="left"/>
      <w:pPr>
        <w:tabs>
          <w:tab w:val="num" w:pos="2160"/>
        </w:tabs>
        <w:ind w:left="2160" w:hanging="360"/>
      </w:pPr>
      <w:rPr>
        <w:rFonts w:ascii="Wingdings 3" w:hAnsi="Wingdings 3" w:hint="default"/>
      </w:rPr>
    </w:lvl>
    <w:lvl w:ilvl="3" w:tplc="02749DE8" w:tentative="1">
      <w:start w:val="1"/>
      <w:numFmt w:val="bullet"/>
      <w:lvlText w:val=""/>
      <w:lvlJc w:val="left"/>
      <w:pPr>
        <w:tabs>
          <w:tab w:val="num" w:pos="2880"/>
        </w:tabs>
        <w:ind w:left="2880" w:hanging="360"/>
      </w:pPr>
      <w:rPr>
        <w:rFonts w:ascii="Wingdings 3" w:hAnsi="Wingdings 3" w:hint="default"/>
      </w:rPr>
    </w:lvl>
    <w:lvl w:ilvl="4" w:tplc="4718BC56" w:tentative="1">
      <w:start w:val="1"/>
      <w:numFmt w:val="bullet"/>
      <w:lvlText w:val=""/>
      <w:lvlJc w:val="left"/>
      <w:pPr>
        <w:tabs>
          <w:tab w:val="num" w:pos="3600"/>
        </w:tabs>
        <w:ind w:left="3600" w:hanging="360"/>
      </w:pPr>
      <w:rPr>
        <w:rFonts w:ascii="Wingdings 3" w:hAnsi="Wingdings 3" w:hint="default"/>
      </w:rPr>
    </w:lvl>
    <w:lvl w:ilvl="5" w:tplc="D3060C06" w:tentative="1">
      <w:start w:val="1"/>
      <w:numFmt w:val="bullet"/>
      <w:lvlText w:val=""/>
      <w:lvlJc w:val="left"/>
      <w:pPr>
        <w:tabs>
          <w:tab w:val="num" w:pos="4320"/>
        </w:tabs>
        <w:ind w:left="4320" w:hanging="360"/>
      </w:pPr>
      <w:rPr>
        <w:rFonts w:ascii="Wingdings 3" w:hAnsi="Wingdings 3" w:hint="default"/>
      </w:rPr>
    </w:lvl>
    <w:lvl w:ilvl="6" w:tplc="A68E0B52" w:tentative="1">
      <w:start w:val="1"/>
      <w:numFmt w:val="bullet"/>
      <w:lvlText w:val=""/>
      <w:lvlJc w:val="left"/>
      <w:pPr>
        <w:tabs>
          <w:tab w:val="num" w:pos="5040"/>
        </w:tabs>
        <w:ind w:left="5040" w:hanging="360"/>
      </w:pPr>
      <w:rPr>
        <w:rFonts w:ascii="Wingdings 3" w:hAnsi="Wingdings 3" w:hint="default"/>
      </w:rPr>
    </w:lvl>
    <w:lvl w:ilvl="7" w:tplc="B75CBC8C" w:tentative="1">
      <w:start w:val="1"/>
      <w:numFmt w:val="bullet"/>
      <w:lvlText w:val=""/>
      <w:lvlJc w:val="left"/>
      <w:pPr>
        <w:tabs>
          <w:tab w:val="num" w:pos="5760"/>
        </w:tabs>
        <w:ind w:left="5760" w:hanging="360"/>
      </w:pPr>
      <w:rPr>
        <w:rFonts w:ascii="Wingdings 3" w:hAnsi="Wingdings 3" w:hint="default"/>
      </w:rPr>
    </w:lvl>
    <w:lvl w:ilvl="8" w:tplc="CA522D8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8897660"/>
    <w:multiLevelType w:val="multilevel"/>
    <w:tmpl w:val="2E807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765"/>
    <w:rsid w:val="00025191"/>
    <w:rsid w:val="0004759F"/>
    <w:rsid w:val="0005699E"/>
    <w:rsid w:val="00077F1A"/>
    <w:rsid w:val="000B4478"/>
    <w:rsid w:val="000B5BDF"/>
    <w:rsid w:val="000B7C7B"/>
    <w:rsid w:val="000D5CC8"/>
    <w:rsid w:val="0015536A"/>
    <w:rsid w:val="001F0E17"/>
    <w:rsid w:val="00290765"/>
    <w:rsid w:val="002F5017"/>
    <w:rsid w:val="0031039B"/>
    <w:rsid w:val="0035315F"/>
    <w:rsid w:val="00451D1F"/>
    <w:rsid w:val="005E0251"/>
    <w:rsid w:val="00663276"/>
    <w:rsid w:val="0066573B"/>
    <w:rsid w:val="00797987"/>
    <w:rsid w:val="007A3A08"/>
    <w:rsid w:val="007D4EA2"/>
    <w:rsid w:val="00833BFF"/>
    <w:rsid w:val="008A320B"/>
    <w:rsid w:val="009C4D2E"/>
    <w:rsid w:val="009C7C31"/>
    <w:rsid w:val="00A91A9E"/>
    <w:rsid w:val="00AD5D99"/>
    <w:rsid w:val="00AE2710"/>
    <w:rsid w:val="00B81E13"/>
    <w:rsid w:val="00BF07B2"/>
    <w:rsid w:val="00C343FE"/>
    <w:rsid w:val="00C75474"/>
    <w:rsid w:val="00C76F43"/>
    <w:rsid w:val="00DC0C58"/>
    <w:rsid w:val="00E678CB"/>
    <w:rsid w:val="00FE2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84A37"/>
  <w15:chartTrackingRefBased/>
  <w15:docId w15:val="{D3ECF715-AF98-4822-B242-B6365E718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2710"/>
    <w:rPr>
      <w:color w:val="0563C1" w:themeColor="hyperlink"/>
      <w:u w:val="single"/>
    </w:rPr>
  </w:style>
  <w:style w:type="character" w:styleId="UnresolvedMention">
    <w:name w:val="Unresolved Mention"/>
    <w:basedOn w:val="DefaultParagraphFont"/>
    <w:uiPriority w:val="99"/>
    <w:semiHidden/>
    <w:unhideWhenUsed/>
    <w:rsid w:val="00AE27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075735">
      <w:bodyDiv w:val="1"/>
      <w:marLeft w:val="0"/>
      <w:marRight w:val="0"/>
      <w:marTop w:val="0"/>
      <w:marBottom w:val="0"/>
      <w:divBdr>
        <w:top w:val="none" w:sz="0" w:space="0" w:color="auto"/>
        <w:left w:val="none" w:sz="0" w:space="0" w:color="auto"/>
        <w:bottom w:val="none" w:sz="0" w:space="0" w:color="auto"/>
        <w:right w:val="none" w:sz="0" w:space="0" w:color="auto"/>
      </w:divBdr>
    </w:div>
    <w:div w:id="728184757">
      <w:bodyDiv w:val="1"/>
      <w:marLeft w:val="0"/>
      <w:marRight w:val="0"/>
      <w:marTop w:val="0"/>
      <w:marBottom w:val="0"/>
      <w:divBdr>
        <w:top w:val="none" w:sz="0" w:space="0" w:color="auto"/>
        <w:left w:val="none" w:sz="0" w:space="0" w:color="auto"/>
        <w:bottom w:val="none" w:sz="0" w:space="0" w:color="auto"/>
        <w:right w:val="none" w:sz="0" w:space="0" w:color="auto"/>
      </w:divBdr>
    </w:div>
    <w:div w:id="929896574">
      <w:bodyDiv w:val="1"/>
      <w:marLeft w:val="0"/>
      <w:marRight w:val="0"/>
      <w:marTop w:val="0"/>
      <w:marBottom w:val="0"/>
      <w:divBdr>
        <w:top w:val="none" w:sz="0" w:space="0" w:color="auto"/>
        <w:left w:val="none" w:sz="0" w:space="0" w:color="auto"/>
        <w:bottom w:val="none" w:sz="0" w:space="0" w:color="auto"/>
        <w:right w:val="none" w:sz="0" w:space="0" w:color="auto"/>
      </w:divBdr>
    </w:div>
    <w:div w:id="1294825720">
      <w:bodyDiv w:val="1"/>
      <w:marLeft w:val="0"/>
      <w:marRight w:val="0"/>
      <w:marTop w:val="0"/>
      <w:marBottom w:val="0"/>
      <w:divBdr>
        <w:top w:val="none" w:sz="0" w:space="0" w:color="auto"/>
        <w:left w:val="none" w:sz="0" w:space="0" w:color="auto"/>
        <w:bottom w:val="none" w:sz="0" w:space="0" w:color="auto"/>
        <w:right w:val="none" w:sz="0" w:space="0" w:color="auto"/>
      </w:divBdr>
    </w:div>
    <w:div w:id="1343435692">
      <w:bodyDiv w:val="1"/>
      <w:marLeft w:val="0"/>
      <w:marRight w:val="0"/>
      <w:marTop w:val="0"/>
      <w:marBottom w:val="0"/>
      <w:divBdr>
        <w:top w:val="none" w:sz="0" w:space="0" w:color="auto"/>
        <w:left w:val="none" w:sz="0" w:space="0" w:color="auto"/>
        <w:bottom w:val="none" w:sz="0" w:space="0" w:color="auto"/>
        <w:right w:val="none" w:sz="0" w:space="0" w:color="auto"/>
      </w:divBdr>
      <w:divsChild>
        <w:div w:id="2105759249">
          <w:marLeft w:val="547"/>
          <w:marRight w:val="0"/>
          <w:marTop w:val="200"/>
          <w:marBottom w:val="0"/>
          <w:divBdr>
            <w:top w:val="none" w:sz="0" w:space="0" w:color="auto"/>
            <w:left w:val="none" w:sz="0" w:space="0" w:color="auto"/>
            <w:bottom w:val="none" w:sz="0" w:space="0" w:color="auto"/>
            <w:right w:val="none" w:sz="0" w:space="0" w:color="auto"/>
          </w:divBdr>
        </w:div>
        <w:div w:id="922955153">
          <w:marLeft w:val="547"/>
          <w:marRight w:val="0"/>
          <w:marTop w:val="200"/>
          <w:marBottom w:val="0"/>
          <w:divBdr>
            <w:top w:val="none" w:sz="0" w:space="0" w:color="auto"/>
            <w:left w:val="none" w:sz="0" w:space="0" w:color="auto"/>
            <w:bottom w:val="none" w:sz="0" w:space="0" w:color="auto"/>
            <w:right w:val="none" w:sz="0" w:space="0" w:color="auto"/>
          </w:divBdr>
        </w:div>
        <w:div w:id="482090924">
          <w:marLeft w:val="547"/>
          <w:marRight w:val="0"/>
          <w:marTop w:val="200"/>
          <w:marBottom w:val="0"/>
          <w:divBdr>
            <w:top w:val="none" w:sz="0" w:space="0" w:color="auto"/>
            <w:left w:val="none" w:sz="0" w:space="0" w:color="auto"/>
            <w:bottom w:val="none" w:sz="0" w:space="0" w:color="auto"/>
            <w:right w:val="none" w:sz="0" w:space="0" w:color="auto"/>
          </w:divBdr>
        </w:div>
        <w:div w:id="1402293619">
          <w:marLeft w:val="547"/>
          <w:marRight w:val="0"/>
          <w:marTop w:val="200"/>
          <w:marBottom w:val="0"/>
          <w:divBdr>
            <w:top w:val="none" w:sz="0" w:space="0" w:color="auto"/>
            <w:left w:val="none" w:sz="0" w:space="0" w:color="auto"/>
            <w:bottom w:val="none" w:sz="0" w:space="0" w:color="auto"/>
            <w:right w:val="none" w:sz="0" w:space="0" w:color="auto"/>
          </w:divBdr>
        </w:div>
      </w:divsChild>
    </w:div>
    <w:div w:id="1473937065">
      <w:bodyDiv w:val="1"/>
      <w:marLeft w:val="0"/>
      <w:marRight w:val="0"/>
      <w:marTop w:val="0"/>
      <w:marBottom w:val="0"/>
      <w:divBdr>
        <w:top w:val="none" w:sz="0" w:space="0" w:color="auto"/>
        <w:left w:val="none" w:sz="0" w:space="0" w:color="auto"/>
        <w:bottom w:val="none" w:sz="0" w:space="0" w:color="auto"/>
        <w:right w:val="none" w:sz="0" w:space="0" w:color="auto"/>
      </w:divBdr>
    </w:div>
    <w:div w:id="203391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wp-content/uploads/2019/07/Judicial-Diversity-Statistics-2019-1-2.pdf" TargetMode="External"/><Relationship Id="rId3" Type="http://schemas.openxmlformats.org/officeDocument/2006/relationships/settings" Target="settings.xml"/><Relationship Id="rId7" Type="http://schemas.openxmlformats.org/officeDocument/2006/relationships/hyperlink" Target="https://www.judiciary.uk/diversity/pre-application-judicial-education-programme-paje/#:~:text=The%20Pre%2DApplication%20Judicial%20Education,for%20a%20future%20judicial%20ro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rmingham.ac.uk/schools/law/news/2015/10/lady-hale.aspx#:~:text=Lady%20Hale%20speaks%20at%20University%20of%20Birmingham%20on%20Appointments%20to%20the%20Supreme%20Court,-Posted%20on%2010&amp;text=On%205%20November%202015%2C%20Lady,to%20be%20ashamed%20of%20ourselves%20%E2%80%A6" TargetMode="External"/><Relationship Id="rId11" Type="http://schemas.openxmlformats.org/officeDocument/2006/relationships/theme" Target="theme/theme1.xml"/><Relationship Id="rId5" Type="http://schemas.openxmlformats.org/officeDocument/2006/relationships/hyperlink" Target="https://www.supremecourt.uk/about/role-of-the-supreme-court.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udiciary.uk/wp-content/uploads/2020/11/Judicial-Diversity-and-Inclusion-Strategy-2020-2025-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TotalTime>
  <Pages>3</Pages>
  <Words>1580</Words>
  <Characters>9008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Ramsey</dc:creator>
  <cp:keywords/>
  <dc:description/>
  <cp:lastModifiedBy>Sean Ramsey</cp:lastModifiedBy>
  <cp:revision>17</cp:revision>
  <dcterms:created xsi:type="dcterms:W3CDTF">2022-02-22T20:14:00Z</dcterms:created>
  <dcterms:modified xsi:type="dcterms:W3CDTF">2022-03-01T22:53:00Z</dcterms:modified>
</cp:coreProperties>
</file>