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33F73B" w14:textId="6AA069DF" w:rsidR="00020ADA" w:rsidRPr="003D33DB" w:rsidRDefault="00020ADA">
      <w:pPr>
        <w:rPr>
          <w:rFonts w:ascii="Arial" w:hAnsi="Arial" w:cs="Arial"/>
          <w:sz w:val="22"/>
        </w:rPr>
      </w:pPr>
    </w:p>
    <w:p w14:paraId="270A8F3E" w14:textId="5B260155" w:rsidR="00020ADA" w:rsidRPr="003D33DB" w:rsidRDefault="00020ADA">
      <w:pPr>
        <w:rPr>
          <w:rFonts w:ascii="Arial" w:hAnsi="Arial" w:cs="Arial"/>
          <w:sz w:val="22"/>
        </w:rPr>
      </w:pPr>
    </w:p>
    <w:p w14:paraId="7F9B38A9" w14:textId="3B24A09F" w:rsidR="00BE41DE" w:rsidRPr="003D33DB" w:rsidRDefault="00BE41DE" w:rsidP="003D33DB">
      <w:pPr>
        <w:tabs>
          <w:tab w:val="left" w:pos="5220"/>
        </w:tabs>
        <w:rPr>
          <w:rFonts w:ascii="Arial" w:hAnsi="Arial" w:cs="Arial"/>
          <w:sz w:val="22"/>
        </w:rPr>
        <w:sectPr w:rsidR="00BE41DE" w:rsidRPr="003D33D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r>
        <w:rPr>
          <w:rFonts w:ascii="Arial" w:hAnsi="Arial" w:cs="Arial"/>
          <w:sz w:val="22"/>
        </w:rPr>
        <w:t xml:space="preserve">Draft, </w:t>
      </w:r>
      <w:bookmarkStart w:id="0" w:name="_GoBack"/>
      <w:bookmarkEnd w:id="0"/>
      <w:r>
        <w:rPr>
          <w:rFonts w:ascii="Arial" w:hAnsi="Arial" w:cs="Arial"/>
          <w:sz w:val="22"/>
        </w:rPr>
        <w:t xml:space="preserve">SN </w:t>
      </w:r>
    </w:p>
    <w:p w14:paraId="6F4A3B7C" w14:textId="77777777" w:rsidR="00020ADA" w:rsidRPr="003D33DB" w:rsidRDefault="00020ADA" w:rsidP="00020ADA">
      <w:pPr>
        <w:pStyle w:val="Heading1"/>
        <w:rPr>
          <w:rFonts w:ascii="Arial" w:hAnsi="Arial" w:cs="Arial"/>
          <w:sz w:val="22"/>
          <w:szCs w:val="22"/>
        </w:rPr>
      </w:pPr>
      <w:bookmarkStart w:id="1" w:name="_Toc120748289"/>
      <w:bookmarkStart w:id="2" w:name="_Toc120750217"/>
      <w:r w:rsidRPr="003D33DB">
        <w:rPr>
          <w:rFonts w:ascii="Arial" w:hAnsi="Arial" w:cs="Arial"/>
          <w:sz w:val="22"/>
          <w:szCs w:val="22"/>
        </w:rPr>
        <w:lastRenderedPageBreak/>
        <w:t>Introduction</w:t>
      </w:r>
      <w:bookmarkEnd w:id="1"/>
      <w:bookmarkEnd w:id="2"/>
      <w:r w:rsidRPr="003D33DB">
        <w:rPr>
          <w:rFonts w:ascii="Arial" w:hAnsi="Arial" w:cs="Arial"/>
          <w:sz w:val="22"/>
          <w:szCs w:val="22"/>
        </w:rPr>
        <w:t xml:space="preserve"> </w:t>
      </w:r>
    </w:p>
    <w:p w14:paraId="62DB9A0C" w14:textId="561A764F" w:rsidR="00020ADA" w:rsidRPr="003D33DB" w:rsidRDefault="00020ADA" w:rsidP="00020ADA">
      <w:pPr>
        <w:rPr>
          <w:rFonts w:ascii="Arial" w:hAnsi="Arial" w:cs="Arial"/>
          <w:sz w:val="22"/>
        </w:rPr>
      </w:pPr>
      <w:r w:rsidRPr="003D33DB">
        <w:rPr>
          <w:rFonts w:ascii="Arial" w:hAnsi="Arial" w:cs="Arial"/>
          <w:sz w:val="22"/>
        </w:rPr>
        <w:t>Projects and events are creating an opportunity to ensure community engagement. These are helping an organisation to prove its standing and apply its knowledge and skills to attracting and providing support among people.  Birmingham commonwealth games have created such an opportunity for organisations and individuals (Wingo and Heppler, 2022). The Fitness Academy which is a sports-led organisation had started a project to engage local people with the Commonwealth 2022 celebrations. Individual Community Practitioner</w:t>
      </w:r>
      <w:r w:rsidR="002E4D32" w:rsidRPr="003D33DB">
        <w:rPr>
          <w:rFonts w:ascii="Arial" w:hAnsi="Arial" w:cs="Arial"/>
          <w:sz w:val="22"/>
        </w:rPr>
        <w:t>s</w:t>
      </w:r>
      <w:r w:rsidRPr="003D33DB">
        <w:rPr>
          <w:rFonts w:ascii="Arial" w:hAnsi="Arial" w:cs="Arial"/>
          <w:sz w:val="22"/>
        </w:rPr>
        <w:t xml:space="preserve"> had chosen this project for engaging people as a community practitioner that is based on celebrating Birmingham 2022 Commonwealth Games. Here in this report, different types of activities and roles that were helpful for engaging people effectively with the project have been described in this report (Wingo and Heppler, 2022). Celebrating Commonwealth Communities and Sport </w:t>
      </w:r>
      <w:r w:rsidR="00D6285F" w:rsidRPr="003D33DB">
        <w:rPr>
          <w:rFonts w:ascii="Arial" w:hAnsi="Arial" w:cs="Arial"/>
          <w:sz w:val="22"/>
        </w:rPr>
        <w:t xml:space="preserve">organised two programmes during the project where one of them </w:t>
      </w:r>
      <w:r w:rsidRPr="003D33DB">
        <w:rPr>
          <w:rFonts w:ascii="Arial" w:hAnsi="Arial" w:cs="Arial"/>
          <w:sz w:val="22"/>
        </w:rPr>
        <w:t>includes Free Wrestling sessions that are helpful for engaging children and young people with the Birmingham 2022 Commonwealth Games.</w:t>
      </w:r>
      <w:r w:rsidR="00D6285F" w:rsidRPr="003D33DB">
        <w:rPr>
          <w:rFonts w:ascii="Arial" w:hAnsi="Arial" w:cs="Arial"/>
          <w:sz w:val="22"/>
        </w:rPr>
        <w:t xml:space="preserve"> The idea behind this </w:t>
      </w:r>
      <w:r w:rsidR="002703C5" w:rsidRPr="003D33DB">
        <w:rPr>
          <w:rFonts w:ascii="Arial" w:hAnsi="Arial" w:cs="Arial"/>
          <w:sz w:val="22"/>
        </w:rPr>
        <w:t>programme</w:t>
      </w:r>
      <w:r w:rsidR="00D6285F" w:rsidRPr="003D33DB">
        <w:rPr>
          <w:rFonts w:ascii="Arial" w:hAnsi="Arial" w:cs="Arial"/>
          <w:sz w:val="22"/>
        </w:rPr>
        <w:t xml:space="preserve"> has been to </w:t>
      </w:r>
      <w:r w:rsidR="004F76BF" w:rsidRPr="003D33DB">
        <w:rPr>
          <w:rFonts w:ascii="Arial" w:hAnsi="Arial" w:cs="Arial"/>
          <w:sz w:val="22"/>
        </w:rPr>
        <w:t xml:space="preserve">make the younger and older people of the community engage </w:t>
      </w:r>
      <w:r w:rsidR="002E4D32" w:rsidRPr="003D33DB">
        <w:rPr>
          <w:rFonts w:ascii="Arial" w:hAnsi="Arial" w:cs="Arial"/>
          <w:sz w:val="22"/>
        </w:rPr>
        <w:t>in</w:t>
      </w:r>
      <w:r w:rsidR="004F76BF" w:rsidRPr="003D33DB">
        <w:rPr>
          <w:rFonts w:ascii="Arial" w:hAnsi="Arial" w:cs="Arial"/>
          <w:sz w:val="22"/>
        </w:rPr>
        <w:t xml:space="preserve"> physical activities by leveraging the existing trends created by the Commonwealth games. The second programme </w:t>
      </w:r>
      <w:r w:rsidR="002703C5" w:rsidRPr="003D33DB">
        <w:rPr>
          <w:rFonts w:ascii="Arial" w:hAnsi="Arial" w:cs="Arial"/>
          <w:sz w:val="22"/>
        </w:rPr>
        <w:t xml:space="preserve">consisted of an annual wrestling event that has been opened for all sorts of people </w:t>
      </w:r>
      <w:r w:rsidR="002E4D32" w:rsidRPr="003D33DB">
        <w:rPr>
          <w:rFonts w:ascii="Arial" w:hAnsi="Arial" w:cs="Arial"/>
          <w:sz w:val="22"/>
        </w:rPr>
        <w:t>in</w:t>
      </w:r>
      <w:r w:rsidR="002703C5" w:rsidRPr="003D33DB">
        <w:rPr>
          <w:rFonts w:ascii="Arial" w:hAnsi="Arial" w:cs="Arial"/>
          <w:sz w:val="22"/>
        </w:rPr>
        <w:t xml:space="preserve"> the community regardless of their gender, class and cultural difference to create bring all the communities of the people together.</w:t>
      </w:r>
      <w:r w:rsidRPr="003D33DB">
        <w:rPr>
          <w:rFonts w:ascii="Arial" w:hAnsi="Arial" w:cs="Arial"/>
          <w:sz w:val="22"/>
        </w:rPr>
        <w:t xml:space="preserve"> In this regard, the roles and responsibilities of a community practitioner for engaging in sports-related activities have been focused on from different aspects.</w:t>
      </w:r>
    </w:p>
    <w:p w14:paraId="342F3CCE" w14:textId="6DD1AA6E" w:rsidR="00C40E0D" w:rsidRPr="003D33DB" w:rsidRDefault="00C40E0D">
      <w:pPr>
        <w:spacing w:after="200" w:line="276" w:lineRule="auto"/>
        <w:jc w:val="left"/>
        <w:rPr>
          <w:rFonts w:ascii="Arial" w:hAnsi="Arial" w:cs="Arial"/>
          <w:sz w:val="22"/>
        </w:rPr>
      </w:pPr>
      <w:r w:rsidRPr="003D33DB">
        <w:rPr>
          <w:rFonts w:ascii="Arial" w:hAnsi="Arial" w:cs="Arial"/>
          <w:sz w:val="22"/>
        </w:rPr>
        <w:br w:type="page"/>
      </w:r>
    </w:p>
    <w:p w14:paraId="68383829" w14:textId="77777777" w:rsidR="00C40E0D" w:rsidRPr="003D33DB" w:rsidRDefault="00C40E0D" w:rsidP="00C40E0D">
      <w:pPr>
        <w:pStyle w:val="Heading1"/>
        <w:rPr>
          <w:rFonts w:ascii="Arial" w:hAnsi="Arial" w:cs="Arial"/>
          <w:sz w:val="22"/>
          <w:szCs w:val="22"/>
          <w:lang w:val="en-US"/>
        </w:rPr>
      </w:pPr>
      <w:bookmarkStart w:id="3" w:name="_Toc120748290"/>
      <w:bookmarkStart w:id="4" w:name="_Toc120750218"/>
      <w:r w:rsidRPr="003D33DB">
        <w:rPr>
          <w:rFonts w:ascii="Arial" w:hAnsi="Arial" w:cs="Arial"/>
          <w:sz w:val="22"/>
          <w:szCs w:val="22"/>
        </w:rPr>
        <w:lastRenderedPageBreak/>
        <w:t xml:space="preserve">Programme summary of </w:t>
      </w:r>
      <w:r w:rsidRPr="003D33DB">
        <w:rPr>
          <w:rFonts w:ascii="Arial" w:hAnsi="Arial" w:cs="Arial"/>
          <w:sz w:val="22"/>
          <w:szCs w:val="22"/>
          <w:lang w:val="en-US"/>
        </w:rPr>
        <w:t>Celebrating Commonwealth Communities and Sport</w:t>
      </w:r>
      <w:bookmarkEnd w:id="3"/>
      <w:bookmarkEnd w:id="4"/>
    </w:p>
    <w:p w14:paraId="396E9CF3" w14:textId="759BA1F3" w:rsidR="00C40E0D" w:rsidRPr="003D33DB" w:rsidRDefault="00C40E0D" w:rsidP="00C40E0D">
      <w:pPr>
        <w:rPr>
          <w:rFonts w:ascii="Arial" w:hAnsi="Arial" w:cs="Arial"/>
          <w:sz w:val="22"/>
        </w:rPr>
      </w:pPr>
      <w:r w:rsidRPr="003D33DB">
        <w:rPr>
          <w:rFonts w:ascii="Arial" w:hAnsi="Arial" w:cs="Arial"/>
          <w:sz w:val="22"/>
        </w:rPr>
        <w:t xml:space="preserve">The program was a part of the Birmingham 2022 commonwealth games (Evans et al., 2022). Birmingham commonwealth game is a traditional event that is engaging people from different backgrounds skills and competencies from more than 72 countries and territories. In this program, people are coming from different cultures values and regions. There are more than 400 athletes attended the inaugural games for taking part in the event. As a result, there was a festive environment for celebrating the Birmingham 2022 commonwealth games (Watson et al., 2011). Birmingham city council had budgeted 6 million tournament community funds for accomplishing the tournament-related activities. People from all over the world come to attend the mega event as the representative of their nation country or region. In this program, Fitness Academy which is a sports-led organisation started a project to engage local people with the Commonwealth 2022 celebrations. The main purpose of Celebrating Commonwealth Communities and Sport </w:t>
      </w:r>
      <w:r w:rsidR="002E4D32" w:rsidRPr="003D33DB">
        <w:rPr>
          <w:rFonts w:ascii="Arial" w:hAnsi="Arial" w:cs="Arial"/>
          <w:sz w:val="22"/>
        </w:rPr>
        <w:t xml:space="preserve">is </w:t>
      </w:r>
      <w:r w:rsidRPr="003D33DB">
        <w:rPr>
          <w:rFonts w:ascii="Arial" w:hAnsi="Arial" w:cs="Arial"/>
          <w:sz w:val="22"/>
        </w:rPr>
        <w:t>to attach and attract local young and child people who are in the age range of 5-17 years old. Free wrestling sessions were the program for attracting and engaging people from the local community (Waterton and Watson, 2019). As a community practitioner</w:t>
      </w:r>
      <w:r w:rsidR="002E4D32" w:rsidRPr="003D33DB">
        <w:rPr>
          <w:rFonts w:ascii="Arial" w:hAnsi="Arial" w:cs="Arial"/>
          <w:sz w:val="22"/>
        </w:rPr>
        <w:t>s</w:t>
      </w:r>
      <w:r w:rsidRPr="003D33DB">
        <w:rPr>
          <w:rFonts w:ascii="Arial" w:hAnsi="Arial" w:cs="Arial"/>
          <w:sz w:val="22"/>
        </w:rPr>
        <w:t>, Individual Community Practitioner</w:t>
      </w:r>
      <w:r w:rsidR="002E4D32" w:rsidRPr="003D33DB">
        <w:rPr>
          <w:rFonts w:ascii="Arial" w:hAnsi="Arial" w:cs="Arial"/>
          <w:sz w:val="22"/>
        </w:rPr>
        <w:t>s</w:t>
      </w:r>
      <w:r w:rsidRPr="003D33DB">
        <w:rPr>
          <w:rFonts w:ascii="Arial" w:hAnsi="Arial" w:cs="Arial"/>
          <w:sz w:val="22"/>
        </w:rPr>
        <w:t xml:space="preserve"> had to contribute to engaging people with the Annual Wrestling tournament.</w:t>
      </w:r>
    </w:p>
    <w:p w14:paraId="1F844296" w14:textId="71587D77" w:rsidR="00C40E0D" w:rsidRPr="003D33DB" w:rsidRDefault="00C40E0D">
      <w:pPr>
        <w:spacing w:after="200" w:line="276" w:lineRule="auto"/>
        <w:jc w:val="left"/>
        <w:rPr>
          <w:rFonts w:ascii="Arial" w:hAnsi="Arial" w:cs="Arial"/>
          <w:sz w:val="22"/>
        </w:rPr>
      </w:pPr>
      <w:r w:rsidRPr="003D33DB">
        <w:rPr>
          <w:rFonts w:ascii="Arial" w:hAnsi="Arial" w:cs="Arial"/>
          <w:sz w:val="22"/>
        </w:rPr>
        <w:br w:type="page"/>
      </w:r>
    </w:p>
    <w:p w14:paraId="1B4DE121" w14:textId="77777777" w:rsidR="00C40E0D" w:rsidRPr="003D33DB" w:rsidRDefault="00C40E0D" w:rsidP="00C40E0D">
      <w:pPr>
        <w:pStyle w:val="Heading1"/>
        <w:rPr>
          <w:rFonts w:ascii="Arial" w:hAnsi="Arial" w:cs="Arial"/>
          <w:sz w:val="22"/>
          <w:szCs w:val="22"/>
        </w:rPr>
      </w:pPr>
      <w:bookmarkStart w:id="5" w:name="_Toc120748291"/>
      <w:bookmarkStart w:id="6" w:name="_Toc120750219"/>
      <w:r w:rsidRPr="003D33DB">
        <w:rPr>
          <w:rFonts w:ascii="Arial" w:hAnsi="Arial" w:cs="Arial"/>
          <w:sz w:val="22"/>
          <w:szCs w:val="22"/>
        </w:rPr>
        <w:lastRenderedPageBreak/>
        <w:t>Principles, standards, and stakeholders’ participation in commonwealth games of Celebrating Commonwealth Communities and Sport</w:t>
      </w:r>
      <w:bookmarkEnd w:id="5"/>
      <w:bookmarkEnd w:id="6"/>
    </w:p>
    <w:p w14:paraId="11D53491" w14:textId="2E13C90D" w:rsidR="00C40E0D" w:rsidRPr="003D33DB" w:rsidRDefault="00C40E0D" w:rsidP="00C40E0D">
      <w:pPr>
        <w:rPr>
          <w:rFonts w:ascii="Arial" w:hAnsi="Arial" w:cs="Arial"/>
          <w:sz w:val="22"/>
        </w:rPr>
      </w:pPr>
      <w:r w:rsidRPr="003D33DB">
        <w:rPr>
          <w:rFonts w:ascii="Arial" w:hAnsi="Arial" w:cs="Arial"/>
          <w:sz w:val="22"/>
        </w:rPr>
        <w:t>The main principle of the program was to engage local people and the community with the event. It was one of the most important concerns of the Organising community to ensure the engagement of local children and young people who are between the age of 5 to 17 (Tiwari and Smith, 2014). Another important principle of the program was attracting local communities living in deprived areas of Birmingham. For this purpose, as a practitioner, Individual Community Practitioner</w:t>
      </w:r>
      <w:r w:rsidR="002E4D32" w:rsidRPr="003D33DB">
        <w:rPr>
          <w:rFonts w:ascii="Arial" w:hAnsi="Arial" w:cs="Arial"/>
          <w:sz w:val="22"/>
        </w:rPr>
        <w:t>s</w:t>
      </w:r>
      <w:r w:rsidRPr="003D33DB">
        <w:rPr>
          <w:rFonts w:ascii="Arial" w:hAnsi="Arial" w:cs="Arial"/>
          <w:sz w:val="22"/>
        </w:rPr>
        <w:t xml:space="preserve"> had different types of initiatives for ensuring their proper identity and attracting them with different types of alluring proposals. The leaders and managers of the community program attracted people to the program with specific and well-defined goals and objectives (Waterton and Watson, 2019). Another important principle of Celebrating Commonwealth Communities and Sport</w:t>
      </w:r>
      <w:r w:rsidR="002E4D32" w:rsidRPr="003D33DB">
        <w:rPr>
          <w:rFonts w:ascii="Arial" w:hAnsi="Arial" w:cs="Arial"/>
          <w:sz w:val="22"/>
        </w:rPr>
        <w:t>s</w:t>
      </w:r>
      <w:r w:rsidRPr="003D33DB">
        <w:rPr>
          <w:rFonts w:ascii="Arial" w:hAnsi="Arial" w:cs="Arial"/>
          <w:sz w:val="22"/>
        </w:rPr>
        <w:t xml:space="preserve"> program was engaging community-based group’s local leaders and important people, local and Central Government (Mule, 2022).</w:t>
      </w:r>
    </w:p>
    <w:p w14:paraId="3B4E5D8B" w14:textId="55CBB853" w:rsidR="00C40E0D" w:rsidRPr="003D33DB" w:rsidRDefault="00C40E0D" w:rsidP="00C40E0D">
      <w:pPr>
        <w:rPr>
          <w:rFonts w:ascii="Arial" w:hAnsi="Arial" w:cs="Arial"/>
          <w:sz w:val="22"/>
        </w:rPr>
      </w:pPr>
      <w:r w:rsidRPr="003D33DB">
        <w:rPr>
          <w:rFonts w:ascii="Arial" w:hAnsi="Arial" w:cs="Arial"/>
          <w:sz w:val="22"/>
        </w:rPr>
        <w:t xml:space="preserve">The standard of the program was </w:t>
      </w:r>
      <w:r w:rsidR="002E4D32" w:rsidRPr="003D33DB">
        <w:rPr>
          <w:rFonts w:ascii="Arial" w:hAnsi="Arial" w:cs="Arial"/>
          <w:sz w:val="22"/>
        </w:rPr>
        <w:t>to ensure</w:t>
      </w:r>
      <w:r w:rsidRPr="003D33DB">
        <w:rPr>
          <w:rFonts w:ascii="Arial" w:hAnsi="Arial" w:cs="Arial"/>
          <w:sz w:val="22"/>
        </w:rPr>
        <w:t xml:space="preserve"> shared purpose and cooperation </w:t>
      </w:r>
      <w:r w:rsidR="002E4D32" w:rsidRPr="003D33DB">
        <w:rPr>
          <w:rFonts w:ascii="Arial" w:hAnsi="Arial" w:cs="Arial"/>
          <w:sz w:val="22"/>
        </w:rPr>
        <w:t>between</w:t>
      </w:r>
      <w:r w:rsidRPr="003D33DB">
        <w:rPr>
          <w:rFonts w:ascii="Arial" w:hAnsi="Arial" w:cs="Arial"/>
          <w:sz w:val="22"/>
        </w:rPr>
        <w:t xml:space="preserve"> the local authority and the Organising </w:t>
      </w:r>
      <w:r w:rsidR="002E4D32" w:rsidRPr="003D33DB">
        <w:rPr>
          <w:rFonts w:ascii="Arial" w:hAnsi="Arial" w:cs="Arial"/>
          <w:sz w:val="22"/>
        </w:rPr>
        <w:t>C</w:t>
      </w:r>
      <w:r w:rsidRPr="003D33DB">
        <w:rPr>
          <w:rFonts w:ascii="Arial" w:hAnsi="Arial" w:cs="Arial"/>
          <w:sz w:val="22"/>
        </w:rPr>
        <w:t xml:space="preserve">ommittee (Mule, 2022). The program was designed in such a way that would ensure 'getting active' (engagement); 'remaining active' (progression); to reach potential (sports legacy) from the local young and child participant (McReynolds and Shields, 2021). </w:t>
      </w:r>
    </w:p>
    <w:p w14:paraId="4867602F" w14:textId="2294675B" w:rsidR="00C40E0D" w:rsidRPr="003D33DB" w:rsidRDefault="00C40E0D" w:rsidP="00C40E0D">
      <w:pPr>
        <w:rPr>
          <w:rFonts w:ascii="Arial" w:hAnsi="Arial" w:cs="Arial"/>
          <w:sz w:val="22"/>
        </w:rPr>
      </w:pPr>
      <w:r w:rsidRPr="003D33DB">
        <w:rPr>
          <w:rFonts w:ascii="Arial" w:hAnsi="Arial" w:cs="Arial"/>
          <w:sz w:val="22"/>
        </w:rPr>
        <w:t xml:space="preserve">The standard and goals of the program were set in a way that the local community good resolve their problems and issues to ensure their better understanding </w:t>
      </w:r>
      <w:r w:rsidR="002E4D32" w:rsidRPr="003D33DB">
        <w:rPr>
          <w:rFonts w:ascii="Arial" w:hAnsi="Arial" w:cs="Arial"/>
          <w:sz w:val="22"/>
        </w:rPr>
        <w:t>of</w:t>
      </w:r>
      <w:r w:rsidRPr="003D33DB">
        <w:rPr>
          <w:rFonts w:ascii="Arial" w:hAnsi="Arial" w:cs="Arial"/>
          <w:sz w:val="22"/>
        </w:rPr>
        <w:t xml:space="preserve"> the importance of sports-related activities (McReynolds and Shields, 2021). It was another standard that all participants should engage with each other in that way they can share their values and evaluations.</w:t>
      </w:r>
    </w:p>
    <w:p w14:paraId="40E1B7E0" w14:textId="036B28D0" w:rsidR="00C40E0D" w:rsidRPr="003D33DB" w:rsidRDefault="00C40E0D" w:rsidP="00C40E0D">
      <w:pPr>
        <w:rPr>
          <w:rFonts w:ascii="Arial" w:hAnsi="Arial" w:cs="Arial"/>
          <w:sz w:val="22"/>
        </w:rPr>
      </w:pPr>
      <w:r w:rsidRPr="003D33DB">
        <w:rPr>
          <w:rFonts w:ascii="Arial" w:hAnsi="Arial" w:cs="Arial"/>
          <w:sz w:val="22"/>
        </w:rPr>
        <w:t>As community practitioner, Individual Community Practitioner has always tried to ensure a proper exchange of dialogue attitude behaviour and values among the attendance (Marsh et al., 2022). It was also inspired to ensure demographic diversity and inclusion in the program. The participants were inspired to share their cultural values and beliefs for ensuring proper engagement with one another (Kronick, 2018).</w:t>
      </w:r>
    </w:p>
    <w:p w14:paraId="2E57ED2F" w14:textId="324DD804" w:rsidR="00C40E0D" w:rsidRPr="003D33DB" w:rsidRDefault="00C40E0D" w:rsidP="00C40E0D">
      <w:pPr>
        <w:rPr>
          <w:rFonts w:ascii="Arial" w:hAnsi="Arial" w:cs="Arial"/>
          <w:sz w:val="22"/>
        </w:rPr>
      </w:pPr>
      <w:r w:rsidRPr="003D33DB">
        <w:rPr>
          <w:rFonts w:ascii="Arial" w:hAnsi="Arial" w:cs="Arial"/>
          <w:sz w:val="22"/>
        </w:rPr>
        <w:t xml:space="preserve">As a community practitioner, the purpose of </w:t>
      </w:r>
      <w:r w:rsidR="002E4D32" w:rsidRPr="003D33DB">
        <w:rPr>
          <w:rFonts w:ascii="Arial" w:hAnsi="Arial" w:cs="Arial"/>
          <w:sz w:val="22"/>
        </w:rPr>
        <w:t xml:space="preserve">an </w:t>
      </w:r>
      <w:r w:rsidRPr="003D33DB">
        <w:rPr>
          <w:rFonts w:ascii="Arial" w:hAnsi="Arial" w:cs="Arial"/>
          <w:sz w:val="22"/>
        </w:rPr>
        <w:t xml:space="preserve">Individual Community Practitioner was to ensure proper participation and engagement of all kinds of stakeholders in the warming ham (Kronick, 2018). For this purpose, the practitioner tried to engage local authority and representatives of the Central Government. Local non-government organisations and representatives were invited to the program (McReynolds and Shields, 2021). People from </w:t>
      </w:r>
      <w:r w:rsidRPr="003D33DB">
        <w:rPr>
          <w:rFonts w:ascii="Arial" w:hAnsi="Arial" w:cs="Arial"/>
          <w:sz w:val="22"/>
        </w:rPr>
        <w:lastRenderedPageBreak/>
        <w:t>all ages and backgrounds were invited for enjoying the activities and performances of the children and young people.</w:t>
      </w:r>
    </w:p>
    <w:p w14:paraId="3B0AC208" w14:textId="77777777" w:rsidR="00C40E0D" w:rsidRPr="003D33DB" w:rsidRDefault="00C40E0D" w:rsidP="00C40E0D">
      <w:pPr>
        <w:pStyle w:val="Heading1"/>
        <w:rPr>
          <w:rFonts w:ascii="Arial" w:hAnsi="Arial" w:cs="Arial"/>
          <w:sz w:val="22"/>
          <w:szCs w:val="22"/>
        </w:rPr>
      </w:pPr>
      <w:bookmarkStart w:id="7" w:name="_Toc120748293"/>
      <w:bookmarkStart w:id="8" w:name="_Toc120750220"/>
      <w:r w:rsidRPr="003D33DB">
        <w:rPr>
          <w:rFonts w:ascii="Arial" w:hAnsi="Arial" w:cs="Arial"/>
          <w:sz w:val="22"/>
          <w:szCs w:val="22"/>
        </w:rPr>
        <w:t xml:space="preserve">Community participation, collaboration, diversity and inclusion to enable socio-cultural integration and multi-culturalism of </w:t>
      </w:r>
      <w:r w:rsidRPr="003D33DB">
        <w:rPr>
          <w:rFonts w:ascii="Arial" w:hAnsi="Arial" w:cs="Arial"/>
          <w:bCs/>
          <w:sz w:val="22"/>
          <w:szCs w:val="22"/>
          <w:lang w:val="en-US"/>
        </w:rPr>
        <w:t>Celebrating Commonwealth Communities and Sport</w:t>
      </w:r>
      <w:bookmarkEnd w:id="7"/>
      <w:bookmarkEnd w:id="8"/>
    </w:p>
    <w:p w14:paraId="0F39A4C1" w14:textId="77777777" w:rsidR="00C40E0D" w:rsidRPr="003D33DB" w:rsidRDefault="00C40E0D" w:rsidP="00C40E0D">
      <w:pPr>
        <w:rPr>
          <w:rFonts w:ascii="Arial" w:hAnsi="Arial" w:cs="Arial"/>
          <w:sz w:val="22"/>
        </w:rPr>
      </w:pPr>
      <w:r w:rsidRPr="003D33DB">
        <w:rPr>
          <w:rFonts w:ascii="Arial" w:hAnsi="Arial" w:cs="Arial"/>
          <w:sz w:val="22"/>
        </w:rPr>
        <w:t>The purpose of this program was to ensure community participation from people of all kinds of values backgrounds and positions (Wingo and Heppler, 2022). This program arranged an integrated multicultural environment for ensuring exchanges of views opinions and values among the participants. The expectations were provided with an opportunity to make their judgement regarding the participant of the program. As a result, multicultural community engagement was ensured (Dostilio and Welch, 2019). The participants expected the school to break down their barriers of cultural values and evaluations. Different types of training activities health the participants to engage themselves in teamwork and development-related activities. Since most of the participants were children and young people they could share their opinions views and morality (Tiwari and Smith, 2014). It was a great opportunity for underprivileged people to understand their capabilities. The program also was a great motivation for upcoming boxers of the burning ham. Birmingham's commonwealth celebrations got another level while it ensured the participation of disabled people if was organized by Impact Fitness Academy. It also helped in the creation of diversity in the celebration (Waterton and Watson, 2019).</w:t>
      </w:r>
    </w:p>
    <w:p w14:paraId="3F012B07" w14:textId="77777777" w:rsidR="00E81607" w:rsidRPr="003D33DB" w:rsidRDefault="00E81607">
      <w:pPr>
        <w:spacing w:after="200" w:line="276" w:lineRule="auto"/>
        <w:jc w:val="left"/>
        <w:rPr>
          <w:rFonts w:ascii="Arial" w:eastAsiaTheme="majorEastAsia" w:hAnsi="Arial" w:cs="Arial"/>
          <w:b/>
          <w:noProof/>
          <w:sz w:val="22"/>
        </w:rPr>
      </w:pPr>
      <w:bookmarkStart w:id="9" w:name="_Toc120748294"/>
      <w:r w:rsidRPr="003D33DB">
        <w:rPr>
          <w:rFonts w:ascii="Arial" w:hAnsi="Arial" w:cs="Arial"/>
          <w:sz w:val="22"/>
        </w:rPr>
        <w:br w:type="page"/>
      </w:r>
    </w:p>
    <w:p w14:paraId="038E4C6A" w14:textId="09C0A832" w:rsidR="00C40E0D" w:rsidRPr="003D33DB" w:rsidRDefault="00C40E0D" w:rsidP="00C40E0D">
      <w:pPr>
        <w:pStyle w:val="Heading1"/>
        <w:rPr>
          <w:rFonts w:ascii="Arial" w:hAnsi="Arial" w:cs="Arial"/>
          <w:sz w:val="22"/>
          <w:szCs w:val="22"/>
        </w:rPr>
      </w:pPr>
      <w:bookmarkStart w:id="10" w:name="_Toc120750221"/>
      <w:r w:rsidRPr="003D33DB">
        <w:rPr>
          <w:rFonts w:ascii="Arial" w:hAnsi="Arial" w:cs="Arial"/>
          <w:sz w:val="22"/>
          <w:szCs w:val="22"/>
        </w:rPr>
        <w:lastRenderedPageBreak/>
        <w:t xml:space="preserve">Internal and external factors that influence community development on the project of </w:t>
      </w:r>
      <w:r w:rsidRPr="003D33DB">
        <w:rPr>
          <w:rFonts w:ascii="Arial" w:hAnsi="Arial" w:cs="Arial"/>
          <w:bCs/>
          <w:sz w:val="22"/>
          <w:szCs w:val="22"/>
          <w:lang w:val="en-US"/>
        </w:rPr>
        <w:t>Celebrating Commonwealth Communities and Sport</w:t>
      </w:r>
      <w:bookmarkEnd w:id="9"/>
      <w:bookmarkEnd w:id="10"/>
    </w:p>
    <w:p w14:paraId="580B21F4" w14:textId="77777777" w:rsidR="00C40E0D" w:rsidRPr="003D33DB" w:rsidRDefault="00C40E0D" w:rsidP="00C40E0D">
      <w:pPr>
        <w:rPr>
          <w:rFonts w:ascii="Arial" w:hAnsi="Arial" w:cs="Arial"/>
          <w:sz w:val="22"/>
        </w:rPr>
      </w:pPr>
      <w:r w:rsidRPr="003D33DB">
        <w:rPr>
          <w:rFonts w:ascii="Arial" w:hAnsi="Arial" w:cs="Arial"/>
          <w:sz w:val="22"/>
        </w:rPr>
        <w:t xml:space="preserve">Community development is the process of engaging people from different backgrounds believes and values in a specific region or a specific group (Wingo and Heppler, 2022). There are many factors impacting only community development in a specific region or area.  These factors can be divided into two important parts including internal factors and external factors. </w:t>
      </w:r>
    </w:p>
    <w:p w14:paraId="3E22841A" w14:textId="77777777" w:rsidR="00C40E0D" w:rsidRPr="003D33DB" w:rsidRDefault="00C40E0D" w:rsidP="00C40E0D">
      <w:pPr>
        <w:rPr>
          <w:rFonts w:ascii="Arial" w:hAnsi="Arial" w:cs="Arial"/>
          <w:b/>
          <w:bCs/>
          <w:sz w:val="22"/>
        </w:rPr>
      </w:pPr>
      <w:r w:rsidRPr="003D33DB">
        <w:rPr>
          <w:rFonts w:ascii="Arial" w:hAnsi="Arial" w:cs="Arial"/>
          <w:b/>
          <w:bCs/>
          <w:sz w:val="22"/>
        </w:rPr>
        <w:t xml:space="preserve">Internal factors </w:t>
      </w:r>
    </w:p>
    <w:p w14:paraId="4D32B9F4" w14:textId="77777777" w:rsidR="00C40E0D" w:rsidRPr="003D33DB" w:rsidRDefault="00C40E0D" w:rsidP="00C40E0D">
      <w:pPr>
        <w:rPr>
          <w:rFonts w:ascii="Arial" w:hAnsi="Arial" w:cs="Arial"/>
          <w:b/>
          <w:bCs/>
          <w:sz w:val="22"/>
        </w:rPr>
      </w:pPr>
      <w:r w:rsidRPr="003D33DB">
        <w:rPr>
          <w:rFonts w:ascii="Arial" w:hAnsi="Arial" w:cs="Arial"/>
          <w:b/>
          <w:bCs/>
          <w:sz w:val="22"/>
        </w:rPr>
        <w:t xml:space="preserve">Culture and beliefs: </w:t>
      </w:r>
      <w:r w:rsidRPr="003D33DB">
        <w:rPr>
          <w:rFonts w:ascii="Arial" w:hAnsi="Arial" w:cs="Arial"/>
          <w:sz w:val="22"/>
        </w:rPr>
        <w:t>culture and beliefs are very important and crucial factors that are directly impacting on the intention of getting engaged with different types of community development-related activities.  Initially, people in our specific community try to find out that the element and activities in our community development programme should be mast read the culture and beliefs of the people (Mule, 2022).  While the community development-related elements and plants are not attractive based on their culture and believe they are not interested to get engaged with such types of development-related activities (Wilson, 2019).</w:t>
      </w:r>
    </w:p>
    <w:p w14:paraId="2E149DAF" w14:textId="77777777" w:rsidR="00C40E0D" w:rsidRPr="003D33DB" w:rsidRDefault="00C40E0D" w:rsidP="00C40E0D">
      <w:pPr>
        <w:rPr>
          <w:rFonts w:ascii="Arial" w:hAnsi="Arial" w:cs="Arial"/>
          <w:sz w:val="22"/>
        </w:rPr>
      </w:pPr>
      <w:r w:rsidRPr="003D33DB">
        <w:rPr>
          <w:rFonts w:ascii="Arial" w:hAnsi="Arial" w:cs="Arial"/>
          <w:b/>
          <w:bCs/>
          <w:sz w:val="22"/>
        </w:rPr>
        <w:t>Participation: a</w:t>
      </w:r>
      <w:r w:rsidRPr="003D33DB">
        <w:rPr>
          <w:rFonts w:ascii="Arial" w:hAnsi="Arial" w:cs="Arial"/>
          <w:sz w:val="22"/>
        </w:rPr>
        <w:t>nother important internal factor of community development is the intention of participating in different types of community development programmes (Sachs and Clark, 2016).  In this regards their cultural background, education, social economic condition, and other things are relative to their intention to engage with the community development programme (Watson et al., 2011).</w:t>
      </w:r>
    </w:p>
    <w:p w14:paraId="67F20675" w14:textId="77777777" w:rsidR="00C40E0D" w:rsidRPr="003D33DB" w:rsidRDefault="00C40E0D" w:rsidP="00C40E0D">
      <w:pPr>
        <w:rPr>
          <w:rFonts w:ascii="Arial" w:hAnsi="Arial" w:cs="Arial"/>
          <w:sz w:val="22"/>
        </w:rPr>
      </w:pPr>
      <w:r w:rsidRPr="003D33DB">
        <w:rPr>
          <w:rFonts w:ascii="Arial" w:hAnsi="Arial" w:cs="Arial"/>
          <w:b/>
          <w:bCs/>
          <w:sz w:val="22"/>
        </w:rPr>
        <w:t xml:space="preserve">Values and return: </w:t>
      </w:r>
      <w:r w:rsidRPr="003D33DB">
        <w:rPr>
          <w:rFonts w:ascii="Arial" w:hAnsi="Arial" w:cs="Arial"/>
          <w:sz w:val="22"/>
        </w:rPr>
        <w:t xml:space="preserve">while the community development programme will ensure value development among participants then the people of specific groups or communities will ensure their engagement with the community development programme (Kronick, 2018). Return and rewards are also very much important internal factors for the success of a community development program. </w:t>
      </w:r>
    </w:p>
    <w:p w14:paraId="4AEEA612" w14:textId="77777777" w:rsidR="00C40E0D" w:rsidRPr="003D33DB" w:rsidRDefault="00C40E0D" w:rsidP="00C40E0D">
      <w:pPr>
        <w:rPr>
          <w:rFonts w:ascii="Arial" w:hAnsi="Arial" w:cs="Arial"/>
          <w:b/>
          <w:bCs/>
          <w:sz w:val="22"/>
        </w:rPr>
      </w:pPr>
      <w:r w:rsidRPr="003D33DB">
        <w:rPr>
          <w:rFonts w:ascii="Arial" w:hAnsi="Arial" w:cs="Arial"/>
          <w:b/>
          <w:bCs/>
          <w:sz w:val="22"/>
        </w:rPr>
        <w:t xml:space="preserve">External factors </w:t>
      </w:r>
    </w:p>
    <w:p w14:paraId="4065EC23" w14:textId="77777777" w:rsidR="00C40E0D" w:rsidRPr="003D33DB" w:rsidRDefault="00C40E0D" w:rsidP="00C40E0D">
      <w:pPr>
        <w:rPr>
          <w:rFonts w:ascii="Arial" w:hAnsi="Arial" w:cs="Arial"/>
          <w:b/>
          <w:sz w:val="22"/>
        </w:rPr>
      </w:pPr>
      <w:r w:rsidRPr="003D33DB">
        <w:rPr>
          <w:rFonts w:ascii="Arial" w:hAnsi="Arial" w:cs="Arial"/>
          <w:b/>
          <w:sz w:val="22"/>
        </w:rPr>
        <w:t>Strategic plan and actions</w:t>
      </w:r>
    </w:p>
    <w:p w14:paraId="2120CE43" w14:textId="77777777" w:rsidR="00C40E0D" w:rsidRPr="003D33DB" w:rsidRDefault="00C40E0D" w:rsidP="00C40E0D">
      <w:pPr>
        <w:rPr>
          <w:rFonts w:ascii="Arial" w:hAnsi="Arial" w:cs="Arial"/>
          <w:sz w:val="22"/>
        </w:rPr>
      </w:pPr>
      <w:r w:rsidRPr="003D33DB">
        <w:rPr>
          <w:rFonts w:ascii="Arial" w:hAnsi="Arial" w:cs="Arial"/>
          <w:sz w:val="22"/>
        </w:rPr>
        <w:t xml:space="preserve"> Different types of strategic plans and actions that are taken by organisations that are interested in community development are directly impacting the most important external factor regarding community development (Tiwari and Smith, 2014).  In some cases, the plan and strategy cannot be matched with the values understanding and morality of people in the community (Sachs and Clark, 2016). </w:t>
      </w:r>
    </w:p>
    <w:p w14:paraId="0295A820" w14:textId="77777777" w:rsidR="00C40E0D" w:rsidRPr="003D33DB" w:rsidRDefault="00C40E0D" w:rsidP="00C40E0D">
      <w:pPr>
        <w:rPr>
          <w:rFonts w:ascii="Arial" w:hAnsi="Arial" w:cs="Arial"/>
          <w:sz w:val="22"/>
        </w:rPr>
      </w:pPr>
      <w:r w:rsidRPr="003D33DB">
        <w:rPr>
          <w:rFonts w:ascii="Arial" w:hAnsi="Arial" w:cs="Arial"/>
          <w:sz w:val="22"/>
        </w:rPr>
        <w:lastRenderedPageBreak/>
        <w:t>They are impacting the decision-making of engagement with different types of community development-related activities.</w:t>
      </w:r>
    </w:p>
    <w:p w14:paraId="425F878D" w14:textId="77777777" w:rsidR="00C40E0D" w:rsidRPr="003D33DB" w:rsidRDefault="00C40E0D" w:rsidP="00C40E0D">
      <w:pPr>
        <w:rPr>
          <w:rFonts w:ascii="Arial" w:hAnsi="Arial" w:cs="Arial"/>
          <w:b/>
          <w:sz w:val="22"/>
        </w:rPr>
      </w:pPr>
      <w:r w:rsidRPr="003D33DB">
        <w:rPr>
          <w:rFonts w:ascii="Arial" w:hAnsi="Arial" w:cs="Arial"/>
          <w:b/>
          <w:sz w:val="22"/>
        </w:rPr>
        <w:t xml:space="preserve"> Political factors</w:t>
      </w:r>
    </w:p>
    <w:p w14:paraId="65E00157" w14:textId="77777777" w:rsidR="00C40E0D" w:rsidRPr="003D33DB" w:rsidRDefault="00C40E0D" w:rsidP="00C40E0D">
      <w:pPr>
        <w:rPr>
          <w:rFonts w:ascii="Arial" w:hAnsi="Arial" w:cs="Arial"/>
          <w:sz w:val="22"/>
        </w:rPr>
      </w:pPr>
      <w:r w:rsidRPr="003D33DB">
        <w:rPr>
          <w:rFonts w:ascii="Arial" w:hAnsi="Arial" w:cs="Arial"/>
          <w:sz w:val="22"/>
        </w:rPr>
        <w:t xml:space="preserve"> Political decisions are also important for community development.  In some cases, different political organisations are showing different types of mentality and priorities to a specific group of people in our community (Evans et al., 2022).  So political factors are playing a very important role as external factors for community development.</w:t>
      </w:r>
    </w:p>
    <w:p w14:paraId="5DA064A2" w14:textId="77777777" w:rsidR="00C40E0D" w:rsidRPr="003D33DB" w:rsidRDefault="00C40E0D" w:rsidP="00C40E0D">
      <w:pPr>
        <w:rPr>
          <w:rFonts w:ascii="Arial" w:hAnsi="Arial" w:cs="Arial"/>
          <w:b/>
          <w:sz w:val="22"/>
        </w:rPr>
      </w:pPr>
      <w:r w:rsidRPr="003D33DB">
        <w:rPr>
          <w:rFonts w:ascii="Arial" w:hAnsi="Arial" w:cs="Arial"/>
          <w:b/>
          <w:sz w:val="22"/>
        </w:rPr>
        <w:t xml:space="preserve"> Technological advancement</w:t>
      </w:r>
    </w:p>
    <w:p w14:paraId="3D86F4E1" w14:textId="663B3DD9" w:rsidR="00E81607" w:rsidRPr="003D33DB" w:rsidRDefault="00C40E0D" w:rsidP="00C40E0D">
      <w:pPr>
        <w:rPr>
          <w:rFonts w:ascii="Arial" w:hAnsi="Arial" w:cs="Arial"/>
          <w:sz w:val="22"/>
        </w:rPr>
      </w:pPr>
      <w:r w:rsidRPr="003D33DB">
        <w:rPr>
          <w:rFonts w:ascii="Arial" w:hAnsi="Arial" w:cs="Arial"/>
          <w:sz w:val="22"/>
        </w:rPr>
        <w:t>Technological advancement is creating another important impact on communicating with people in a specific region (Dostilio and Welch, 2019).  In this case scenario of the Commonwealth is a sports event; we have seen the impact of social media to engage people with the rise programme</w:t>
      </w:r>
    </w:p>
    <w:p w14:paraId="276C0AEA" w14:textId="77777777" w:rsidR="00E81607" w:rsidRPr="003D33DB" w:rsidRDefault="00E81607" w:rsidP="00E81607">
      <w:pPr>
        <w:pStyle w:val="Heading1"/>
        <w:rPr>
          <w:rFonts w:ascii="Arial" w:hAnsi="Arial" w:cs="Arial"/>
          <w:sz w:val="22"/>
          <w:szCs w:val="22"/>
        </w:rPr>
      </w:pPr>
      <w:bookmarkStart w:id="11" w:name="_Toc120748295"/>
      <w:bookmarkStart w:id="12" w:name="_Toc120750222"/>
      <w:r w:rsidRPr="003D33DB">
        <w:rPr>
          <w:rFonts w:ascii="Arial" w:hAnsi="Arial" w:cs="Arial"/>
          <w:sz w:val="22"/>
          <w:szCs w:val="22"/>
        </w:rPr>
        <w:t xml:space="preserve">Importance of adopting a forward-looking approach for </w:t>
      </w:r>
      <w:r w:rsidRPr="003D33DB">
        <w:rPr>
          <w:rFonts w:ascii="Arial" w:hAnsi="Arial" w:cs="Arial"/>
          <w:bCs/>
          <w:sz w:val="22"/>
          <w:szCs w:val="22"/>
          <w:lang w:val="en-US"/>
        </w:rPr>
        <w:t>Celebrating Commonwealth Communities and Sport</w:t>
      </w:r>
      <w:bookmarkEnd w:id="11"/>
      <w:bookmarkEnd w:id="12"/>
    </w:p>
    <w:p w14:paraId="602931E5" w14:textId="21737AD0" w:rsidR="00E81607" w:rsidRPr="003D33DB" w:rsidRDefault="00E81607" w:rsidP="00C40E0D">
      <w:pPr>
        <w:rPr>
          <w:rFonts w:ascii="Arial" w:hAnsi="Arial" w:cs="Arial"/>
          <w:sz w:val="22"/>
        </w:rPr>
      </w:pPr>
      <w:r w:rsidRPr="003D33DB">
        <w:rPr>
          <w:rFonts w:ascii="Arial" w:hAnsi="Arial" w:cs="Arial"/>
          <w:sz w:val="22"/>
        </w:rPr>
        <w:t>Community engagement practitioners are working with people in a specific area or region. They have to work with the changed mind and values of people (Marsh et al., 2022). In such a situation, community practitioners should be careful regarding innovative procedures and technologies for engaging more people (Marsh et al., 2022). For this purpose, they should adopt a forward-looking approach to providing services among people as professionals.  So that they can ensure, better services for people with satisfaction and motivation to ensure their engagement with community development-related activities.  According to McReynolds and Shields (2021), “Looking forward means analysing something's current status to predict its future.”   Forward-looking approaches and strategies help create better strategic plans and execute them based on the needs and demands of stakeholders (Dostilio and Welch, 2019).  So, a community practitioner needs to adopt a forward-looking approach to community engagement.</w:t>
      </w:r>
    </w:p>
    <w:p w14:paraId="0B9BE617" w14:textId="77777777" w:rsidR="00E81607" w:rsidRPr="003D33DB" w:rsidRDefault="00E81607" w:rsidP="00E81607">
      <w:pPr>
        <w:pStyle w:val="Heading1"/>
        <w:rPr>
          <w:rFonts w:ascii="Arial" w:hAnsi="Arial" w:cs="Arial"/>
          <w:sz w:val="22"/>
          <w:szCs w:val="22"/>
        </w:rPr>
      </w:pPr>
      <w:bookmarkStart w:id="13" w:name="_Toc120748296"/>
      <w:bookmarkStart w:id="14" w:name="_Toc120750223"/>
      <w:r w:rsidRPr="003D33DB">
        <w:rPr>
          <w:rFonts w:ascii="Arial" w:hAnsi="Arial" w:cs="Arial"/>
          <w:sz w:val="22"/>
          <w:szCs w:val="22"/>
        </w:rPr>
        <w:t xml:space="preserve">Conclusion and </w:t>
      </w:r>
      <w:r w:rsidRPr="003D33DB">
        <w:rPr>
          <w:rFonts w:ascii="Arial" w:hAnsi="Arial" w:cs="Arial"/>
          <w:bCs/>
          <w:sz w:val="22"/>
          <w:szCs w:val="22"/>
        </w:rPr>
        <w:t>Recommendations</w:t>
      </w:r>
      <w:bookmarkEnd w:id="13"/>
      <w:bookmarkEnd w:id="14"/>
    </w:p>
    <w:p w14:paraId="26C64F26" w14:textId="77777777" w:rsidR="00E81607" w:rsidRPr="003D33DB" w:rsidRDefault="00E81607" w:rsidP="00E81607">
      <w:pPr>
        <w:rPr>
          <w:rFonts w:ascii="Arial" w:hAnsi="Arial" w:cs="Arial"/>
          <w:sz w:val="22"/>
        </w:rPr>
      </w:pPr>
      <w:r w:rsidRPr="003D33DB">
        <w:rPr>
          <w:rFonts w:ascii="Arial" w:hAnsi="Arial" w:cs="Arial"/>
          <w:sz w:val="22"/>
        </w:rPr>
        <w:t xml:space="preserve">Finally, it is clear to us, community engagement is a difficult process for ensuring the development of people with specific plants and programs. Different types of events and celebrations like the Birmingham Commonwealth Games programme can be effective for increasing community engagement.  In this regard, a communication engagement practitioner can play a very good and important role in specific activities.  These activities should be based on different types of principles standards and stakeholder participation and perceptions.  The community practitioner follows some specific strategies to ensure </w:t>
      </w:r>
      <w:r w:rsidRPr="003D33DB">
        <w:rPr>
          <w:rFonts w:ascii="Arial" w:hAnsi="Arial" w:cs="Arial"/>
          <w:sz w:val="22"/>
        </w:rPr>
        <w:lastRenderedPageBreak/>
        <w:t>community participation collaboration diversity and inclusion.  The community practitioner should also consider the important internal and external factors that may influence community development.  Here in the following, some important recommendations have been created for a community practitioner who successfully plans and coordinates a future event.</w:t>
      </w:r>
    </w:p>
    <w:p w14:paraId="6233F8E9" w14:textId="77777777" w:rsidR="00E81607" w:rsidRPr="003D33DB" w:rsidRDefault="00E81607" w:rsidP="00E81607">
      <w:pPr>
        <w:pStyle w:val="Heading2"/>
        <w:rPr>
          <w:rFonts w:ascii="Arial" w:hAnsi="Arial" w:cs="Arial"/>
          <w:sz w:val="22"/>
          <w:szCs w:val="22"/>
        </w:rPr>
      </w:pPr>
      <w:bookmarkStart w:id="15" w:name="_Toc120748297"/>
      <w:bookmarkStart w:id="16" w:name="_Toc120750224"/>
      <w:r w:rsidRPr="003D33DB">
        <w:rPr>
          <w:rFonts w:ascii="Arial" w:hAnsi="Arial" w:cs="Arial"/>
          <w:sz w:val="22"/>
          <w:szCs w:val="22"/>
        </w:rPr>
        <w:t>Recommendations</w:t>
      </w:r>
      <w:bookmarkEnd w:id="15"/>
      <w:bookmarkEnd w:id="16"/>
    </w:p>
    <w:p w14:paraId="7EE0DCDB" w14:textId="77777777" w:rsidR="00E81607" w:rsidRPr="003D33DB" w:rsidRDefault="00E81607" w:rsidP="00E81607">
      <w:pPr>
        <w:pStyle w:val="ListParagraph"/>
        <w:numPr>
          <w:ilvl w:val="0"/>
          <w:numId w:val="1"/>
        </w:numPr>
        <w:rPr>
          <w:rFonts w:ascii="Arial" w:hAnsi="Arial" w:cs="Arial"/>
          <w:sz w:val="22"/>
        </w:rPr>
      </w:pPr>
      <w:r w:rsidRPr="003D33DB">
        <w:rPr>
          <w:rFonts w:ascii="Arial" w:hAnsi="Arial" w:cs="Arial"/>
          <w:sz w:val="22"/>
        </w:rPr>
        <w:t>The community practitioner should identify important elements and factors that are related to the motivation and participation of the target people in a community.</w:t>
      </w:r>
    </w:p>
    <w:p w14:paraId="1385B213" w14:textId="01D89883" w:rsidR="00E81607" w:rsidRPr="003D33DB" w:rsidRDefault="00E81607" w:rsidP="00E81607">
      <w:pPr>
        <w:pStyle w:val="ListParagraph"/>
        <w:numPr>
          <w:ilvl w:val="0"/>
          <w:numId w:val="1"/>
        </w:numPr>
        <w:rPr>
          <w:rFonts w:ascii="Arial" w:hAnsi="Arial" w:cs="Arial"/>
          <w:sz w:val="22"/>
        </w:rPr>
      </w:pPr>
      <w:r w:rsidRPr="003D33DB">
        <w:rPr>
          <w:rFonts w:ascii="Arial" w:hAnsi="Arial" w:cs="Arial"/>
          <w:sz w:val="22"/>
        </w:rPr>
        <w:t>Effective research and analyse sis will help the individual to identify internal and external factors that are related to community development-related activities.</w:t>
      </w:r>
    </w:p>
    <w:p w14:paraId="0B0D47C4" w14:textId="50C071BF" w:rsidR="00E81607" w:rsidRPr="003D33DB" w:rsidRDefault="00E81607" w:rsidP="00E81607">
      <w:pPr>
        <w:pStyle w:val="ListParagraph"/>
        <w:numPr>
          <w:ilvl w:val="0"/>
          <w:numId w:val="1"/>
        </w:numPr>
        <w:rPr>
          <w:rFonts w:ascii="Arial" w:hAnsi="Arial" w:cs="Arial"/>
          <w:sz w:val="22"/>
        </w:rPr>
      </w:pPr>
      <w:r w:rsidRPr="003D33DB">
        <w:rPr>
          <w:rFonts w:ascii="Arial" w:hAnsi="Arial" w:cs="Arial"/>
          <w:sz w:val="22"/>
        </w:rPr>
        <w:t>The community practitioner should also focus on different types of communication methods processes and platforms for engaging the people in a targeted community.</w:t>
      </w:r>
    </w:p>
    <w:p w14:paraId="1786DAE9" w14:textId="77777777" w:rsidR="00E81607" w:rsidRPr="003D33DB" w:rsidRDefault="00E81607" w:rsidP="00E81607">
      <w:pPr>
        <w:pStyle w:val="ListParagraph"/>
        <w:numPr>
          <w:ilvl w:val="0"/>
          <w:numId w:val="1"/>
        </w:numPr>
        <w:rPr>
          <w:rFonts w:ascii="Arial" w:hAnsi="Arial" w:cs="Arial"/>
          <w:sz w:val="22"/>
        </w:rPr>
      </w:pPr>
      <w:r w:rsidRPr="003D33DB">
        <w:rPr>
          <w:rFonts w:ascii="Arial" w:hAnsi="Arial" w:cs="Arial"/>
          <w:sz w:val="22"/>
        </w:rPr>
        <w:t>Engagement of proper stakeholders which community development-related activities is also very much Important. So communication should take essential initiative with effective planning and strategies to engage target stakeholders.</w:t>
      </w:r>
    </w:p>
    <w:p w14:paraId="6AD227CD" w14:textId="69C2BC09" w:rsidR="00E81607" w:rsidRPr="003D33DB" w:rsidRDefault="00E81607">
      <w:pPr>
        <w:spacing w:after="200" w:line="276" w:lineRule="auto"/>
        <w:jc w:val="left"/>
        <w:rPr>
          <w:rFonts w:ascii="Arial" w:hAnsi="Arial" w:cs="Arial"/>
          <w:sz w:val="22"/>
        </w:rPr>
      </w:pPr>
      <w:r w:rsidRPr="003D33DB">
        <w:rPr>
          <w:rFonts w:ascii="Arial" w:hAnsi="Arial" w:cs="Arial"/>
          <w:sz w:val="22"/>
        </w:rPr>
        <w:br w:type="page"/>
      </w:r>
    </w:p>
    <w:p w14:paraId="22A1AB9D" w14:textId="77777777" w:rsidR="00E81607" w:rsidRPr="003D33DB" w:rsidRDefault="00E81607" w:rsidP="00E81607">
      <w:pPr>
        <w:pStyle w:val="Heading1"/>
        <w:rPr>
          <w:rFonts w:ascii="Arial" w:hAnsi="Arial" w:cs="Arial"/>
          <w:sz w:val="22"/>
          <w:szCs w:val="22"/>
          <w:lang w:val="en-US"/>
        </w:rPr>
      </w:pPr>
      <w:bookmarkStart w:id="17" w:name="_Toc120748298"/>
      <w:bookmarkStart w:id="18" w:name="_Toc120750225"/>
      <w:r w:rsidRPr="003D33DB">
        <w:rPr>
          <w:rFonts w:ascii="Arial" w:hAnsi="Arial" w:cs="Arial"/>
          <w:sz w:val="22"/>
          <w:szCs w:val="22"/>
          <w:lang w:val="en-US"/>
        </w:rPr>
        <w:lastRenderedPageBreak/>
        <w:t>References</w:t>
      </w:r>
      <w:bookmarkEnd w:id="17"/>
      <w:bookmarkEnd w:id="18"/>
    </w:p>
    <w:p w14:paraId="3EAE4381"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Billig, S.H. and Moely, B.E. (2021). </w:t>
      </w:r>
      <w:r w:rsidRPr="003D33DB">
        <w:rPr>
          <w:rFonts w:ascii="Arial" w:hAnsi="Arial" w:cs="Arial"/>
          <w:i/>
          <w:iCs/>
          <w:sz w:val="22"/>
          <w:lang w:val="en-US"/>
        </w:rPr>
        <w:t>Creating Our Identities in Service-Learning and Community Engagement</w:t>
      </w:r>
      <w:r w:rsidRPr="003D33DB">
        <w:rPr>
          <w:rFonts w:ascii="Arial" w:hAnsi="Arial" w:cs="Arial"/>
          <w:sz w:val="22"/>
          <w:lang w:val="en-US"/>
        </w:rPr>
        <w:t>. IAP.</w:t>
      </w:r>
    </w:p>
    <w:p w14:paraId="3E60803C"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Dostilio, L.D. and Welch, M. (2019). </w:t>
      </w:r>
      <w:r w:rsidRPr="003D33DB">
        <w:rPr>
          <w:rFonts w:ascii="Arial" w:hAnsi="Arial" w:cs="Arial"/>
          <w:i/>
          <w:iCs/>
          <w:sz w:val="22"/>
          <w:lang w:val="en-US"/>
        </w:rPr>
        <w:t>The Community Engagement Professional’s Guidebook: A Companion to the Community Engagement Professional in Higher Education</w:t>
      </w:r>
      <w:r w:rsidRPr="003D33DB">
        <w:rPr>
          <w:rFonts w:ascii="Arial" w:hAnsi="Arial" w:cs="Arial"/>
          <w:sz w:val="22"/>
          <w:lang w:val="en-US"/>
        </w:rPr>
        <w:t>. Campus Compact.</w:t>
      </w:r>
    </w:p>
    <w:p w14:paraId="17244582"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Evans, S.Y., Taylor, C.M., Dunlap, M.R. and Miller, D.S. (2022). </w:t>
      </w:r>
      <w:r w:rsidRPr="003D33DB">
        <w:rPr>
          <w:rFonts w:ascii="Arial" w:hAnsi="Arial" w:cs="Arial"/>
          <w:i/>
          <w:iCs/>
          <w:sz w:val="22"/>
          <w:lang w:val="en-US"/>
        </w:rPr>
        <w:t>African Americans and Community Engagement in Higher Education: Community Service, Service-Learning, and Community-Based Research</w:t>
      </w:r>
      <w:r w:rsidRPr="003D33DB">
        <w:rPr>
          <w:rFonts w:ascii="Arial" w:hAnsi="Arial" w:cs="Arial"/>
          <w:sz w:val="22"/>
          <w:lang w:val="en-US"/>
        </w:rPr>
        <w:t>. SUNY Press.</w:t>
      </w:r>
    </w:p>
    <w:p w14:paraId="658B392E"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Kronick, R.F. (2018). </w:t>
      </w:r>
      <w:r w:rsidRPr="003D33DB">
        <w:rPr>
          <w:rFonts w:ascii="Arial" w:hAnsi="Arial" w:cs="Arial"/>
          <w:i/>
          <w:iCs/>
          <w:sz w:val="22"/>
          <w:lang w:val="en-US"/>
        </w:rPr>
        <w:t>Community Engagement: Principles, Strategies and Practices</w:t>
      </w:r>
      <w:r w:rsidRPr="003D33DB">
        <w:rPr>
          <w:rFonts w:ascii="Arial" w:hAnsi="Arial" w:cs="Arial"/>
          <w:sz w:val="22"/>
          <w:lang w:val="en-US"/>
        </w:rPr>
        <w:t>. Nova Science Publishers.</w:t>
      </w:r>
    </w:p>
    <w:p w14:paraId="291D9951"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Marsh, G., Ahmed, I., Mulligan, M., Barton, S. and Donovan, J. (2022). </w:t>
      </w:r>
      <w:r w:rsidRPr="003D33DB">
        <w:rPr>
          <w:rFonts w:ascii="Arial" w:hAnsi="Arial" w:cs="Arial"/>
          <w:i/>
          <w:iCs/>
          <w:sz w:val="22"/>
          <w:lang w:val="en-US"/>
        </w:rPr>
        <w:t>Community Engagement in Post-disaster Recovery</w:t>
      </w:r>
      <w:r w:rsidRPr="003D33DB">
        <w:rPr>
          <w:rFonts w:ascii="Arial" w:hAnsi="Arial" w:cs="Arial"/>
          <w:sz w:val="22"/>
          <w:lang w:val="en-US"/>
        </w:rPr>
        <w:t>. Routledge.</w:t>
      </w:r>
    </w:p>
    <w:p w14:paraId="6F8F78B6"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McReynolds, M. and Shields, E. (2021). </w:t>
      </w:r>
      <w:r w:rsidRPr="003D33DB">
        <w:rPr>
          <w:rFonts w:ascii="Arial" w:hAnsi="Arial" w:cs="Arial"/>
          <w:i/>
          <w:iCs/>
          <w:sz w:val="22"/>
          <w:lang w:val="en-US"/>
        </w:rPr>
        <w:t>Diving Deep in Community Engagement: A Model for Professional Development</w:t>
      </w:r>
      <w:r w:rsidRPr="003D33DB">
        <w:rPr>
          <w:rFonts w:ascii="Arial" w:hAnsi="Arial" w:cs="Arial"/>
          <w:sz w:val="22"/>
          <w:lang w:val="en-US"/>
        </w:rPr>
        <w:t>. Lulu.com.</w:t>
      </w:r>
    </w:p>
    <w:p w14:paraId="6E16D879"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Mule, L.W. (2022). </w:t>
      </w:r>
      <w:r w:rsidRPr="003D33DB">
        <w:rPr>
          <w:rFonts w:ascii="Arial" w:hAnsi="Arial" w:cs="Arial"/>
          <w:i/>
          <w:iCs/>
          <w:sz w:val="22"/>
          <w:lang w:val="en-US"/>
        </w:rPr>
        <w:t>Teacher Education, Diversity, and Community Engagement in Liberal Arts Colleges</w:t>
      </w:r>
      <w:r w:rsidRPr="003D33DB">
        <w:rPr>
          <w:rFonts w:ascii="Arial" w:hAnsi="Arial" w:cs="Arial"/>
          <w:sz w:val="22"/>
          <w:lang w:val="en-US"/>
        </w:rPr>
        <w:t>. Rowman &amp; Littlefield.</w:t>
      </w:r>
    </w:p>
    <w:p w14:paraId="7D7B8B9F"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Sachs, J. and Clark, L. (2016). </w:t>
      </w:r>
      <w:r w:rsidRPr="003D33DB">
        <w:rPr>
          <w:rFonts w:ascii="Arial" w:hAnsi="Arial" w:cs="Arial"/>
          <w:i/>
          <w:iCs/>
          <w:sz w:val="22"/>
          <w:lang w:val="en-US"/>
        </w:rPr>
        <w:t>Learning Through Community Engagement: Vision and Practice in Higher Education</w:t>
      </w:r>
      <w:r w:rsidRPr="003D33DB">
        <w:rPr>
          <w:rFonts w:ascii="Arial" w:hAnsi="Arial" w:cs="Arial"/>
          <w:sz w:val="22"/>
          <w:lang w:val="en-US"/>
        </w:rPr>
        <w:t>. Springer.</w:t>
      </w:r>
    </w:p>
    <w:p w14:paraId="07A841BC"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Tiwari, R. and Smith, D. (2014). </w:t>
      </w:r>
      <w:r w:rsidRPr="003D33DB">
        <w:rPr>
          <w:rFonts w:ascii="Arial" w:hAnsi="Arial" w:cs="Arial"/>
          <w:i/>
          <w:iCs/>
          <w:sz w:val="22"/>
          <w:lang w:val="en-US"/>
        </w:rPr>
        <w:t>M2 Models and Methodologies for Community Engagement</w:t>
      </w:r>
      <w:r w:rsidRPr="003D33DB">
        <w:rPr>
          <w:rFonts w:ascii="Arial" w:hAnsi="Arial" w:cs="Arial"/>
          <w:sz w:val="22"/>
          <w:lang w:val="en-US"/>
        </w:rPr>
        <w:t>. Springer Science &amp; Business Media.</w:t>
      </w:r>
    </w:p>
    <w:p w14:paraId="5CEE7D39"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Waterton, E. and Watson, S. (2019). </w:t>
      </w:r>
      <w:r w:rsidRPr="003D33DB">
        <w:rPr>
          <w:rFonts w:ascii="Arial" w:hAnsi="Arial" w:cs="Arial"/>
          <w:i/>
          <w:iCs/>
          <w:sz w:val="22"/>
          <w:lang w:val="en-US"/>
        </w:rPr>
        <w:t>Heritage and Community Engagement: Collaboration or Contestation?</w:t>
      </w:r>
      <w:r w:rsidRPr="003D33DB">
        <w:rPr>
          <w:rFonts w:ascii="Arial" w:hAnsi="Arial" w:cs="Arial"/>
          <w:sz w:val="22"/>
          <w:lang w:val="en-US"/>
        </w:rPr>
        <w:t xml:space="preserve"> </w:t>
      </w:r>
      <w:r w:rsidRPr="003D33DB">
        <w:rPr>
          <w:rFonts w:ascii="Arial" w:hAnsi="Arial" w:cs="Arial"/>
          <w:i/>
          <w:iCs/>
          <w:sz w:val="22"/>
          <w:lang w:val="en-US"/>
        </w:rPr>
        <w:t>Google Books</w:t>
      </w:r>
      <w:r w:rsidRPr="003D33DB">
        <w:rPr>
          <w:rFonts w:ascii="Arial" w:hAnsi="Arial" w:cs="Arial"/>
          <w:sz w:val="22"/>
          <w:lang w:val="en-US"/>
        </w:rPr>
        <w:t>. Routledge.</w:t>
      </w:r>
    </w:p>
    <w:p w14:paraId="4446C8D3"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Watson, D., Hollister, R., Stroud, S.E. and Babcock, E. (2011). </w:t>
      </w:r>
      <w:r w:rsidRPr="003D33DB">
        <w:rPr>
          <w:rFonts w:ascii="Arial" w:hAnsi="Arial" w:cs="Arial"/>
          <w:i/>
          <w:iCs/>
          <w:sz w:val="22"/>
          <w:lang w:val="en-US"/>
        </w:rPr>
        <w:t>The Engaged University: International Perspectives on Civic Engagement</w:t>
      </w:r>
      <w:r w:rsidRPr="003D33DB">
        <w:rPr>
          <w:rFonts w:ascii="Arial" w:hAnsi="Arial" w:cs="Arial"/>
          <w:sz w:val="22"/>
          <w:lang w:val="en-US"/>
        </w:rPr>
        <w:t>. Taylor &amp; Francis.</w:t>
      </w:r>
    </w:p>
    <w:p w14:paraId="6A932DAD"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Wilson, P. (2019). </w:t>
      </w:r>
      <w:r w:rsidRPr="003D33DB">
        <w:rPr>
          <w:rFonts w:ascii="Arial" w:hAnsi="Arial" w:cs="Arial"/>
          <w:i/>
          <w:iCs/>
          <w:sz w:val="22"/>
          <w:lang w:val="en-US"/>
        </w:rPr>
        <w:t>The Heart of Community Engagement: Practitioner Stories from Across the Globe</w:t>
      </w:r>
      <w:r w:rsidRPr="003D33DB">
        <w:rPr>
          <w:rFonts w:ascii="Arial" w:hAnsi="Arial" w:cs="Arial"/>
          <w:sz w:val="22"/>
          <w:lang w:val="en-US"/>
        </w:rPr>
        <w:t>. Routledge.</w:t>
      </w:r>
    </w:p>
    <w:p w14:paraId="2B4C3CAF"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t xml:space="preserve">Wingo, R.S. and Heppler, J.A. (2022). </w:t>
      </w:r>
      <w:r w:rsidRPr="003D33DB">
        <w:rPr>
          <w:rFonts w:ascii="Arial" w:hAnsi="Arial" w:cs="Arial"/>
          <w:i/>
          <w:iCs/>
          <w:sz w:val="22"/>
          <w:lang w:val="en-US"/>
        </w:rPr>
        <w:t>Digital Community Engagement: Partnering Communities with the Academy</w:t>
      </w:r>
      <w:r w:rsidRPr="003D33DB">
        <w:rPr>
          <w:rFonts w:ascii="Arial" w:hAnsi="Arial" w:cs="Arial"/>
          <w:sz w:val="22"/>
          <w:lang w:val="en-US"/>
        </w:rPr>
        <w:t>. University of Cincinnati Press.</w:t>
      </w:r>
    </w:p>
    <w:p w14:paraId="26C0E290" w14:textId="77777777" w:rsidR="00E81607" w:rsidRPr="003D33DB" w:rsidRDefault="00E81607" w:rsidP="00E81607">
      <w:pPr>
        <w:ind w:left="720" w:hanging="720"/>
        <w:rPr>
          <w:rFonts w:ascii="Arial" w:hAnsi="Arial" w:cs="Arial"/>
          <w:sz w:val="22"/>
          <w:lang w:val="en-US"/>
        </w:rPr>
      </w:pPr>
      <w:r w:rsidRPr="003D33DB">
        <w:rPr>
          <w:rFonts w:ascii="Arial" w:hAnsi="Arial" w:cs="Arial"/>
          <w:sz w:val="22"/>
          <w:lang w:val="en-US"/>
        </w:rPr>
        <w:lastRenderedPageBreak/>
        <w:t xml:space="preserve">Yamamura, E.K. and Koth, K. (2018). </w:t>
      </w:r>
      <w:r w:rsidRPr="003D33DB">
        <w:rPr>
          <w:rFonts w:ascii="Arial" w:hAnsi="Arial" w:cs="Arial"/>
          <w:i/>
          <w:iCs/>
          <w:sz w:val="22"/>
          <w:lang w:val="en-US"/>
        </w:rPr>
        <w:t>Place-based Community Engagement in Higher Education: A Strategy to Transform Universities and Communities</w:t>
      </w:r>
      <w:r w:rsidRPr="003D33DB">
        <w:rPr>
          <w:rFonts w:ascii="Arial" w:hAnsi="Arial" w:cs="Arial"/>
          <w:sz w:val="22"/>
          <w:lang w:val="en-US"/>
        </w:rPr>
        <w:t>. Stylus Publishing, LLC.</w:t>
      </w:r>
    </w:p>
    <w:p w14:paraId="45AE1FBC" w14:textId="77777777" w:rsidR="00E81607" w:rsidRPr="003D33DB" w:rsidRDefault="00E81607" w:rsidP="00E81607">
      <w:pPr>
        <w:rPr>
          <w:rFonts w:ascii="Arial" w:hAnsi="Arial" w:cs="Arial"/>
          <w:sz w:val="22"/>
        </w:rPr>
      </w:pPr>
    </w:p>
    <w:p w14:paraId="6EB4A16C" w14:textId="77777777" w:rsidR="00020ADA" w:rsidRPr="003D33DB" w:rsidRDefault="00020ADA" w:rsidP="00020ADA">
      <w:pPr>
        <w:rPr>
          <w:rFonts w:ascii="Arial" w:hAnsi="Arial" w:cs="Arial"/>
          <w:sz w:val="22"/>
        </w:rPr>
      </w:pPr>
    </w:p>
    <w:sectPr w:rsidR="00020ADA" w:rsidRPr="003D33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C970C5" w14:textId="77777777" w:rsidR="00262446" w:rsidRDefault="00262446" w:rsidP="00E81607">
      <w:pPr>
        <w:spacing w:after="0" w:line="240" w:lineRule="auto"/>
      </w:pPr>
      <w:r>
        <w:separator/>
      </w:r>
    </w:p>
  </w:endnote>
  <w:endnote w:type="continuationSeparator" w:id="0">
    <w:p w14:paraId="435772C4" w14:textId="77777777" w:rsidR="00262446" w:rsidRDefault="00262446" w:rsidP="00E81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97C8F" w14:textId="77777777" w:rsidR="003D33DB" w:rsidRDefault="003D33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6173254"/>
      <w:docPartObj>
        <w:docPartGallery w:val="Page Numbers (Bottom of Page)"/>
        <w:docPartUnique/>
      </w:docPartObj>
    </w:sdtPr>
    <w:sdtEndPr>
      <w:rPr>
        <w:noProof/>
      </w:rPr>
    </w:sdtEndPr>
    <w:sdtContent>
      <w:p w14:paraId="77251E2F" w14:textId="46CF2D6F" w:rsidR="00E81607" w:rsidRDefault="00E81607">
        <w:pPr>
          <w:pStyle w:val="Footer"/>
          <w:jc w:val="center"/>
        </w:pPr>
        <w:r>
          <w:fldChar w:fldCharType="begin"/>
        </w:r>
        <w:r>
          <w:instrText xml:space="preserve"> PAGE   \* MERGEFORMAT </w:instrText>
        </w:r>
        <w:r>
          <w:fldChar w:fldCharType="separate"/>
        </w:r>
        <w:r w:rsidR="00BE41DE">
          <w:rPr>
            <w:noProof/>
          </w:rPr>
          <w:t>2</w:t>
        </w:r>
        <w:r>
          <w:rPr>
            <w:noProof/>
          </w:rPr>
          <w:fldChar w:fldCharType="end"/>
        </w:r>
      </w:p>
    </w:sdtContent>
  </w:sdt>
  <w:p w14:paraId="210FDC51" w14:textId="77777777" w:rsidR="00E81607" w:rsidRDefault="00E816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5ACF5" w14:textId="77777777" w:rsidR="003D33DB" w:rsidRDefault="003D3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6730CF" w14:textId="77777777" w:rsidR="00262446" w:rsidRDefault="00262446" w:rsidP="00E81607">
      <w:pPr>
        <w:spacing w:after="0" w:line="240" w:lineRule="auto"/>
      </w:pPr>
      <w:r>
        <w:separator/>
      </w:r>
    </w:p>
  </w:footnote>
  <w:footnote w:type="continuationSeparator" w:id="0">
    <w:p w14:paraId="56E00988" w14:textId="77777777" w:rsidR="00262446" w:rsidRDefault="00262446" w:rsidP="00E816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AD8D13" w14:textId="77777777" w:rsidR="003D33DB" w:rsidRDefault="003D33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89A1F" w14:textId="77777777" w:rsidR="003D33DB" w:rsidRDefault="003D33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166AA8" w14:textId="77777777" w:rsidR="003D33DB" w:rsidRDefault="003D33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251794"/>
    <w:multiLevelType w:val="hybridMultilevel"/>
    <w:tmpl w:val="80BC336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E2NDAyMzIxNTUxNTZS0lEKTi0uzszPAykwrAUAot/BTiwAAAA="/>
  </w:docVars>
  <w:rsids>
    <w:rsidRoot w:val="00F44C3A"/>
    <w:rsid w:val="00020ADA"/>
    <w:rsid w:val="000333B1"/>
    <w:rsid w:val="00172FB6"/>
    <w:rsid w:val="0022059E"/>
    <w:rsid w:val="00262446"/>
    <w:rsid w:val="002703C5"/>
    <w:rsid w:val="002E4D32"/>
    <w:rsid w:val="003B382B"/>
    <w:rsid w:val="003D33DB"/>
    <w:rsid w:val="004143B5"/>
    <w:rsid w:val="004F76BF"/>
    <w:rsid w:val="00504AD6"/>
    <w:rsid w:val="00743F23"/>
    <w:rsid w:val="007527CD"/>
    <w:rsid w:val="007C57E7"/>
    <w:rsid w:val="008D7DCD"/>
    <w:rsid w:val="00A04714"/>
    <w:rsid w:val="00BE41DE"/>
    <w:rsid w:val="00C40E0D"/>
    <w:rsid w:val="00D6285F"/>
    <w:rsid w:val="00D81662"/>
    <w:rsid w:val="00DC5F1B"/>
    <w:rsid w:val="00E81607"/>
    <w:rsid w:val="00EA739C"/>
    <w:rsid w:val="00F43E7F"/>
    <w:rsid w:val="00F44C3A"/>
    <w:rsid w:val="00FC67C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3820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0ADA"/>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40E0D"/>
    <w:pPr>
      <w:keepNext/>
      <w:keepLines/>
      <w:spacing w:after="0"/>
      <w:outlineLvl w:val="0"/>
    </w:pPr>
    <w:rPr>
      <w:rFonts w:eastAsiaTheme="majorEastAsia" w:cstheme="majorBidi"/>
      <w:b/>
      <w:noProof/>
      <w:sz w:val="28"/>
      <w:szCs w:val="32"/>
    </w:rPr>
  </w:style>
  <w:style w:type="paragraph" w:styleId="Heading2">
    <w:name w:val="heading 2"/>
    <w:basedOn w:val="Normal"/>
    <w:next w:val="Normal"/>
    <w:link w:val="Heading2Char"/>
    <w:autoRedefine/>
    <w:uiPriority w:val="9"/>
    <w:unhideWhenUsed/>
    <w:qFormat/>
    <w:rsid w:val="00A04714"/>
    <w:pPr>
      <w:keepNext/>
      <w:keepLines/>
      <w:spacing w:after="0"/>
      <w:outlineLvl w:val="1"/>
    </w:pPr>
    <w:rPr>
      <w:rFonts w:eastAsiaTheme="majorEastAsia" w:cstheme="majorBidi"/>
      <w:b/>
      <w:noProo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link w:val="CaptionChar"/>
    <w:autoRedefine/>
    <w:uiPriority w:val="35"/>
    <w:unhideWhenUsed/>
    <w:qFormat/>
    <w:rsid w:val="00D81662"/>
    <w:pPr>
      <w:spacing w:after="0"/>
      <w:jc w:val="center"/>
    </w:pPr>
    <w:rPr>
      <w:rFonts w:ascii="Arial" w:hAnsi="Arial"/>
      <w:i/>
      <w:iCs/>
      <w:szCs w:val="18"/>
    </w:rPr>
  </w:style>
  <w:style w:type="character" w:customStyle="1" w:styleId="CaptionChar">
    <w:name w:val="Caption Char"/>
    <w:basedOn w:val="DefaultParagraphFont"/>
    <w:link w:val="Caption"/>
    <w:uiPriority w:val="35"/>
    <w:rsid w:val="00D81662"/>
    <w:rPr>
      <w:rFonts w:ascii="Arial" w:hAnsi="Arial"/>
      <w:i/>
      <w:iCs/>
      <w:sz w:val="24"/>
      <w:szCs w:val="18"/>
    </w:rPr>
  </w:style>
  <w:style w:type="character" w:customStyle="1" w:styleId="Heading1Char">
    <w:name w:val="Heading 1 Char"/>
    <w:basedOn w:val="DefaultParagraphFont"/>
    <w:link w:val="Heading1"/>
    <w:uiPriority w:val="9"/>
    <w:rsid w:val="00C40E0D"/>
    <w:rPr>
      <w:rFonts w:ascii="Times New Roman" w:eastAsiaTheme="majorEastAsia" w:hAnsi="Times New Roman" w:cstheme="majorBidi"/>
      <w:b/>
      <w:noProof/>
      <w:sz w:val="28"/>
      <w:szCs w:val="32"/>
    </w:rPr>
  </w:style>
  <w:style w:type="character" w:customStyle="1" w:styleId="Heading2Char">
    <w:name w:val="Heading 2 Char"/>
    <w:basedOn w:val="DefaultParagraphFont"/>
    <w:link w:val="Heading2"/>
    <w:uiPriority w:val="9"/>
    <w:rsid w:val="00A04714"/>
    <w:rPr>
      <w:rFonts w:ascii="Times New Roman" w:eastAsiaTheme="majorEastAsia" w:hAnsi="Times New Roman" w:cstheme="majorBidi"/>
      <w:b/>
      <w:noProof/>
      <w:sz w:val="28"/>
      <w:szCs w:val="26"/>
    </w:rPr>
  </w:style>
  <w:style w:type="paragraph" w:styleId="Subtitle">
    <w:name w:val="Subtitle"/>
    <w:basedOn w:val="Normal"/>
    <w:next w:val="Normal"/>
    <w:link w:val="SubtitleChar"/>
    <w:autoRedefine/>
    <w:uiPriority w:val="11"/>
    <w:qFormat/>
    <w:rsid w:val="00EA739C"/>
    <w:pPr>
      <w:numPr>
        <w:ilvl w:val="1"/>
      </w:numPr>
      <w:jc w:val="center"/>
    </w:pPr>
    <w:rPr>
      <w:rFonts w:ascii="Arial" w:eastAsiaTheme="minorEastAsia" w:hAnsi="Arial"/>
      <w:spacing w:val="15"/>
      <w:sz w:val="20"/>
    </w:rPr>
  </w:style>
  <w:style w:type="character" w:customStyle="1" w:styleId="SubtitleChar">
    <w:name w:val="Subtitle Char"/>
    <w:basedOn w:val="DefaultParagraphFont"/>
    <w:link w:val="Subtitle"/>
    <w:uiPriority w:val="11"/>
    <w:rsid w:val="00EA739C"/>
    <w:rPr>
      <w:rFonts w:ascii="Arial" w:eastAsiaTheme="minorEastAsia" w:hAnsi="Arial"/>
      <w:spacing w:val="15"/>
      <w:sz w:val="20"/>
    </w:rPr>
  </w:style>
  <w:style w:type="paragraph" w:styleId="Title">
    <w:name w:val="Title"/>
    <w:basedOn w:val="Normal"/>
    <w:next w:val="Normal"/>
    <w:link w:val="TitleChar"/>
    <w:rsid w:val="00020ADA"/>
    <w:pPr>
      <w:keepNext/>
      <w:keepLines/>
      <w:spacing w:after="60"/>
    </w:pPr>
    <w:rPr>
      <w:rFonts w:eastAsia="Times New Roman" w:cs="Times New Roman"/>
      <w:sz w:val="52"/>
      <w:szCs w:val="52"/>
      <w:lang w:val="en"/>
    </w:rPr>
  </w:style>
  <w:style w:type="character" w:customStyle="1" w:styleId="TitleChar">
    <w:name w:val="Title Char"/>
    <w:basedOn w:val="DefaultParagraphFont"/>
    <w:link w:val="Title"/>
    <w:rsid w:val="00020ADA"/>
    <w:rPr>
      <w:rFonts w:ascii="Times New Roman" w:eastAsia="Times New Roman" w:hAnsi="Times New Roman" w:cs="Times New Roman"/>
      <w:sz w:val="52"/>
      <w:szCs w:val="52"/>
      <w:lang w:val="en"/>
    </w:rPr>
  </w:style>
  <w:style w:type="paragraph" w:styleId="NoSpacing">
    <w:name w:val="No Spacing"/>
    <w:uiPriority w:val="1"/>
    <w:qFormat/>
    <w:rsid w:val="00020ADA"/>
    <w:pPr>
      <w:spacing w:after="0" w:line="240" w:lineRule="auto"/>
      <w:jc w:val="both"/>
    </w:pPr>
    <w:rPr>
      <w:rFonts w:ascii="Times New Roman" w:eastAsia="Times New Roman" w:hAnsi="Times New Roman" w:cs="Times New Roman"/>
      <w:sz w:val="24"/>
      <w:szCs w:val="24"/>
      <w:lang w:val="en"/>
    </w:rPr>
  </w:style>
  <w:style w:type="paragraph" w:styleId="Header">
    <w:name w:val="header"/>
    <w:basedOn w:val="Normal"/>
    <w:link w:val="HeaderChar"/>
    <w:uiPriority w:val="99"/>
    <w:unhideWhenUsed/>
    <w:rsid w:val="00E816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1607"/>
    <w:rPr>
      <w:rFonts w:ascii="Times New Roman" w:hAnsi="Times New Roman"/>
      <w:sz w:val="24"/>
    </w:rPr>
  </w:style>
  <w:style w:type="paragraph" w:styleId="Footer">
    <w:name w:val="footer"/>
    <w:basedOn w:val="Normal"/>
    <w:link w:val="FooterChar"/>
    <w:uiPriority w:val="99"/>
    <w:unhideWhenUsed/>
    <w:rsid w:val="00E816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1607"/>
    <w:rPr>
      <w:rFonts w:ascii="Times New Roman" w:hAnsi="Times New Roman"/>
      <w:sz w:val="24"/>
    </w:rPr>
  </w:style>
  <w:style w:type="paragraph" w:styleId="ListParagraph">
    <w:name w:val="List Paragraph"/>
    <w:basedOn w:val="Normal"/>
    <w:uiPriority w:val="34"/>
    <w:qFormat/>
    <w:rsid w:val="00E81607"/>
    <w:pPr>
      <w:ind w:left="720"/>
      <w:contextualSpacing/>
    </w:pPr>
  </w:style>
  <w:style w:type="paragraph" w:styleId="TOCHeading">
    <w:name w:val="TOC Heading"/>
    <w:basedOn w:val="Heading1"/>
    <w:next w:val="Normal"/>
    <w:uiPriority w:val="39"/>
    <w:unhideWhenUsed/>
    <w:qFormat/>
    <w:rsid w:val="00F43E7F"/>
    <w:pPr>
      <w:spacing w:before="240" w:line="259" w:lineRule="auto"/>
      <w:jc w:val="left"/>
      <w:outlineLvl w:val="9"/>
    </w:pPr>
    <w:rPr>
      <w:rFonts w:asciiTheme="majorHAnsi" w:hAnsiTheme="majorHAnsi"/>
      <w:b w:val="0"/>
      <w:noProof w:val="0"/>
      <w:color w:val="365F91" w:themeColor="accent1" w:themeShade="BF"/>
      <w:sz w:val="32"/>
      <w:lang w:val="en-US"/>
    </w:rPr>
  </w:style>
  <w:style w:type="paragraph" w:styleId="TOC1">
    <w:name w:val="toc 1"/>
    <w:basedOn w:val="Normal"/>
    <w:next w:val="Normal"/>
    <w:autoRedefine/>
    <w:uiPriority w:val="39"/>
    <w:unhideWhenUsed/>
    <w:rsid w:val="00F43E7F"/>
    <w:pPr>
      <w:spacing w:after="100"/>
    </w:pPr>
  </w:style>
  <w:style w:type="paragraph" w:styleId="TOC2">
    <w:name w:val="toc 2"/>
    <w:basedOn w:val="Normal"/>
    <w:next w:val="Normal"/>
    <w:autoRedefine/>
    <w:uiPriority w:val="39"/>
    <w:unhideWhenUsed/>
    <w:rsid w:val="00F43E7F"/>
    <w:pPr>
      <w:spacing w:after="100"/>
      <w:ind w:left="240"/>
    </w:pPr>
  </w:style>
  <w:style w:type="character" w:styleId="Hyperlink">
    <w:name w:val="Hyperlink"/>
    <w:basedOn w:val="DefaultParagraphFont"/>
    <w:uiPriority w:val="99"/>
    <w:unhideWhenUsed/>
    <w:rsid w:val="00F43E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71BB48-6876-4152-9420-4257919D0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2292</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2022-11-30T19:23:00Z</dcterms:created>
  <dcterms:modified xsi:type="dcterms:W3CDTF">2022-12-01T12:01:00Z</dcterms:modified>
</cp:coreProperties>
</file>