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01DCFA9C" w:rsidR="004A7D3D" w:rsidRPr="004A1148" w:rsidRDefault="00425D03" w:rsidP="00F5276B">
            <w:pPr>
              <w:pStyle w:val="TableText"/>
              <w:ind w:left="284"/>
              <w:rPr>
                <w:rFonts w:cs="Arial"/>
              </w:rPr>
            </w:pPr>
            <w:r>
              <w:rPr>
                <w:rFonts w:cs="Arial"/>
              </w:rPr>
              <w:t>B/21</w:t>
            </w:r>
          </w:p>
        </w:tc>
        <w:tc>
          <w:tcPr>
            <w:tcW w:w="2561" w:type="dxa"/>
            <w:vAlign w:val="bottom"/>
          </w:tcPr>
          <w:p w14:paraId="325D5AA6" w14:textId="6270086D" w:rsidR="004A7D3D" w:rsidRPr="004A1148" w:rsidRDefault="00425D03" w:rsidP="00F5276B">
            <w:pPr>
              <w:pStyle w:val="TableText"/>
              <w:rPr>
                <w:rFonts w:cs="Arial"/>
              </w:rPr>
            </w:pPr>
            <w:r>
              <w:rPr>
                <w:rFonts w:cs="Arial"/>
              </w:rPr>
              <w:t>172.16.2.0</w:t>
            </w:r>
          </w:p>
        </w:tc>
        <w:tc>
          <w:tcPr>
            <w:tcW w:w="2552" w:type="dxa"/>
          </w:tcPr>
          <w:p w14:paraId="64D79944" w14:textId="0D463254" w:rsidR="004A7D3D" w:rsidRPr="004A1148" w:rsidRDefault="00425D03" w:rsidP="00F5276B">
            <w:pPr>
              <w:pStyle w:val="TableText"/>
              <w:rPr>
                <w:rFonts w:cs="Arial"/>
              </w:rPr>
            </w:pPr>
            <w:r>
              <w:rPr>
                <w:rFonts w:cs="Arial"/>
              </w:rPr>
              <w:t>255.255.248.0</w:t>
            </w:r>
          </w:p>
        </w:tc>
        <w:tc>
          <w:tcPr>
            <w:tcW w:w="2724" w:type="dxa"/>
            <w:vAlign w:val="bottom"/>
          </w:tcPr>
          <w:p w14:paraId="426B55D1" w14:textId="2977C17C" w:rsidR="004A7D3D" w:rsidRPr="004A1148" w:rsidRDefault="00425D03" w:rsidP="00F5276B">
            <w:pPr>
              <w:pStyle w:val="TableText"/>
              <w:rPr>
                <w:rFonts w:cs="Arial"/>
              </w:rPr>
            </w:pPr>
            <w:r>
              <w:rPr>
                <w:rFonts w:cs="Arial"/>
              </w:rPr>
              <w:t>172.16.2.1</w:t>
            </w:r>
          </w:p>
        </w:tc>
        <w:tc>
          <w:tcPr>
            <w:tcW w:w="2922" w:type="dxa"/>
            <w:vAlign w:val="bottom"/>
          </w:tcPr>
          <w:p w14:paraId="2AC7FFA7" w14:textId="6DC41FAE" w:rsidR="004A7D3D" w:rsidRPr="004A1148" w:rsidRDefault="00425D03" w:rsidP="00F5276B">
            <w:pPr>
              <w:pStyle w:val="TableText"/>
              <w:rPr>
                <w:rFonts w:cs="Arial"/>
              </w:rPr>
            </w:pPr>
            <w:r>
              <w:rPr>
                <w:rFonts w:cs="Arial"/>
              </w:rPr>
              <w:t>172.16.9.254</w:t>
            </w:r>
          </w:p>
        </w:tc>
        <w:tc>
          <w:tcPr>
            <w:tcW w:w="2905" w:type="dxa"/>
            <w:vAlign w:val="bottom"/>
          </w:tcPr>
          <w:p w14:paraId="55A78382" w14:textId="33EB9172" w:rsidR="004A7D3D" w:rsidRPr="004A1148" w:rsidRDefault="00425D03" w:rsidP="00F5276B">
            <w:pPr>
              <w:pStyle w:val="TableText"/>
              <w:ind w:left="284"/>
              <w:rPr>
                <w:rFonts w:cs="Arial"/>
              </w:rPr>
            </w:pPr>
            <w:r>
              <w:rPr>
                <w:rFonts w:cs="Arial"/>
              </w:rPr>
              <w:t>172.16.9.255</w:t>
            </w:r>
          </w:p>
        </w:tc>
      </w:tr>
      <w:tr w:rsidR="004A7D3D" w:rsidRPr="004A1148" w14:paraId="25431512" w14:textId="77777777" w:rsidTr="005554AB">
        <w:trPr>
          <w:cantSplit/>
          <w:trHeight w:val="510"/>
          <w:jc w:val="center"/>
        </w:trPr>
        <w:tc>
          <w:tcPr>
            <w:tcW w:w="1412" w:type="dxa"/>
            <w:vAlign w:val="bottom"/>
          </w:tcPr>
          <w:p w14:paraId="6A6FC7F1" w14:textId="7E3BF4BD" w:rsidR="004A7D3D" w:rsidRPr="004A1148" w:rsidRDefault="00425D03" w:rsidP="00F5276B">
            <w:pPr>
              <w:pStyle w:val="TableText"/>
              <w:ind w:left="284"/>
              <w:rPr>
                <w:rFonts w:cs="Arial"/>
              </w:rPr>
            </w:pPr>
            <w:r>
              <w:rPr>
                <w:rFonts w:cs="Arial"/>
              </w:rPr>
              <w:t>D/23</w:t>
            </w:r>
          </w:p>
        </w:tc>
        <w:tc>
          <w:tcPr>
            <w:tcW w:w="2561" w:type="dxa"/>
            <w:vAlign w:val="bottom"/>
          </w:tcPr>
          <w:p w14:paraId="5D565D23" w14:textId="29E1614A" w:rsidR="004A7D3D" w:rsidRPr="004A1148" w:rsidRDefault="00425D03" w:rsidP="00F5276B">
            <w:pPr>
              <w:pStyle w:val="TableText"/>
              <w:rPr>
                <w:rFonts w:cs="Arial"/>
              </w:rPr>
            </w:pPr>
            <w:r>
              <w:rPr>
                <w:rFonts w:cs="Arial"/>
              </w:rPr>
              <w:t>172.16.10.0</w:t>
            </w:r>
          </w:p>
        </w:tc>
        <w:tc>
          <w:tcPr>
            <w:tcW w:w="2552" w:type="dxa"/>
          </w:tcPr>
          <w:p w14:paraId="5E77A652" w14:textId="64C1A894" w:rsidR="004A7D3D" w:rsidRPr="004A1148" w:rsidRDefault="00425D03" w:rsidP="00F5276B">
            <w:pPr>
              <w:pStyle w:val="TableText"/>
              <w:rPr>
                <w:rFonts w:cs="Arial"/>
              </w:rPr>
            </w:pPr>
            <w:r>
              <w:rPr>
                <w:rFonts w:cs="Arial"/>
              </w:rPr>
              <w:t>255.255.254.0</w:t>
            </w:r>
          </w:p>
        </w:tc>
        <w:tc>
          <w:tcPr>
            <w:tcW w:w="2724" w:type="dxa"/>
            <w:vAlign w:val="bottom"/>
          </w:tcPr>
          <w:p w14:paraId="553FF9D4" w14:textId="145533C8" w:rsidR="004A7D3D" w:rsidRPr="004A1148" w:rsidRDefault="00425D03" w:rsidP="00F5276B">
            <w:pPr>
              <w:pStyle w:val="TableText"/>
              <w:rPr>
                <w:rFonts w:cs="Arial"/>
              </w:rPr>
            </w:pPr>
            <w:r>
              <w:rPr>
                <w:rFonts w:cs="Arial"/>
              </w:rPr>
              <w:t>172.16.10.1</w:t>
            </w:r>
          </w:p>
        </w:tc>
        <w:tc>
          <w:tcPr>
            <w:tcW w:w="2922" w:type="dxa"/>
            <w:vAlign w:val="bottom"/>
          </w:tcPr>
          <w:p w14:paraId="12602C5C" w14:textId="639CEA52" w:rsidR="004A7D3D" w:rsidRPr="004A1148" w:rsidRDefault="00425D03" w:rsidP="00F5276B">
            <w:pPr>
              <w:pStyle w:val="TableText"/>
              <w:rPr>
                <w:rFonts w:cs="Arial"/>
              </w:rPr>
            </w:pPr>
            <w:r>
              <w:rPr>
                <w:rFonts w:cs="Arial"/>
              </w:rPr>
              <w:t>172.16.11.254</w:t>
            </w:r>
          </w:p>
        </w:tc>
        <w:tc>
          <w:tcPr>
            <w:tcW w:w="2905" w:type="dxa"/>
            <w:vAlign w:val="bottom"/>
          </w:tcPr>
          <w:p w14:paraId="0E927FF2" w14:textId="50EF94F8" w:rsidR="004A7D3D" w:rsidRPr="004A1148" w:rsidRDefault="00425D03" w:rsidP="00F5276B">
            <w:pPr>
              <w:pStyle w:val="TableText"/>
              <w:ind w:left="284"/>
              <w:rPr>
                <w:rFonts w:cs="Arial"/>
              </w:rPr>
            </w:pPr>
            <w:r>
              <w:rPr>
                <w:rFonts w:cs="Arial"/>
              </w:rPr>
              <w:t>172.16.11.255</w:t>
            </w:r>
          </w:p>
        </w:tc>
      </w:tr>
      <w:tr w:rsidR="004A7D3D" w:rsidRPr="004A1148" w14:paraId="1804910C" w14:textId="77777777" w:rsidTr="005554AB">
        <w:trPr>
          <w:cantSplit/>
          <w:trHeight w:val="510"/>
          <w:jc w:val="center"/>
        </w:trPr>
        <w:tc>
          <w:tcPr>
            <w:tcW w:w="1412" w:type="dxa"/>
            <w:vAlign w:val="bottom"/>
          </w:tcPr>
          <w:p w14:paraId="198C292F" w14:textId="3D905958" w:rsidR="004A7D3D" w:rsidRPr="004A1148" w:rsidRDefault="00425D03" w:rsidP="00F5276B">
            <w:pPr>
              <w:pStyle w:val="TableText"/>
              <w:ind w:left="284"/>
              <w:rPr>
                <w:rFonts w:cs="Arial"/>
              </w:rPr>
            </w:pPr>
            <w:r>
              <w:rPr>
                <w:rFonts w:cs="Arial"/>
              </w:rPr>
              <w:t>F/24</w:t>
            </w:r>
          </w:p>
        </w:tc>
        <w:tc>
          <w:tcPr>
            <w:tcW w:w="2561" w:type="dxa"/>
            <w:vAlign w:val="bottom"/>
          </w:tcPr>
          <w:p w14:paraId="3114BB27" w14:textId="000FBFDF" w:rsidR="004A7D3D" w:rsidRPr="004A1148" w:rsidRDefault="00425D03" w:rsidP="00F5276B">
            <w:pPr>
              <w:pStyle w:val="TableText"/>
              <w:rPr>
                <w:rFonts w:cs="Arial"/>
              </w:rPr>
            </w:pPr>
            <w:r>
              <w:rPr>
                <w:rFonts w:cs="Arial"/>
              </w:rPr>
              <w:t>172.16.12.0</w:t>
            </w:r>
          </w:p>
        </w:tc>
        <w:tc>
          <w:tcPr>
            <w:tcW w:w="2552" w:type="dxa"/>
          </w:tcPr>
          <w:p w14:paraId="0D8FD5C7" w14:textId="34C2B24F" w:rsidR="004A7D3D" w:rsidRPr="004A1148" w:rsidRDefault="00425D03" w:rsidP="00F5276B">
            <w:pPr>
              <w:pStyle w:val="TableText"/>
              <w:rPr>
                <w:rFonts w:cs="Arial"/>
              </w:rPr>
            </w:pPr>
            <w:r>
              <w:rPr>
                <w:rFonts w:cs="Arial"/>
              </w:rPr>
              <w:t>255.255.255.0</w:t>
            </w:r>
          </w:p>
        </w:tc>
        <w:tc>
          <w:tcPr>
            <w:tcW w:w="2724" w:type="dxa"/>
            <w:vAlign w:val="bottom"/>
          </w:tcPr>
          <w:p w14:paraId="035CA129" w14:textId="7F132587" w:rsidR="004A7D3D" w:rsidRPr="004A1148" w:rsidRDefault="00425D03" w:rsidP="00F5276B">
            <w:pPr>
              <w:pStyle w:val="TableText"/>
              <w:rPr>
                <w:rFonts w:cs="Arial"/>
              </w:rPr>
            </w:pPr>
            <w:r>
              <w:rPr>
                <w:rFonts w:cs="Arial"/>
              </w:rPr>
              <w:t>172.16.12.1</w:t>
            </w:r>
          </w:p>
        </w:tc>
        <w:tc>
          <w:tcPr>
            <w:tcW w:w="2922" w:type="dxa"/>
            <w:vAlign w:val="bottom"/>
          </w:tcPr>
          <w:p w14:paraId="139F5B25" w14:textId="25C40E6C" w:rsidR="004A7D3D" w:rsidRPr="004A1148" w:rsidRDefault="00425D03" w:rsidP="00F5276B">
            <w:pPr>
              <w:pStyle w:val="TableText"/>
              <w:rPr>
                <w:rFonts w:cs="Arial"/>
              </w:rPr>
            </w:pPr>
            <w:r>
              <w:rPr>
                <w:rFonts w:cs="Arial"/>
              </w:rPr>
              <w:t>172.16.12.254</w:t>
            </w:r>
          </w:p>
        </w:tc>
        <w:tc>
          <w:tcPr>
            <w:tcW w:w="2905" w:type="dxa"/>
            <w:vAlign w:val="bottom"/>
          </w:tcPr>
          <w:p w14:paraId="63784539" w14:textId="71790222" w:rsidR="004A7D3D" w:rsidRPr="004A1148" w:rsidRDefault="00425D03" w:rsidP="00F5276B">
            <w:pPr>
              <w:pStyle w:val="TableText"/>
              <w:ind w:left="284"/>
              <w:rPr>
                <w:rFonts w:cs="Arial"/>
              </w:rPr>
            </w:pPr>
            <w:r>
              <w:rPr>
                <w:rFonts w:cs="Arial"/>
              </w:rPr>
              <w:t>172.16.12.255</w:t>
            </w:r>
          </w:p>
        </w:tc>
      </w:tr>
      <w:tr w:rsidR="004A7D3D" w:rsidRPr="004A1148" w14:paraId="6FCEA750" w14:textId="77777777" w:rsidTr="005554AB">
        <w:trPr>
          <w:cantSplit/>
          <w:trHeight w:val="510"/>
          <w:jc w:val="center"/>
        </w:trPr>
        <w:tc>
          <w:tcPr>
            <w:tcW w:w="1412" w:type="dxa"/>
            <w:vAlign w:val="bottom"/>
          </w:tcPr>
          <w:p w14:paraId="023D3E13" w14:textId="4A911859" w:rsidR="004A7D3D" w:rsidRPr="004A1148" w:rsidRDefault="00425D03" w:rsidP="00F5276B">
            <w:pPr>
              <w:pStyle w:val="TableText"/>
              <w:ind w:left="284"/>
              <w:rPr>
                <w:rFonts w:cs="Arial"/>
              </w:rPr>
            </w:pPr>
            <w:r>
              <w:rPr>
                <w:rFonts w:cs="Arial"/>
              </w:rPr>
              <w:t>E/26</w:t>
            </w:r>
          </w:p>
        </w:tc>
        <w:tc>
          <w:tcPr>
            <w:tcW w:w="2561" w:type="dxa"/>
            <w:vAlign w:val="bottom"/>
          </w:tcPr>
          <w:p w14:paraId="028301AC" w14:textId="5AAD4EE7" w:rsidR="004A7D3D" w:rsidRPr="004A1148" w:rsidRDefault="00425D03" w:rsidP="00F5276B">
            <w:pPr>
              <w:pStyle w:val="TableText"/>
              <w:rPr>
                <w:rFonts w:cs="Arial"/>
              </w:rPr>
            </w:pPr>
            <w:r>
              <w:rPr>
                <w:rFonts w:cs="Arial"/>
              </w:rPr>
              <w:t>172.16.13.0</w:t>
            </w:r>
          </w:p>
        </w:tc>
        <w:tc>
          <w:tcPr>
            <w:tcW w:w="2552" w:type="dxa"/>
          </w:tcPr>
          <w:p w14:paraId="0E107CA2" w14:textId="1727E902" w:rsidR="004A7D3D" w:rsidRPr="004A1148" w:rsidRDefault="00425D03" w:rsidP="00F5276B">
            <w:pPr>
              <w:pStyle w:val="TableText"/>
              <w:rPr>
                <w:rFonts w:cs="Arial"/>
              </w:rPr>
            </w:pPr>
            <w:r>
              <w:rPr>
                <w:rFonts w:cs="Arial"/>
              </w:rPr>
              <w:t>255.255.255.192</w:t>
            </w:r>
          </w:p>
        </w:tc>
        <w:tc>
          <w:tcPr>
            <w:tcW w:w="2724" w:type="dxa"/>
            <w:vAlign w:val="bottom"/>
          </w:tcPr>
          <w:p w14:paraId="76E3E1C0" w14:textId="431A4172" w:rsidR="004A7D3D" w:rsidRPr="004A1148" w:rsidRDefault="00425D03" w:rsidP="00F5276B">
            <w:pPr>
              <w:pStyle w:val="TableText"/>
              <w:rPr>
                <w:rFonts w:cs="Arial"/>
              </w:rPr>
            </w:pPr>
            <w:r>
              <w:rPr>
                <w:rFonts w:cs="Arial"/>
              </w:rPr>
              <w:t>172.16.13.1</w:t>
            </w:r>
          </w:p>
        </w:tc>
        <w:tc>
          <w:tcPr>
            <w:tcW w:w="2922" w:type="dxa"/>
            <w:vAlign w:val="bottom"/>
          </w:tcPr>
          <w:p w14:paraId="1F58716B" w14:textId="0DCDC0FF" w:rsidR="004A7D3D" w:rsidRPr="004A1148" w:rsidRDefault="00425D03" w:rsidP="00F5276B">
            <w:pPr>
              <w:pStyle w:val="TableText"/>
              <w:rPr>
                <w:rFonts w:cs="Arial"/>
              </w:rPr>
            </w:pPr>
            <w:r>
              <w:rPr>
                <w:rFonts w:cs="Arial"/>
              </w:rPr>
              <w:t>172.16.13.62</w:t>
            </w:r>
          </w:p>
        </w:tc>
        <w:tc>
          <w:tcPr>
            <w:tcW w:w="2905" w:type="dxa"/>
            <w:vAlign w:val="bottom"/>
          </w:tcPr>
          <w:p w14:paraId="1F03CCA5" w14:textId="4456EB85" w:rsidR="004A7D3D" w:rsidRPr="004A1148" w:rsidRDefault="00425D03" w:rsidP="00F5276B">
            <w:pPr>
              <w:pStyle w:val="TableText"/>
              <w:ind w:left="284"/>
              <w:rPr>
                <w:rFonts w:cs="Arial"/>
              </w:rPr>
            </w:pPr>
            <w:r>
              <w:rPr>
                <w:rFonts w:cs="Arial"/>
              </w:rPr>
              <w:t>172.16.13.63</w:t>
            </w:r>
          </w:p>
        </w:tc>
      </w:tr>
      <w:tr w:rsidR="004A7D3D" w:rsidRPr="004A1148" w14:paraId="6B34B8B1" w14:textId="77777777" w:rsidTr="005554AB">
        <w:trPr>
          <w:cantSplit/>
          <w:trHeight w:val="510"/>
          <w:jc w:val="center"/>
        </w:trPr>
        <w:tc>
          <w:tcPr>
            <w:tcW w:w="1412" w:type="dxa"/>
            <w:vAlign w:val="bottom"/>
          </w:tcPr>
          <w:p w14:paraId="65F58BF1" w14:textId="06FD97BC" w:rsidR="004A7D3D" w:rsidRPr="004A1148" w:rsidRDefault="00425D03" w:rsidP="00F5276B">
            <w:pPr>
              <w:pStyle w:val="TableText"/>
              <w:ind w:left="284"/>
              <w:rPr>
                <w:rFonts w:cs="Arial"/>
              </w:rPr>
            </w:pPr>
            <w:r>
              <w:rPr>
                <w:rFonts w:cs="Arial"/>
              </w:rPr>
              <w:t>A/27</w:t>
            </w:r>
          </w:p>
        </w:tc>
        <w:tc>
          <w:tcPr>
            <w:tcW w:w="2561" w:type="dxa"/>
            <w:vAlign w:val="bottom"/>
          </w:tcPr>
          <w:p w14:paraId="18067B56" w14:textId="27B5CE97" w:rsidR="004A7D3D" w:rsidRPr="004A1148" w:rsidRDefault="00425D03" w:rsidP="00F5276B">
            <w:pPr>
              <w:pStyle w:val="TableText"/>
              <w:rPr>
                <w:rFonts w:cs="Arial"/>
              </w:rPr>
            </w:pPr>
            <w:r>
              <w:rPr>
                <w:rFonts w:cs="Arial"/>
              </w:rPr>
              <w:t>172.16.13.64</w:t>
            </w:r>
          </w:p>
        </w:tc>
        <w:tc>
          <w:tcPr>
            <w:tcW w:w="2552" w:type="dxa"/>
          </w:tcPr>
          <w:p w14:paraId="309D051E" w14:textId="3E01CF30" w:rsidR="004A7D3D" w:rsidRPr="004A1148" w:rsidRDefault="00425D03" w:rsidP="00F5276B">
            <w:pPr>
              <w:pStyle w:val="TableText"/>
              <w:rPr>
                <w:rFonts w:cs="Arial"/>
              </w:rPr>
            </w:pPr>
            <w:r>
              <w:rPr>
                <w:rFonts w:cs="Arial"/>
              </w:rPr>
              <w:t>255.255.255.224</w:t>
            </w:r>
          </w:p>
        </w:tc>
        <w:tc>
          <w:tcPr>
            <w:tcW w:w="2724" w:type="dxa"/>
            <w:vAlign w:val="bottom"/>
          </w:tcPr>
          <w:p w14:paraId="4BB66377" w14:textId="5988A408" w:rsidR="004A7D3D" w:rsidRPr="004A1148" w:rsidRDefault="00425D03" w:rsidP="00F5276B">
            <w:pPr>
              <w:pStyle w:val="TableText"/>
              <w:rPr>
                <w:rFonts w:cs="Arial"/>
              </w:rPr>
            </w:pPr>
            <w:r>
              <w:rPr>
                <w:rFonts w:cs="Arial"/>
              </w:rPr>
              <w:t>172.16.13.65</w:t>
            </w:r>
          </w:p>
        </w:tc>
        <w:tc>
          <w:tcPr>
            <w:tcW w:w="2922" w:type="dxa"/>
            <w:vAlign w:val="bottom"/>
          </w:tcPr>
          <w:p w14:paraId="2F12A22D" w14:textId="4A2995A9" w:rsidR="004A7D3D" w:rsidRPr="004A1148" w:rsidRDefault="00425D03" w:rsidP="00F5276B">
            <w:pPr>
              <w:pStyle w:val="TableText"/>
              <w:rPr>
                <w:rFonts w:cs="Arial"/>
              </w:rPr>
            </w:pPr>
            <w:r>
              <w:rPr>
                <w:rFonts w:cs="Arial"/>
              </w:rPr>
              <w:t>172.16.13.94</w:t>
            </w:r>
          </w:p>
        </w:tc>
        <w:tc>
          <w:tcPr>
            <w:tcW w:w="2905" w:type="dxa"/>
            <w:vAlign w:val="bottom"/>
          </w:tcPr>
          <w:p w14:paraId="78E458EF" w14:textId="73B3D5D8" w:rsidR="004A7D3D" w:rsidRPr="004A1148" w:rsidRDefault="00425D03" w:rsidP="00F5276B">
            <w:pPr>
              <w:pStyle w:val="TableText"/>
              <w:ind w:left="284"/>
              <w:rPr>
                <w:rFonts w:cs="Arial"/>
              </w:rPr>
            </w:pPr>
            <w:r>
              <w:rPr>
                <w:rFonts w:cs="Arial"/>
              </w:rPr>
              <w:t>172.16.13.95</w:t>
            </w:r>
          </w:p>
        </w:tc>
      </w:tr>
      <w:tr w:rsidR="004A7D3D" w:rsidRPr="004A1148" w14:paraId="0B4ED2B0" w14:textId="77777777" w:rsidTr="005554AB">
        <w:trPr>
          <w:cantSplit/>
          <w:trHeight w:val="510"/>
          <w:jc w:val="center"/>
        </w:trPr>
        <w:tc>
          <w:tcPr>
            <w:tcW w:w="1412" w:type="dxa"/>
            <w:vAlign w:val="bottom"/>
          </w:tcPr>
          <w:p w14:paraId="609E3F7B" w14:textId="52AC62CA" w:rsidR="004A7D3D" w:rsidRPr="004A1148" w:rsidRDefault="00425D03" w:rsidP="00F5276B">
            <w:pPr>
              <w:pStyle w:val="TableText"/>
              <w:ind w:left="284"/>
              <w:rPr>
                <w:rFonts w:cs="Arial"/>
              </w:rPr>
            </w:pPr>
            <w:r>
              <w:rPr>
                <w:rFonts w:cs="Arial"/>
              </w:rPr>
              <w:t>C/29</w:t>
            </w:r>
          </w:p>
        </w:tc>
        <w:tc>
          <w:tcPr>
            <w:tcW w:w="2561" w:type="dxa"/>
            <w:vAlign w:val="bottom"/>
          </w:tcPr>
          <w:p w14:paraId="31F64227" w14:textId="403400FF" w:rsidR="004A7D3D" w:rsidRPr="004A1148" w:rsidRDefault="00425D03" w:rsidP="00F5276B">
            <w:pPr>
              <w:pStyle w:val="TableText"/>
              <w:rPr>
                <w:rFonts w:cs="Arial"/>
              </w:rPr>
            </w:pPr>
            <w:r>
              <w:rPr>
                <w:rFonts w:cs="Arial"/>
              </w:rPr>
              <w:t>172.16.13.96</w:t>
            </w:r>
          </w:p>
        </w:tc>
        <w:tc>
          <w:tcPr>
            <w:tcW w:w="2552" w:type="dxa"/>
          </w:tcPr>
          <w:p w14:paraId="55665601" w14:textId="0124E65D" w:rsidR="004A7D3D" w:rsidRPr="004A1148" w:rsidRDefault="00425D03" w:rsidP="00F5276B">
            <w:pPr>
              <w:pStyle w:val="TableText"/>
              <w:rPr>
                <w:rFonts w:cs="Arial"/>
              </w:rPr>
            </w:pPr>
            <w:r>
              <w:rPr>
                <w:rFonts w:cs="Arial"/>
              </w:rPr>
              <w:t>255.255.255.248</w:t>
            </w:r>
          </w:p>
        </w:tc>
        <w:tc>
          <w:tcPr>
            <w:tcW w:w="2724" w:type="dxa"/>
            <w:vAlign w:val="bottom"/>
          </w:tcPr>
          <w:p w14:paraId="4F549E4B" w14:textId="702BACF4" w:rsidR="004A7D3D" w:rsidRPr="004A1148" w:rsidRDefault="00425D03" w:rsidP="00F5276B">
            <w:pPr>
              <w:pStyle w:val="TableText"/>
              <w:rPr>
                <w:rFonts w:cs="Arial"/>
              </w:rPr>
            </w:pPr>
            <w:r>
              <w:rPr>
                <w:rFonts w:cs="Arial"/>
              </w:rPr>
              <w:t>172.16.13.97</w:t>
            </w:r>
          </w:p>
        </w:tc>
        <w:tc>
          <w:tcPr>
            <w:tcW w:w="2922" w:type="dxa"/>
            <w:vAlign w:val="bottom"/>
          </w:tcPr>
          <w:p w14:paraId="7C499210" w14:textId="5D855ECE" w:rsidR="004A7D3D" w:rsidRPr="004A1148" w:rsidRDefault="00425D03" w:rsidP="00F5276B">
            <w:pPr>
              <w:pStyle w:val="TableText"/>
              <w:rPr>
                <w:rFonts w:cs="Arial"/>
              </w:rPr>
            </w:pPr>
            <w:r>
              <w:rPr>
                <w:rFonts w:cs="Arial"/>
              </w:rPr>
              <w:t>172.16.13.102</w:t>
            </w:r>
          </w:p>
        </w:tc>
        <w:tc>
          <w:tcPr>
            <w:tcW w:w="2905" w:type="dxa"/>
            <w:vAlign w:val="bottom"/>
          </w:tcPr>
          <w:p w14:paraId="2D756274" w14:textId="36072331" w:rsidR="004A7D3D" w:rsidRPr="004A1148" w:rsidRDefault="00425D03" w:rsidP="00F5276B">
            <w:pPr>
              <w:pStyle w:val="TableText"/>
              <w:ind w:left="284"/>
              <w:rPr>
                <w:rFonts w:cs="Arial"/>
              </w:rPr>
            </w:pPr>
            <w:r>
              <w:rPr>
                <w:rFonts w:cs="Arial"/>
              </w:rPr>
              <w:t>172.16.13.103</w:t>
            </w:r>
          </w:p>
        </w:tc>
      </w:tr>
      <w:tr w:rsidR="004A7D3D" w:rsidRPr="004A1148" w14:paraId="27709968" w14:textId="77777777" w:rsidTr="005554AB">
        <w:trPr>
          <w:cantSplit/>
          <w:trHeight w:val="510"/>
          <w:jc w:val="center"/>
        </w:trPr>
        <w:tc>
          <w:tcPr>
            <w:tcW w:w="1412" w:type="dxa"/>
            <w:vAlign w:val="bottom"/>
          </w:tcPr>
          <w:p w14:paraId="20984A5F" w14:textId="23959DA0" w:rsidR="004A7D3D" w:rsidRPr="004A1148" w:rsidRDefault="00425D03" w:rsidP="00F5276B">
            <w:pPr>
              <w:pStyle w:val="TableText"/>
              <w:ind w:left="284"/>
              <w:rPr>
                <w:rFonts w:cs="Arial"/>
              </w:rPr>
            </w:pPr>
            <w:r>
              <w:rPr>
                <w:rFonts w:cs="Arial"/>
              </w:rPr>
              <w:t>R1-R2/30</w:t>
            </w:r>
          </w:p>
        </w:tc>
        <w:tc>
          <w:tcPr>
            <w:tcW w:w="2561" w:type="dxa"/>
            <w:vAlign w:val="bottom"/>
          </w:tcPr>
          <w:p w14:paraId="0D69D9DC" w14:textId="3C299478" w:rsidR="004A7D3D" w:rsidRPr="004A1148" w:rsidRDefault="00425D03" w:rsidP="00F5276B">
            <w:pPr>
              <w:pStyle w:val="TableText"/>
              <w:rPr>
                <w:rFonts w:cs="Arial"/>
              </w:rPr>
            </w:pPr>
            <w:r>
              <w:rPr>
                <w:rFonts w:cs="Arial"/>
              </w:rPr>
              <w:t>172.16.13.104</w:t>
            </w:r>
          </w:p>
        </w:tc>
        <w:tc>
          <w:tcPr>
            <w:tcW w:w="2552" w:type="dxa"/>
          </w:tcPr>
          <w:p w14:paraId="30D77B01" w14:textId="4B1D7087" w:rsidR="004A7D3D" w:rsidRPr="004A1148" w:rsidRDefault="00425D03" w:rsidP="00F5276B">
            <w:pPr>
              <w:pStyle w:val="TableText"/>
              <w:rPr>
                <w:rFonts w:cs="Arial"/>
              </w:rPr>
            </w:pPr>
            <w:r>
              <w:rPr>
                <w:rFonts w:cs="Arial"/>
              </w:rPr>
              <w:t>255.255.255.252</w:t>
            </w:r>
          </w:p>
        </w:tc>
        <w:tc>
          <w:tcPr>
            <w:tcW w:w="2724" w:type="dxa"/>
            <w:vAlign w:val="bottom"/>
          </w:tcPr>
          <w:p w14:paraId="5596A409" w14:textId="7F8491D6" w:rsidR="004A7D3D" w:rsidRPr="004A1148" w:rsidRDefault="00425D03" w:rsidP="00F5276B">
            <w:pPr>
              <w:pStyle w:val="TableText"/>
              <w:rPr>
                <w:rFonts w:cs="Arial"/>
              </w:rPr>
            </w:pPr>
            <w:r>
              <w:rPr>
                <w:rFonts w:cs="Arial"/>
              </w:rPr>
              <w:t>172.16.13.105</w:t>
            </w:r>
          </w:p>
        </w:tc>
        <w:tc>
          <w:tcPr>
            <w:tcW w:w="2922" w:type="dxa"/>
            <w:vAlign w:val="bottom"/>
          </w:tcPr>
          <w:p w14:paraId="0F1FE2D6" w14:textId="34D11696" w:rsidR="004A7D3D" w:rsidRPr="004A1148" w:rsidRDefault="00425D03" w:rsidP="00F5276B">
            <w:pPr>
              <w:pStyle w:val="TableText"/>
              <w:rPr>
                <w:rFonts w:cs="Arial"/>
              </w:rPr>
            </w:pPr>
            <w:r>
              <w:rPr>
                <w:rFonts w:cs="Arial"/>
              </w:rPr>
              <w:t>172.16.13.108</w:t>
            </w:r>
          </w:p>
        </w:tc>
        <w:tc>
          <w:tcPr>
            <w:tcW w:w="2905" w:type="dxa"/>
            <w:vAlign w:val="bottom"/>
          </w:tcPr>
          <w:p w14:paraId="554DDEFE" w14:textId="26A811AD" w:rsidR="004A7D3D" w:rsidRPr="004A1148" w:rsidRDefault="00425D03" w:rsidP="00F5276B">
            <w:pPr>
              <w:pStyle w:val="TableText"/>
              <w:ind w:left="284"/>
              <w:rPr>
                <w:rFonts w:cs="Arial"/>
              </w:rPr>
            </w:pPr>
            <w:r>
              <w:rPr>
                <w:rFonts w:cs="Arial"/>
              </w:rPr>
              <w:t>172.16.13.107</w:t>
            </w:r>
          </w:p>
        </w:tc>
      </w:tr>
      <w:tr w:rsidR="004A7D3D" w:rsidRPr="004A1148" w14:paraId="0B6C4A12" w14:textId="77777777" w:rsidTr="005554AB">
        <w:trPr>
          <w:cantSplit/>
          <w:trHeight w:val="510"/>
          <w:jc w:val="center"/>
        </w:trPr>
        <w:tc>
          <w:tcPr>
            <w:tcW w:w="1412" w:type="dxa"/>
            <w:vAlign w:val="bottom"/>
          </w:tcPr>
          <w:p w14:paraId="61BCB553" w14:textId="57B1F63F" w:rsidR="004A7D3D" w:rsidRPr="004A1148" w:rsidRDefault="00425D03" w:rsidP="00F5276B">
            <w:pPr>
              <w:pStyle w:val="TableText"/>
              <w:ind w:left="284"/>
              <w:rPr>
                <w:rFonts w:cs="Arial"/>
              </w:rPr>
            </w:pPr>
            <w:r>
              <w:rPr>
                <w:rFonts w:cs="Arial"/>
              </w:rPr>
              <w:t>R</w:t>
            </w:r>
            <w:r w:rsidR="0093319A">
              <w:rPr>
                <w:rFonts w:cs="Arial"/>
              </w:rPr>
              <w:t>2</w:t>
            </w:r>
            <w:r>
              <w:rPr>
                <w:rFonts w:cs="Arial"/>
              </w:rPr>
              <w:t>-R3/30</w:t>
            </w:r>
          </w:p>
        </w:tc>
        <w:tc>
          <w:tcPr>
            <w:tcW w:w="2561" w:type="dxa"/>
            <w:vAlign w:val="bottom"/>
          </w:tcPr>
          <w:p w14:paraId="1F850D77" w14:textId="191F7F8D" w:rsidR="004A7D3D" w:rsidRPr="004A1148" w:rsidRDefault="00425D03" w:rsidP="00F5276B">
            <w:pPr>
              <w:pStyle w:val="TableText"/>
              <w:rPr>
                <w:rFonts w:cs="Arial"/>
              </w:rPr>
            </w:pPr>
            <w:r>
              <w:rPr>
                <w:rFonts w:cs="Arial"/>
              </w:rPr>
              <w:t>172.16.13.108</w:t>
            </w:r>
          </w:p>
        </w:tc>
        <w:tc>
          <w:tcPr>
            <w:tcW w:w="2552" w:type="dxa"/>
          </w:tcPr>
          <w:p w14:paraId="4E625FAD" w14:textId="19D66E64" w:rsidR="004A7D3D" w:rsidRPr="004A1148" w:rsidRDefault="00425D03" w:rsidP="00F5276B">
            <w:pPr>
              <w:pStyle w:val="TableText"/>
              <w:rPr>
                <w:rFonts w:cs="Arial"/>
              </w:rPr>
            </w:pPr>
            <w:r>
              <w:rPr>
                <w:rFonts w:cs="Arial"/>
              </w:rPr>
              <w:t>255.255.255.252</w:t>
            </w:r>
          </w:p>
        </w:tc>
        <w:tc>
          <w:tcPr>
            <w:tcW w:w="2724" w:type="dxa"/>
            <w:vAlign w:val="bottom"/>
          </w:tcPr>
          <w:p w14:paraId="2EFD5AB2" w14:textId="7CB342DC" w:rsidR="004A7D3D" w:rsidRPr="004A1148" w:rsidRDefault="00425D03" w:rsidP="00F5276B">
            <w:pPr>
              <w:pStyle w:val="TableText"/>
              <w:rPr>
                <w:rFonts w:cs="Arial"/>
              </w:rPr>
            </w:pPr>
            <w:r>
              <w:rPr>
                <w:rFonts w:cs="Arial"/>
              </w:rPr>
              <w:t>172.16.13.109</w:t>
            </w:r>
          </w:p>
        </w:tc>
        <w:tc>
          <w:tcPr>
            <w:tcW w:w="2922" w:type="dxa"/>
            <w:vAlign w:val="bottom"/>
          </w:tcPr>
          <w:p w14:paraId="488D3941" w14:textId="0A3B8858" w:rsidR="004A7D3D" w:rsidRPr="004A1148" w:rsidRDefault="00425D03" w:rsidP="00F5276B">
            <w:pPr>
              <w:pStyle w:val="TableText"/>
              <w:rPr>
                <w:rFonts w:cs="Arial"/>
              </w:rPr>
            </w:pPr>
            <w:r>
              <w:rPr>
                <w:rFonts w:cs="Arial"/>
              </w:rPr>
              <w:t>172.16.13.1010</w:t>
            </w:r>
          </w:p>
        </w:tc>
        <w:tc>
          <w:tcPr>
            <w:tcW w:w="2905" w:type="dxa"/>
            <w:vAlign w:val="bottom"/>
          </w:tcPr>
          <w:p w14:paraId="6CDA3D3D" w14:textId="7F49E695" w:rsidR="004A7D3D" w:rsidRPr="004A1148" w:rsidRDefault="00425D03" w:rsidP="00F5276B">
            <w:pPr>
              <w:pStyle w:val="TableText"/>
              <w:ind w:left="284"/>
              <w:rPr>
                <w:rFonts w:cs="Arial"/>
              </w:rPr>
            </w:pPr>
            <w:r>
              <w:rPr>
                <w:rFonts w:cs="Arial"/>
              </w:rPr>
              <w:t>172.16.13.111</w:t>
            </w: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F5276B">
            <w:pPr>
              <w:pStyle w:val="TableText"/>
              <w:ind w:left="284"/>
              <w:rPr>
                <w:rFonts w:cs="Arial"/>
              </w:rPr>
            </w:pPr>
          </w:p>
        </w:tc>
        <w:tc>
          <w:tcPr>
            <w:tcW w:w="2561"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6FE6B88C" w:rsidR="006D5DA8" w:rsidRDefault="00491907" w:rsidP="00771EE2">
      <w:pPr>
        <w:rPr>
          <w:rFonts w:ascii="Arial" w:hAnsi="Arial" w:cs="Arial"/>
          <w:b/>
          <w:sz w:val="32"/>
          <w:szCs w:val="22"/>
          <w:u w:val="single"/>
        </w:rPr>
      </w:pPr>
      <w:r>
        <w:rPr>
          <w:rFonts w:ascii="Arial" w:hAnsi="Arial" w:cs="Arial"/>
          <w:b/>
          <w:sz w:val="32"/>
          <w:szCs w:val="22"/>
          <w:u w:val="single"/>
        </w:rPr>
        <w:lastRenderedPageBreak/>
        <w:t>Report</w:t>
      </w:r>
    </w:p>
    <w:p w14:paraId="0142C1AF" w14:textId="5BA002F8" w:rsidR="00491907" w:rsidRDefault="00491907" w:rsidP="00771EE2">
      <w:pPr>
        <w:rPr>
          <w:rFonts w:ascii="Arial" w:hAnsi="Arial" w:cs="Arial"/>
          <w:bCs/>
          <w:sz w:val="22"/>
          <w:szCs w:val="22"/>
        </w:rPr>
      </w:pPr>
    </w:p>
    <w:p w14:paraId="41B00090" w14:textId="77777777" w:rsidR="000248FD" w:rsidRPr="000248FD" w:rsidRDefault="000248FD" w:rsidP="000248FD">
      <w:pPr>
        <w:rPr>
          <w:rFonts w:ascii="Arial" w:hAnsi="Arial" w:cs="Arial"/>
          <w:bCs/>
          <w:sz w:val="22"/>
          <w:szCs w:val="22"/>
        </w:rPr>
      </w:pPr>
      <w:r w:rsidRPr="000248FD">
        <w:rPr>
          <w:rFonts w:ascii="Arial" w:hAnsi="Arial" w:cs="Arial"/>
          <w:sz w:val="22"/>
          <w:szCs w:val="22"/>
        </w:rPr>
        <w:t>IPv6 is everywhere. It is the default on all major operating systems and is widely deployed across the Internet. Further, its growth is exponential and at the current rate all Internet users will be using IPv6 by 2020</w:t>
      </w:r>
    </w:p>
    <w:p w14:paraId="33182E2B" w14:textId="77777777" w:rsidR="000248FD" w:rsidRDefault="000248FD" w:rsidP="00771EE2">
      <w:pPr>
        <w:rPr>
          <w:rFonts w:ascii="Arial" w:hAnsi="Arial" w:cs="Arial"/>
          <w:bCs/>
          <w:sz w:val="22"/>
          <w:szCs w:val="22"/>
        </w:rPr>
      </w:pPr>
    </w:p>
    <w:p w14:paraId="249EDB28" w14:textId="775C82F0" w:rsidR="00491907" w:rsidRDefault="00491907" w:rsidP="00771EE2">
      <w:pPr>
        <w:rPr>
          <w:rFonts w:ascii="Arial" w:hAnsi="Arial" w:cs="Arial"/>
          <w:bCs/>
          <w:sz w:val="22"/>
          <w:szCs w:val="22"/>
        </w:rPr>
      </w:pPr>
      <w:r>
        <w:rPr>
          <w:rFonts w:ascii="Arial" w:hAnsi="Arial" w:cs="Arial"/>
          <w:bCs/>
          <w:sz w:val="22"/>
          <w:szCs w:val="22"/>
        </w:rPr>
        <w:t>The IPv6 is a powerful and flexible compared to its predecessor the IPv4. The IPv6 addresses are assigned to interfaces, rather than to nodes, in recognition that a node can have more than one interface. Additionally, multiple IPv6 addresses can be assigned to an interface.</w:t>
      </w:r>
    </w:p>
    <w:p w14:paraId="2B826F01" w14:textId="11166D79" w:rsidR="00491907" w:rsidRDefault="00491907" w:rsidP="00771EE2">
      <w:pPr>
        <w:rPr>
          <w:rFonts w:ascii="Arial" w:hAnsi="Arial" w:cs="Arial"/>
          <w:bCs/>
          <w:sz w:val="22"/>
          <w:szCs w:val="22"/>
        </w:rPr>
      </w:pPr>
    </w:p>
    <w:p w14:paraId="247284C3" w14:textId="090C95B2" w:rsidR="00491907" w:rsidRDefault="00491907" w:rsidP="00771EE2">
      <w:pPr>
        <w:rPr>
          <w:rFonts w:ascii="Arial" w:hAnsi="Arial" w:cs="Arial"/>
          <w:bCs/>
          <w:sz w:val="22"/>
          <w:szCs w:val="22"/>
        </w:rPr>
      </w:pPr>
      <w:r>
        <w:rPr>
          <w:rFonts w:ascii="Arial" w:hAnsi="Arial" w:cs="Arial"/>
          <w:bCs/>
          <w:sz w:val="22"/>
          <w:szCs w:val="22"/>
        </w:rPr>
        <w:t xml:space="preserve">The IPv6 address consists of 128 bits in length and 16-bit fields. Each field contains a hexadecimal number. Although most IPv7 addresses do not occupy </w:t>
      </w:r>
      <w:proofErr w:type="gramStart"/>
      <w:r>
        <w:rPr>
          <w:rFonts w:ascii="Arial" w:hAnsi="Arial" w:cs="Arial"/>
          <w:bCs/>
          <w:sz w:val="22"/>
          <w:szCs w:val="22"/>
        </w:rPr>
        <w:t>all of</w:t>
      </w:r>
      <w:proofErr w:type="gramEnd"/>
      <w:r>
        <w:rPr>
          <w:rFonts w:ascii="Arial" w:hAnsi="Arial" w:cs="Arial"/>
          <w:bCs/>
          <w:sz w:val="22"/>
          <w:szCs w:val="22"/>
        </w:rPr>
        <w:t xml:space="preserve"> the 128 bits. This results in fields of zeros. As a </w:t>
      </w:r>
      <w:proofErr w:type="gramStart"/>
      <w:r>
        <w:rPr>
          <w:rFonts w:ascii="Arial" w:hAnsi="Arial" w:cs="Arial"/>
          <w:bCs/>
          <w:sz w:val="22"/>
          <w:szCs w:val="22"/>
        </w:rPr>
        <w:t>result</w:t>
      </w:r>
      <w:proofErr w:type="gramEnd"/>
      <w:r>
        <w:rPr>
          <w:rFonts w:ascii="Arial" w:hAnsi="Arial" w:cs="Arial"/>
          <w:bCs/>
          <w:sz w:val="22"/>
          <w:szCs w:val="22"/>
        </w:rPr>
        <w:t xml:space="preserve"> it is possible to replace the fields of zeros with colons. </w:t>
      </w:r>
    </w:p>
    <w:p w14:paraId="42D79658" w14:textId="63AF8F26" w:rsidR="007125F1" w:rsidRDefault="007125F1" w:rsidP="00771EE2">
      <w:pPr>
        <w:rPr>
          <w:rFonts w:ascii="Arial" w:hAnsi="Arial" w:cs="Arial"/>
          <w:bCs/>
          <w:sz w:val="22"/>
          <w:szCs w:val="22"/>
        </w:rPr>
      </w:pPr>
    </w:p>
    <w:p w14:paraId="61139532" w14:textId="50DE3B94" w:rsidR="007125F1" w:rsidRDefault="007125F1" w:rsidP="00771EE2">
      <w:pPr>
        <w:rPr>
          <w:rFonts w:ascii="Arial" w:hAnsi="Arial" w:cs="Arial"/>
          <w:bCs/>
          <w:sz w:val="22"/>
          <w:szCs w:val="22"/>
        </w:rPr>
      </w:pPr>
      <w:r>
        <w:rPr>
          <w:rFonts w:ascii="Arial" w:hAnsi="Arial" w:cs="Arial"/>
          <w:bCs/>
          <w:sz w:val="22"/>
          <w:szCs w:val="22"/>
        </w:rPr>
        <w:t>As shown in table 1, the IPv6 has a packet header size of 40 bytes, a more secure transfer of 1280 bytes</w:t>
      </w:r>
      <w:r w:rsidR="00834A7D">
        <w:rPr>
          <w:rFonts w:ascii="Arial" w:hAnsi="Arial" w:cs="Arial"/>
          <w:bCs/>
          <w:sz w:val="22"/>
          <w:szCs w:val="22"/>
        </w:rPr>
        <w:t xml:space="preserve"> and an unlimited extension of header levels, this makes it a far superior model.</w:t>
      </w:r>
    </w:p>
    <w:p w14:paraId="3CF27B96" w14:textId="3D7BFACA" w:rsidR="007125F1" w:rsidRDefault="007125F1" w:rsidP="00771EE2">
      <w:pPr>
        <w:rPr>
          <w:rFonts w:ascii="Arial" w:hAnsi="Arial" w:cs="Arial"/>
          <w:bCs/>
          <w:sz w:val="22"/>
          <w:szCs w:val="22"/>
        </w:rPr>
      </w:pPr>
    </w:p>
    <w:p w14:paraId="5850F44B" w14:textId="29F7CF31" w:rsidR="007125F1" w:rsidRDefault="007125F1" w:rsidP="00771EE2">
      <w:pPr>
        <w:rPr>
          <w:rFonts w:ascii="Arial" w:hAnsi="Arial" w:cs="Arial"/>
          <w:bCs/>
          <w:sz w:val="22"/>
          <w:szCs w:val="22"/>
        </w:rPr>
      </w:pPr>
      <w:r w:rsidRPr="007125F1">
        <w:drawing>
          <wp:inline distT="0" distB="0" distL="0" distR="0" wp14:anchorId="5C76436B" wp14:editId="0B1118F9">
            <wp:extent cx="6210935" cy="3799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10935" cy="3799840"/>
                    </a:xfrm>
                    <a:prstGeom prst="rect">
                      <a:avLst/>
                    </a:prstGeom>
                  </pic:spPr>
                </pic:pic>
              </a:graphicData>
            </a:graphic>
          </wp:inline>
        </w:drawing>
      </w:r>
    </w:p>
    <w:p w14:paraId="22D45043" w14:textId="78A08237" w:rsidR="007125F1" w:rsidRDefault="007125F1" w:rsidP="007125F1">
      <w:pPr>
        <w:jc w:val="center"/>
        <w:rPr>
          <w:rFonts w:ascii="Arial" w:hAnsi="Arial" w:cs="Arial"/>
          <w:bCs/>
          <w:sz w:val="22"/>
          <w:szCs w:val="22"/>
        </w:rPr>
      </w:pPr>
      <w:r>
        <w:rPr>
          <w:rFonts w:ascii="Arial" w:hAnsi="Arial" w:cs="Arial"/>
          <w:bCs/>
          <w:sz w:val="22"/>
          <w:szCs w:val="22"/>
        </w:rPr>
        <w:t>Table 1: Comparison</w:t>
      </w:r>
    </w:p>
    <w:p w14:paraId="40B075EF" w14:textId="4CA938B3" w:rsidR="00834A7D" w:rsidRDefault="00834A7D" w:rsidP="007125F1">
      <w:pPr>
        <w:jc w:val="center"/>
        <w:rPr>
          <w:rFonts w:ascii="Arial" w:hAnsi="Arial" w:cs="Arial"/>
          <w:bCs/>
          <w:sz w:val="22"/>
          <w:szCs w:val="22"/>
        </w:rPr>
      </w:pPr>
    </w:p>
    <w:p w14:paraId="12F113EE" w14:textId="18125F18" w:rsidR="00834A7D" w:rsidRDefault="00834A7D" w:rsidP="00834A7D">
      <w:pPr>
        <w:rPr>
          <w:rFonts w:ascii="Arial" w:hAnsi="Arial" w:cs="Arial"/>
          <w:bCs/>
          <w:sz w:val="22"/>
          <w:szCs w:val="22"/>
        </w:rPr>
      </w:pPr>
      <w:r>
        <w:rPr>
          <w:rFonts w:ascii="Arial" w:hAnsi="Arial" w:cs="Arial"/>
          <w:bCs/>
          <w:sz w:val="22"/>
          <w:szCs w:val="22"/>
        </w:rPr>
        <w:t>Many of the IPv6 addresses ranges are reserved or defined for specific purposes as specified by the IETFs IPv6 standards and the IANA</w:t>
      </w:r>
      <w:sdt>
        <w:sdtPr>
          <w:rPr>
            <w:rFonts w:ascii="Arial" w:hAnsi="Arial" w:cs="Arial"/>
            <w:bCs/>
            <w:sz w:val="22"/>
            <w:szCs w:val="22"/>
          </w:rPr>
          <w:id w:val="1474180599"/>
          <w:citation/>
        </w:sdtPr>
        <w:sdtContent>
          <w:r>
            <w:rPr>
              <w:rFonts w:ascii="Arial" w:hAnsi="Arial" w:cs="Arial"/>
              <w:bCs/>
              <w:sz w:val="22"/>
              <w:szCs w:val="22"/>
            </w:rPr>
            <w:fldChar w:fldCharType="begin"/>
          </w:r>
          <w:r>
            <w:rPr>
              <w:rFonts w:ascii="Arial" w:hAnsi="Arial" w:cs="Arial"/>
              <w:bCs/>
              <w:sz w:val="22"/>
              <w:szCs w:val="22"/>
            </w:rPr>
            <w:instrText xml:space="preserve"> CITATION Nat10 \l 2057  \m ByA14 \m Bob15 \m Bil14</w:instrText>
          </w:r>
          <w:r>
            <w:rPr>
              <w:rFonts w:ascii="Arial" w:hAnsi="Arial" w:cs="Arial"/>
              <w:bCs/>
              <w:sz w:val="22"/>
              <w:szCs w:val="22"/>
            </w:rPr>
            <w:fldChar w:fldCharType="separate"/>
          </w:r>
          <w:r>
            <w:rPr>
              <w:rFonts w:ascii="Arial" w:hAnsi="Arial" w:cs="Arial"/>
              <w:bCs/>
              <w:noProof/>
              <w:sz w:val="22"/>
              <w:szCs w:val="22"/>
            </w:rPr>
            <w:t xml:space="preserve"> </w:t>
          </w:r>
          <w:r w:rsidRPr="00834A7D">
            <w:rPr>
              <w:rFonts w:ascii="Arial" w:hAnsi="Arial" w:cs="Arial"/>
              <w:noProof/>
              <w:sz w:val="22"/>
              <w:szCs w:val="22"/>
            </w:rPr>
            <w:t>[1, 2, 3, 4]</w:t>
          </w:r>
          <w:r>
            <w:rPr>
              <w:rFonts w:ascii="Arial" w:hAnsi="Arial" w:cs="Arial"/>
              <w:bCs/>
              <w:sz w:val="22"/>
              <w:szCs w:val="22"/>
            </w:rPr>
            <w:fldChar w:fldCharType="end"/>
          </w:r>
        </w:sdtContent>
      </w:sdt>
      <w:r>
        <w:rPr>
          <w:rFonts w:ascii="Arial" w:hAnsi="Arial" w:cs="Arial"/>
          <w:bCs/>
          <w:sz w:val="22"/>
          <w:szCs w:val="22"/>
        </w:rPr>
        <w:t>.</w:t>
      </w:r>
    </w:p>
    <w:p w14:paraId="13D6D9D6" w14:textId="7DC8D45E" w:rsidR="000248FD" w:rsidRDefault="000248FD" w:rsidP="00834A7D">
      <w:pPr>
        <w:rPr>
          <w:rFonts w:ascii="Arial" w:hAnsi="Arial" w:cs="Arial"/>
          <w:bCs/>
          <w:sz w:val="22"/>
          <w:szCs w:val="22"/>
        </w:rPr>
      </w:pPr>
    </w:p>
    <w:p w14:paraId="1C880AEB" w14:textId="4C9F06CF" w:rsidR="000248FD" w:rsidRDefault="000248FD" w:rsidP="00834A7D">
      <w:pPr>
        <w:rPr>
          <w:rFonts w:ascii="Arial" w:hAnsi="Arial" w:cs="Arial"/>
          <w:sz w:val="22"/>
          <w:szCs w:val="22"/>
        </w:rPr>
      </w:pPr>
      <w:r>
        <w:rPr>
          <w:rFonts w:ascii="Arial" w:hAnsi="Arial" w:cs="Arial"/>
          <w:bCs/>
          <w:sz w:val="22"/>
          <w:szCs w:val="22"/>
        </w:rPr>
        <w:t xml:space="preserve">There are misconceptions that IPv6 </w:t>
      </w:r>
      <w:proofErr w:type="gramStart"/>
      <w:r>
        <w:rPr>
          <w:rFonts w:ascii="Arial" w:hAnsi="Arial" w:cs="Arial"/>
          <w:bCs/>
          <w:sz w:val="22"/>
          <w:szCs w:val="22"/>
        </w:rPr>
        <w:t>is more or less</w:t>
      </w:r>
      <w:proofErr w:type="gramEnd"/>
      <w:r>
        <w:rPr>
          <w:rFonts w:ascii="Arial" w:hAnsi="Arial" w:cs="Arial"/>
          <w:bCs/>
          <w:sz w:val="22"/>
          <w:szCs w:val="22"/>
        </w:rPr>
        <w:t xml:space="preserve"> secure than IPv4, however,</w:t>
      </w:r>
      <w:r w:rsidRPr="000248FD">
        <w:t xml:space="preserve"> </w:t>
      </w:r>
      <w:r w:rsidRPr="000248FD">
        <w:rPr>
          <w:rFonts w:ascii="Arial" w:hAnsi="Arial" w:cs="Arial"/>
          <w:sz w:val="22"/>
          <w:szCs w:val="22"/>
        </w:rPr>
        <w:t xml:space="preserve">it isn’t. The reason is simple, in </w:t>
      </w:r>
      <w:r>
        <w:rPr>
          <w:rFonts w:ascii="Arial" w:hAnsi="Arial" w:cs="Arial"/>
          <w:sz w:val="22"/>
          <w:szCs w:val="22"/>
        </w:rPr>
        <w:t>the</w:t>
      </w:r>
      <w:r w:rsidRPr="000248FD">
        <w:rPr>
          <w:rFonts w:ascii="Arial" w:hAnsi="Arial" w:cs="Arial"/>
          <w:sz w:val="22"/>
          <w:szCs w:val="22"/>
        </w:rPr>
        <w:t xml:space="preserve"> network there are no IPv4 stacks, all stacks are IPv6 stacks. Therefore, </w:t>
      </w:r>
      <w:proofErr w:type="gramStart"/>
      <w:r w:rsidRPr="000248FD">
        <w:rPr>
          <w:rFonts w:ascii="Arial" w:hAnsi="Arial" w:cs="Arial"/>
          <w:sz w:val="22"/>
          <w:szCs w:val="22"/>
        </w:rPr>
        <w:t>whether  using</w:t>
      </w:r>
      <w:proofErr w:type="gramEnd"/>
      <w:r w:rsidRPr="000248FD">
        <w:rPr>
          <w:rFonts w:ascii="Arial" w:hAnsi="Arial" w:cs="Arial"/>
          <w:sz w:val="22"/>
          <w:szCs w:val="22"/>
        </w:rPr>
        <w:t xml:space="preserve"> IPv6 or not the vulnerability surface of your IPv4 network is practically identical to that of an IPv6 network. There is a combined vulnerability surface consisting of IPv4 and IPv6 vulnerabilities. Comparing the two is therefore meaningless.</w:t>
      </w:r>
    </w:p>
    <w:p w14:paraId="0BD51A87" w14:textId="3A06D38A" w:rsidR="000248FD" w:rsidRDefault="000248FD" w:rsidP="00834A7D">
      <w:pPr>
        <w:rPr>
          <w:rFonts w:ascii="Arial" w:hAnsi="Arial" w:cs="Arial"/>
          <w:sz w:val="22"/>
          <w:szCs w:val="22"/>
        </w:rPr>
      </w:pPr>
    </w:p>
    <w:p w14:paraId="32EE3964" w14:textId="781C7D27" w:rsidR="000248FD" w:rsidRDefault="000248FD" w:rsidP="00834A7D">
      <w:pPr>
        <w:rPr>
          <w:rFonts w:ascii="Arial" w:hAnsi="Arial" w:cs="Arial"/>
          <w:sz w:val="22"/>
          <w:szCs w:val="22"/>
        </w:rPr>
      </w:pPr>
    </w:p>
    <w:p w14:paraId="77FA3A79" w14:textId="55A23728" w:rsidR="000248FD" w:rsidRDefault="000248FD" w:rsidP="00834A7D">
      <w:pPr>
        <w:rPr>
          <w:rFonts w:ascii="Arial" w:hAnsi="Arial" w:cs="Arial"/>
          <w:sz w:val="22"/>
          <w:szCs w:val="22"/>
        </w:rPr>
      </w:pPr>
    </w:p>
    <w:p w14:paraId="4B2AD578" w14:textId="454C3190" w:rsidR="000248FD" w:rsidRDefault="000248FD" w:rsidP="00834A7D">
      <w:pPr>
        <w:rPr>
          <w:rFonts w:ascii="Arial" w:hAnsi="Arial" w:cs="Arial"/>
          <w:sz w:val="22"/>
          <w:szCs w:val="22"/>
        </w:rPr>
      </w:pPr>
    </w:p>
    <w:p w14:paraId="17163A68" w14:textId="77777777" w:rsidR="000248FD" w:rsidRDefault="000248FD" w:rsidP="00834A7D">
      <w:pPr>
        <w:rPr>
          <w:rFonts w:ascii="Arial" w:hAnsi="Arial" w:cs="Arial"/>
          <w:sz w:val="22"/>
          <w:szCs w:val="22"/>
        </w:rPr>
      </w:pPr>
    </w:p>
    <w:p w14:paraId="60B4A00B" w14:textId="0A809424" w:rsidR="000248FD" w:rsidRDefault="000248FD" w:rsidP="00834A7D">
      <w:pPr>
        <w:rPr>
          <w:rFonts w:ascii="Arial" w:hAnsi="Arial" w:cs="Arial"/>
          <w:sz w:val="22"/>
          <w:szCs w:val="22"/>
        </w:rPr>
      </w:pPr>
      <w:r>
        <w:rPr>
          <w:rFonts w:ascii="Arial" w:hAnsi="Arial" w:cs="Arial"/>
          <w:sz w:val="22"/>
          <w:szCs w:val="22"/>
        </w:rPr>
        <w:lastRenderedPageBreak/>
        <w:t xml:space="preserve">The following points highlight the improvements of the IPv6 over the IPv4: </w:t>
      </w:r>
    </w:p>
    <w:p w14:paraId="01BFE6D3" w14:textId="77777777" w:rsidR="000248FD" w:rsidRDefault="000248FD" w:rsidP="00834A7D">
      <w:pPr>
        <w:rPr>
          <w:rFonts w:ascii="Arial" w:hAnsi="Arial" w:cs="Arial"/>
          <w:bCs/>
          <w:sz w:val="22"/>
          <w:szCs w:val="22"/>
        </w:rPr>
      </w:pPr>
    </w:p>
    <w:p w14:paraId="6A1B3F0C" w14:textId="428FBD47" w:rsidR="000248FD" w:rsidRPr="000248FD" w:rsidRDefault="000248FD" w:rsidP="000248FD">
      <w:pPr>
        <w:rPr>
          <w:sz w:val="24"/>
          <w:szCs w:val="24"/>
        </w:rPr>
      </w:pPr>
      <w:proofErr w:type="gramStart"/>
      <w:r w:rsidRPr="000248FD">
        <w:rPr>
          <w:rFonts w:hAnsi="Symbol"/>
          <w:sz w:val="24"/>
          <w:szCs w:val="24"/>
        </w:rPr>
        <w:t></w:t>
      </w:r>
      <w:r w:rsidRPr="000248FD">
        <w:rPr>
          <w:sz w:val="24"/>
          <w:szCs w:val="24"/>
        </w:rPr>
        <w:t xml:space="preserve">  </w:t>
      </w:r>
      <w:r>
        <w:rPr>
          <w:sz w:val="24"/>
          <w:szCs w:val="24"/>
        </w:rPr>
        <w:t>A</w:t>
      </w:r>
      <w:r w:rsidRPr="000248FD">
        <w:rPr>
          <w:sz w:val="24"/>
          <w:szCs w:val="24"/>
        </w:rPr>
        <w:t>ttributes</w:t>
      </w:r>
      <w:proofErr w:type="gramEnd"/>
      <w:r w:rsidRPr="000248FD">
        <w:rPr>
          <w:sz w:val="24"/>
          <w:szCs w:val="24"/>
        </w:rPr>
        <w:t xml:space="preserve">: length, scope and lifetimes </w:t>
      </w:r>
    </w:p>
    <w:p w14:paraId="324EA30D" w14:textId="0A1EC5C1" w:rsidR="000248FD" w:rsidRPr="000248FD" w:rsidRDefault="000248FD" w:rsidP="000248FD">
      <w:pPr>
        <w:rPr>
          <w:sz w:val="24"/>
          <w:szCs w:val="24"/>
        </w:rPr>
      </w:pPr>
      <w:proofErr w:type="gramStart"/>
      <w:r w:rsidRPr="000248FD">
        <w:rPr>
          <w:rFonts w:hAnsi="Symbol"/>
          <w:sz w:val="24"/>
          <w:szCs w:val="24"/>
        </w:rPr>
        <w:t></w:t>
      </w:r>
      <w:r w:rsidRPr="000248FD">
        <w:rPr>
          <w:sz w:val="24"/>
          <w:szCs w:val="24"/>
        </w:rPr>
        <w:t xml:space="preserve">  It</w:t>
      </w:r>
      <w:proofErr w:type="gramEnd"/>
      <w:r w:rsidRPr="000248FD">
        <w:rPr>
          <w:sz w:val="24"/>
          <w:szCs w:val="24"/>
        </w:rPr>
        <w:t xml:space="preserve"> is normal for IPv6 interfaces to have multiple addresses </w:t>
      </w:r>
    </w:p>
    <w:p w14:paraId="0DD1EE96" w14:textId="59952A98" w:rsidR="000248FD" w:rsidRPr="000248FD" w:rsidRDefault="000248FD" w:rsidP="000248FD">
      <w:pPr>
        <w:rPr>
          <w:sz w:val="24"/>
          <w:szCs w:val="24"/>
        </w:rPr>
      </w:pPr>
      <w:proofErr w:type="gramStart"/>
      <w:r w:rsidRPr="000248FD">
        <w:rPr>
          <w:rFonts w:hAnsi="Symbol"/>
          <w:sz w:val="24"/>
          <w:szCs w:val="24"/>
        </w:rPr>
        <w:t></w:t>
      </w:r>
      <w:r w:rsidRPr="000248FD">
        <w:rPr>
          <w:sz w:val="24"/>
          <w:szCs w:val="24"/>
        </w:rPr>
        <w:t xml:space="preserve">  IPv</w:t>
      </w:r>
      <w:proofErr w:type="gramEnd"/>
      <w:r w:rsidRPr="000248FD">
        <w:rPr>
          <w:sz w:val="24"/>
          <w:szCs w:val="24"/>
        </w:rPr>
        <w:t xml:space="preserve">6 addresses can change over time </w:t>
      </w:r>
    </w:p>
    <w:p w14:paraId="49BAA132" w14:textId="77777777" w:rsidR="000248FD" w:rsidRPr="000248FD" w:rsidRDefault="000248FD" w:rsidP="000248FD">
      <w:pPr>
        <w:rPr>
          <w:sz w:val="24"/>
          <w:szCs w:val="24"/>
        </w:rPr>
      </w:pPr>
      <w:proofErr w:type="gramStart"/>
      <w:r w:rsidRPr="000248FD">
        <w:rPr>
          <w:rFonts w:hAnsi="Symbol"/>
          <w:sz w:val="24"/>
          <w:szCs w:val="24"/>
        </w:rPr>
        <w:t></w:t>
      </w:r>
      <w:r w:rsidRPr="000248FD">
        <w:rPr>
          <w:sz w:val="24"/>
          <w:szCs w:val="24"/>
        </w:rPr>
        <w:t xml:space="preserve">  DIFFERENT</w:t>
      </w:r>
      <w:proofErr w:type="gramEnd"/>
      <w:r w:rsidRPr="000248FD">
        <w:rPr>
          <w:sz w:val="24"/>
          <w:szCs w:val="24"/>
        </w:rPr>
        <w:t xml:space="preserve"> Multicast is very important in IPv6 </w:t>
      </w:r>
    </w:p>
    <w:p w14:paraId="17C6D78E" w14:textId="4A8FECE0" w:rsidR="000248FD" w:rsidRPr="000248FD" w:rsidRDefault="000248FD" w:rsidP="000248FD">
      <w:pPr>
        <w:rPr>
          <w:sz w:val="24"/>
          <w:szCs w:val="24"/>
        </w:rPr>
      </w:pPr>
      <w:proofErr w:type="gramStart"/>
      <w:r w:rsidRPr="000248FD">
        <w:rPr>
          <w:rFonts w:hAnsi="Symbol"/>
          <w:sz w:val="24"/>
          <w:szCs w:val="24"/>
        </w:rPr>
        <w:t></w:t>
      </w:r>
      <w:r w:rsidRPr="000248FD">
        <w:rPr>
          <w:sz w:val="24"/>
          <w:szCs w:val="24"/>
        </w:rPr>
        <w:t xml:space="preserve">  There</w:t>
      </w:r>
      <w:proofErr w:type="gramEnd"/>
      <w:r w:rsidRPr="000248FD">
        <w:rPr>
          <w:sz w:val="24"/>
          <w:szCs w:val="24"/>
        </w:rPr>
        <w:t xml:space="preserve"> are large numbers of methods for assigning interface identifiers </w:t>
      </w:r>
    </w:p>
    <w:p w14:paraId="424814A3" w14:textId="77777777" w:rsidR="000248FD" w:rsidRPr="000248FD" w:rsidRDefault="000248FD" w:rsidP="000248FD">
      <w:pPr>
        <w:rPr>
          <w:sz w:val="24"/>
          <w:szCs w:val="24"/>
        </w:rPr>
      </w:pPr>
      <w:proofErr w:type="gramStart"/>
      <w:r w:rsidRPr="000248FD">
        <w:rPr>
          <w:rFonts w:hAnsi="Symbol"/>
          <w:sz w:val="24"/>
          <w:szCs w:val="24"/>
        </w:rPr>
        <w:t></w:t>
      </w:r>
      <w:r w:rsidRPr="000248FD">
        <w:rPr>
          <w:sz w:val="24"/>
          <w:szCs w:val="24"/>
        </w:rPr>
        <w:t xml:space="preserve">  DIFFERENT</w:t>
      </w:r>
      <w:proofErr w:type="gramEnd"/>
      <w:r w:rsidRPr="000248FD">
        <w:rPr>
          <w:sz w:val="24"/>
          <w:szCs w:val="24"/>
        </w:rPr>
        <w:t xml:space="preserve"> How addresses are used and managed are different </w:t>
      </w:r>
    </w:p>
    <w:p w14:paraId="624C97F1" w14:textId="77777777" w:rsidR="000248FD" w:rsidRPr="000248FD" w:rsidRDefault="000248FD" w:rsidP="000248FD">
      <w:pPr>
        <w:rPr>
          <w:sz w:val="24"/>
          <w:szCs w:val="24"/>
        </w:rPr>
      </w:pPr>
      <w:proofErr w:type="gramStart"/>
      <w:r w:rsidRPr="000248FD">
        <w:rPr>
          <w:rFonts w:hAnsi="Symbol"/>
          <w:sz w:val="24"/>
          <w:szCs w:val="24"/>
        </w:rPr>
        <w:t></w:t>
      </w:r>
      <w:r w:rsidRPr="000248FD">
        <w:rPr>
          <w:sz w:val="24"/>
          <w:szCs w:val="24"/>
        </w:rPr>
        <w:t xml:space="preserve">  DIFFERENT</w:t>
      </w:r>
      <w:proofErr w:type="gramEnd"/>
      <w:r w:rsidRPr="000248FD">
        <w:rPr>
          <w:sz w:val="24"/>
          <w:szCs w:val="24"/>
        </w:rPr>
        <w:t xml:space="preserve"> Global public addresses are the norm </w:t>
      </w:r>
    </w:p>
    <w:p w14:paraId="1AA16597" w14:textId="78300C89" w:rsidR="00CA41B1" w:rsidRDefault="000248FD" w:rsidP="000248FD">
      <w:pPr>
        <w:rPr>
          <w:sz w:val="24"/>
          <w:szCs w:val="24"/>
        </w:rPr>
      </w:pPr>
      <w:proofErr w:type="gramStart"/>
      <w:r w:rsidRPr="000248FD">
        <w:rPr>
          <w:rFonts w:hAnsi="Symbol"/>
          <w:sz w:val="24"/>
          <w:szCs w:val="24"/>
        </w:rPr>
        <w:t></w:t>
      </w:r>
      <w:r w:rsidRPr="000248FD">
        <w:rPr>
          <w:sz w:val="24"/>
          <w:szCs w:val="24"/>
        </w:rPr>
        <w:t xml:space="preserve">  </w:t>
      </w:r>
      <w:r>
        <w:rPr>
          <w:sz w:val="24"/>
          <w:szCs w:val="24"/>
        </w:rPr>
        <w:t>A</w:t>
      </w:r>
      <w:proofErr w:type="gramEnd"/>
      <w:r w:rsidRPr="000248FD">
        <w:rPr>
          <w:sz w:val="24"/>
          <w:szCs w:val="24"/>
        </w:rPr>
        <w:t xml:space="preserve"> huge number of addresses</w:t>
      </w:r>
    </w:p>
    <w:p w14:paraId="665DD489" w14:textId="38AF73D8" w:rsidR="005E4AE2" w:rsidRDefault="005E4AE2" w:rsidP="000248FD">
      <w:pPr>
        <w:rPr>
          <w:sz w:val="24"/>
          <w:szCs w:val="24"/>
        </w:rPr>
      </w:pPr>
    </w:p>
    <w:p w14:paraId="3DFC0AC6" w14:textId="7549D1DC" w:rsidR="005E4AE2" w:rsidRDefault="005E4AE2" w:rsidP="000248FD">
      <w:pPr>
        <w:rPr>
          <w:rFonts w:ascii="Arial" w:hAnsi="Arial" w:cs="Arial"/>
          <w:bCs/>
          <w:sz w:val="22"/>
          <w:szCs w:val="22"/>
        </w:rPr>
      </w:pPr>
      <w:r>
        <w:rPr>
          <w:sz w:val="24"/>
          <w:szCs w:val="24"/>
        </w:rPr>
        <w:t xml:space="preserve">Ultimately, the IPv6 is used primarily in modern networks, purely for its additional features, it provides a wealth of security measures, enabling the user to have more freedom </w:t>
      </w:r>
      <w:r w:rsidR="00EA25C8">
        <w:rPr>
          <w:sz w:val="24"/>
          <w:szCs w:val="24"/>
        </w:rPr>
        <w:t>within their network. However, there are still potential security risks which can be mitigated, using a range of techniques.</w:t>
      </w:r>
      <w:sdt>
        <w:sdtPr>
          <w:rPr>
            <w:sz w:val="24"/>
            <w:szCs w:val="24"/>
          </w:rPr>
          <w:id w:val="-34743449"/>
          <w:citation/>
        </w:sdtPr>
        <w:sdtContent>
          <w:r w:rsidR="00EA25C8">
            <w:rPr>
              <w:sz w:val="24"/>
              <w:szCs w:val="24"/>
            </w:rPr>
            <w:fldChar w:fldCharType="begin"/>
          </w:r>
          <w:r w:rsidR="00EA25C8">
            <w:rPr>
              <w:sz w:val="24"/>
              <w:szCs w:val="24"/>
            </w:rPr>
            <w:instrText xml:space="preserve"> CITATION Nat10 \l 2057  \m ByA14 \m Bob15 \m Bil14</w:instrText>
          </w:r>
          <w:r w:rsidR="00EA25C8">
            <w:rPr>
              <w:sz w:val="24"/>
              <w:szCs w:val="24"/>
            </w:rPr>
            <w:fldChar w:fldCharType="separate"/>
          </w:r>
          <w:r w:rsidR="00EA25C8">
            <w:rPr>
              <w:noProof/>
              <w:sz w:val="24"/>
              <w:szCs w:val="24"/>
            </w:rPr>
            <w:t xml:space="preserve"> </w:t>
          </w:r>
          <w:r w:rsidR="00EA25C8" w:rsidRPr="00EA25C8">
            <w:rPr>
              <w:noProof/>
              <w:sz w:val="24"/>
              <w:szCs w:val="24"/>
            </w:rPr>
            <w:t>[1, 2, 3, 4]</w:t>
          </w:r>
          <w:r w:rsidR="00EA25C8">
            <w:rPr>
              <w:sz w:val="24"/>
              <w:szCs w:val="24"/>
            </w:rPr>
            <w:fldChar w:fldCharType="end"/>
          </w:r>
        </w:sdtContent>
      </w:sdt>
    </w:p>
    <w:p w14:paraId="5593BB00" w14:textId="1F79CF5C" w:rsidR="00834A7D" w:rsidRDefault="00834A7D" w:rsidP="00834A7D">
      <w:pPr>
        <w:rPr>
          <w:rFonts w:ascii="Arial" w:hAnsi="Arial" w:cs="Arial"/>
          <w:bCs/>
          <w:sz w:val="22"/>
          <w:szCs w:val="22"/>
        </w:rPr>
      </w:pPr>
    </w:p>
    <w:sdt>
      <w:sdtPr>
        <w:id w:val="547338722"/>
        <w:docPartObj>
          <w:docPartGallery w:val="Bibliographies"/>
          <w:docPartUnique/>
        </w:docPartObj>
      </w:sdtPr>
      <w:sdtEndPr>
        <w:rPr>
          <w:b w:val="0"/>
          <w:sz w:val="20"/>
        </w:rPr>
      </w:sdtEndPr>
      <w:sdtContent>
        <w:p w14:paraId="6498A0BA" w14:textId="240C8B7B" w:rsidR="00834A7D" w:rsidRDefault="00834A7D">
          <w:pPr>
            <w:pStyle w:val="Heading1"/>
          </w:pPr>
          <w:r>
            <w:t>References</w:t>
          </w:r>
        </w:p>
        <w:sdt>
          <w:sdtPr>
            <w:id w:val="-573587230"/>
            <w:bibliography/>
          </w:sdtPr>
          <w:sdtContent>
            <w:p w14:paraId="66CF6C4D" w14:textId="77777777" w:rsidR="00834A7D" w:rsidRDefault="00834A7D">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9472"/>
              </w:tblGrid>
              <w:tr w:rsidR="00834A7D" w14:paraId="1B4082AA" w14:textId="77777777">
                <w:trPr>
                  <w:divId w:val="869755564"/>
                  <w:tblCellSpacing w:w="15" w:type="dxa"/>
                </w:trPr>
                <w:tc>
                  <w:tcPr>
                    <w:tcW w:w="50" w:type="pct"/>
                    <w:hideMark/>
                  </w:tcPr>
                  <w:p w14:paraId="7BDC42A2" w14:textId="43BA8D66" w:rsidR="00834A7D" w:rsidRDefault="00834A7D">
                    <w:pPr>
                      <w:pStyle w:val="Bibliography"/>
                      <w:rPr>
                        <w:noProof/>
                        <w:sz w:val="24"/>
                        <w:szCs w:val="24"/>
                      </w:rPr>
                    </w:pPr>
                    <w:r>
                      <w:rPr>
                        <w:noProof/>
                      </w:rPr>
                      <w:t xml:space="preserve">[1] </w:t>
                    </w:r>
                  </w:p>
                </w:tc>
                <w:tc>
                  <w:tcPr>
                    <w:tcW w:w="0" w:type="auto"/>
                    <w:hideMark/>
                  </w:tcPr>
                  <w:p w14:paraId="4BF5440D" w14:textId="77777777" w:rsidR="00834A7D" w:rsidRDefault="00834A7D">
                    <w:pPr>
                      <w:pStyle w:val="Bibliography"/>
                      <w:rPr>
                        <w:noProof/>
                      </w:rPr>
                    </w:pPr>
                    <w:r>
                      <w:rPr>
                        <w:noProof/>
                      </w:rPr>
                      <w:t xml:space="preserve">National Institute of Standards and Technology, Guidelines for the Secure Deployment of IPv6, Gaithersburg, &lt;D: U.S. Department of Commerce, 2010. </w:t>
                    </w:r>
                  </w:p>
                </w:tc>
              </w:tr>
              <w:tr w:rsidR="00834A7D" w14:paraId="55E90417" w14:textId="77777777">
                <w:trPr>
                  <w:divId w:val="869755564"/>
                  <w:tblCellSpacing w:w="15" w:type="dxa"/>
                </w:trPr>
                <w:tc>
                  <w:tcPr>
                    <w:tcW w:w="50" w:type="pct"/>
                    <w:hideMark/>
                  </w:tcPr>
                  <w:p w14:paraId="14E1625E" w14:textId="77777777" w:rsidR="00834A7D" w:rsidRDefault="00834A7D">
                    <w:pPr>
                      <w:pStyle w:val="Bibliography"/>
                      <w:rPr>
                        <w:noProof/>
                      </w:rPr>
                    </w:pPr>
                    <w:r>
                      <w:rPr>
                        <w:noProof/>
                      </w:rPr>
                      <w:t xml:space="preserve">[2] </w:t>
                    </w:r>
                  </w:p>
                </w:tc>
                <w:tc>
                  <w:tcPr>
                    <w:tcW w:w="0" w:type="auto"/>
                    <w:hideMark/>
                  </w:tcPr>
                  <w:p w14:paraId="258762E0" w14:textId="77777777" w:rsidR="00834A7D" w:rsidRDefault="00834A7D">
                    <w:pPr>
                      <w:pStyle w:val="Bibliography"/>
                      <w:rPr>
                        <w:noProof/>
                      </w:rPr>
                    </w:pPr>
                    <w:r>
                      <w:rPr>
                        <w:noProof/>
                      </w:rPr>
                      <w:t xml:space="preserve">B. A. Oliviero, Cabling Part 1: LAN Networks and Cabling Systems, Indianapolis, Indiana: John Wiley &amp; Sons. Inc, 2014. </w:t>
                    </w:r>
                  </w:p>
                </w:tc>
              </w:tr>
              <w:tr w:rsidR="00834A7D" w14:paraId="3EA99AA2" w14:textId="77777777">
                <w:trPr>
                  <w:divId w:val="869755564"/>
                  <w:tblCellSpacing w:w="15" w:type="dxa"/>
                </w:trPr>
                <w:tc>
                  <w:tcPr>
                    <w:tcW w:w="50" w:type="pct"/>
                    <w:hideMark/>
                  </w:tcPr>
                  <w:p w14:paraId="674EC297" w14:textId="77777777" w:rsidR="00834A7D" w:rsidRDefault="00834A7D">
                    <w:pPr>
                      <w:pStyle w:val="Bibliography"/>
                      <w:rPr>
                        <w:noProof/>
                      </w:rPr>
                    </w:pPr>
                    <w:r>
                      <w:rPr>
                        <w:noProof/>
                      </w:rPr>
                      <w:t xml:space="preserve">[3] </w:t>
                    </w:r>
                  </w:p>
                </w:tc>
                <w:tc>
                  <w:tcPr>
                    <w:tcW w:w="0" w:type="auto"/>
                    <w:hideMark/>
                  </w:tcPr>
                  <w:p w14:paraId="538C0BB2" w14:textId="77777777" w:rsidR="00834A7D" w:rsidRDefault="00834A7D">
                    <w:pPr>
                      <w:pStyle w:val="Bibliography"/>
                      <w:rPr>
                        <w:noProof/>
                      </w:rPr>
                    </w:pPr>
                    <w:r>
                      <w:rPr>
                        <w:noProof/>
                      </w:rPr>
                      <w:t xml:space="preserve">B. Sandberg, Networking The Complete Reference, Third Edition, McGraw-Hill Education., 2015. </w:t>
                    </w:r>
                  </w:p>
                </w:tc>
              </w:tr>
              <w:tr w:rsidR="00834A7D" w14:paraId="372CF84D" w14:textId="77777777">
                <w:trPr>
                  <w:divId w:val="869755564"/>
                  <w:tblCellSpacing w:w="15" w:type="dxa"/>
                </w:trPr>
                <w:tc>
                  <w:tcPr>
                    <w:tcW w:w="50" w:type="pct"/>
                    <w:hideMark/>
                  </w:tcPr>
                  <w:p w14:paraId="0B9E1312" w14:textId="77777777" w:rsidR="00834A7D" w:rsidRDefault="00834A7D">
                    <w:pPr>
                      <w:pStyle w:val="Bibliography"/>
                      <w:rPr>
                        <w:noProof/>
                      </w:rPr>
                    </w:pPr>
                    <w:r>
                      <w:rPr>
                        <w:noProof/>
                      </w:rPr>
                      <w:t xml:space="preserve">[4] </w:t>
                    </w:r>
                  </w:p>
                </w:tc>
                <w:tc>
                  <w:tcPr>
                    <w:tcW w:w="0" w:type="auto"/>
                    <w:hideMark/>
                  </w:tcPr>
                  <w:p w14:paraId="4A4E4153" w14:textId="77777777" w:rsidR="00834A7D" w:rsidRDefault="00834A7D">
                    <w:pPr>
                      <w:pStyle w:val="Bibliography"/>
                      <w:rPr>
                        <w:noProof/>
                      </w:rPr>
                    </w:pPr>
                    <w:r>
                      <w:rPr>
                        <w:noProof/>
                      </w:rPr>
                      <w:t xml:space="preserve">B. Woodward, Cabling: The Complete Guide to Copper and Fiber-Optic Networking, Indianapolis, Indiana: John Wiley &amp; Sons, Inc, 2014. </w:t>
                    </w:r>
                  </w:p>
                </w:tc>
              </w:tr>
            </w:tbl>
            <w:p w14:paraId="533E7212" w14:textId="77777777" w:rsidR="00834A7D" w:rsidRDefault="00834A7D">
              <w:pPr>
                <w:divId w:val="869755564"/>
                <w:rPr>
                  <w:noProof/>
                </w:rPr>
              </w:pPr>
            </w:p>
            <w:p w14:paraId="4E5AE09A" w14:textId="04935ABC" w:rsidR="00834A7D" w:rsidRDefault="00834A7D">
              <w:r>
                <w:rPr>
                  <w:b/>
                  <w:bCs/>
                  <w:noProof/>
                </w:rPr>
                <w:fldChar w:fldCharType="end"/>
              </w:r>
            </w:p>
          </w:sdtContent>
        </w:sdt>
      </w:sdtContent>
    </w:sdt>
    <w:p w14:paraId="1F14C687" w14:textId="77777777" w:rsidR="00834A7D" w:rsidRPr="00491907" w:rsidRDefault="00834A7D" w:rsidP="00834A7D">
      <w:pPr>
        <w:rPr>
          <w:rFonts w:ascii="Arial" w:hAnsi="Arial" w:cs="Arial"/>
          <w:bCs/>
          <w:sz w:val="22"/>
          <w:szCs w:val="22"/>
        </w:rPr>
      </w:pPr>
      <w:bookmarkStart w:id="0" w:name="_GoBack"/>
      <w:bookmarkEnd w:id="0"/>
    </w:p>
    <w:sectPr w:rsidR="00834A7D" w:rsidRPr="00491907"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58631" w14:textId="77777777" w:rsidR="00DC2EF1" w:rsidRDefault="00DC2EF1">
      <w:r>
        <w:separator/>
      </w:r>
    </w:p>
  </w:endnote>
  <w:endnote w:type="continuationSeparator" w:id="0">
    <w:p w14:paraId="7B26525A" w14:textId="77777777" w:rsidR="00DC2EF1" w:rsidRDefault="00DC2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FF997" w14:textId="77777777" w:rsidR="00DC2EF1" w:rsidRDefault="00DC2EF1">
      <w:r>
        <w:separator/>
      </w:r>
    </w:p>
  </w:footnote>
  <w:footnote w:type="continuationSeparator" w:id="0">
    <w:p w14:paraId="5739883A" w14:textId="77777777" w:rsidR="00DC2EF1" w:rsidRDefault="00DC2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48FD"/>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5D03"/>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1907"/>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4AE2"/>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25F1"/>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4A7D"/>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19A"/>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A41B1"/>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2EF1"/>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A25C8"/>
    <w:rsid w:val="00EB0EB8"/>
    <w:rsid w:val="00EB3C38"/>
    <w:rsid w:val="00EC3296"/>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customStyle="1" w:styleId="Heading1Char">
    <w:name w:val="Heading 1 Char"/>
    <w:basedOn w:val="DefaultParagraphFont"/>
    <w:link w:val="Heading1"/>
    <w:uiPriority w:val="9"/>
    <w:rsid w:val="00834A7D"/>
    <w:rPr>
      <w:b/>
      <w:sz w:val="36"/>
      <w:shd w:val="pct15" w:color="auto" w:fill="auto"/>
      <w:lang w:eastAsia="en-GB"/>
    </w:rPr>
  </w:style>
  <w:style w:type="paragraph" w:styleId="Bibliography">
    <w:name w:val="Bibliography"/>
    <w:basedOn w:val="Normal"/>
    <w:next w:val="Normal"/>
    <w:uiPriority w:val="37"/>
    <w:unhideWhenUsed/>
    <w:rsid w:val="00834A7D"/>
  </w:style>
  <w:style w:type="character" w:customStyle="1" w:styleId="label">
    <w:name w:val="label"/>
    <w:basedOn w:val="DefaultParagraphFont"/>
    <w:rsid w:val="00024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19094650">
      <w:bodyDiv w:val="1"/>
      <w:marLeft w:val="0"/>
      <w:marRight w:val="0"/>
      <w:marTop w:val="0"/>
      <w:marBottom w:val="0"/>
      <w:divBdr>
        <w:top w:val="none" w:sz="0" w:space="0" w:color="auto"/>
        <w:left w:val="none" w:sz="0" w:space="0" w:color="auto"/>
        <w:bottom w:val="none" w:sz="0" w:space="0" w:color="auto"/>
        <w:right w:val="none" w:sz="0" w:space="0" w:color="auto"/>
      </w:divBdr>
    </w:div>
    <w:div w:id="130489561">
      <w:bodyDiv w:val="1"/>
      <w:marLeft w:val="0"/>
      <w:marRight w:val="0"/>
      <w:marTop w:val="0"/>
      <w:marBottom w:val="0"/>
      <w:divBdr>
        <w:top w:val="none" w:sz="0" w:space="0" w:color="auto"/>
        <w:left w:val="none" w:sz="0" w:space="0" w:color="auto"/>
        <w:bottom w:val="none" w:sz="0" w:space="0" w:color="auto"/>
        <w:right w:val="none" w:sz="0" w:space="0" w:color="auto"/>
      </w:divBdr>
    </w:div>
    <w:div w:id="144708555">
      <w:bodyDiv w:val="1"/>
      <w:marLeft w:val="0"/>
      <w:marRight w:val="0"/>
      <w:marTop w:val="0"/>
      <w:marBottom w:val="0"/>
      <w:divBdr>
        <w:top w:val="none" w:sz="0" w:space="0" w:color="auto"/>
        <w:left w:val="none" w:sz="0" w:space="0" w:color="auto"/>
        <w:bottom w:val="none" w:sz="0" w:space="0" w:color="auto"/>
        <w:right w:val="none" w:sz="0" w:space="0" w:color="auto"/>
      </w:divBdr>
    </w:div>
    <w:div w:id="225729430">
      <w:bodyDiv w:val="1"/>
      <w:marLeft w:val="0"/>
      <w:marRight w:val="0"/>
      <w:marTop w:val="0"/>
      <w:marBottom w:val="0"/>
      <w:divBdr>
        <w:top w:val="none" w:sz="0" w:space="0" w:color="auto"/>
        <w:left w:val="none" w:sz="0" w:space="0" w:color="auto"/>
        <w:bottom w:val="none" w:sz="0" w:space="0" w:color="auto"/>
        <w:right w:val="none" w:sz="0" w:space="0" w:color="auto"/>
      </w:divBdr>
    </w:div>
    <w:div w:id="377314527">
      <w:bodyDiv w:val="1"/>
      <w:marLeft w:val="0"/>
      <w:marRight w:val="0"/>
      <w:marTop w:val="0"/>
      <w:marBottom w:val="0"/>
      <w:divBdr>
        <w:top w:val="none" w:sz="0" w:space="0" w:color="auto"/>
        <w:left w:val="none" w:sz="0" w:space="0" w:color="auto"/>
        <w:bottom w:val="none" w:sz="0" w:space="0" w:color="auto"/>
        <w:right w:val="none" w:sz="0" w:space="0" w:color="auto"/>
      </w:divBdr>
    </w:div>
    <w:div w:id="469518687">
      <w:bodyDiv w:val="1"/>
      <w:marLeft w:val="0"/>
      <w:marRight w:val="0"/>
      <w:marTop w:val="0"/>
      <w:marBottom w:val="0"/>
      <w:divBdr>
        <w:top w:val="none" w:sz="0" w:space="0" w:color="auto"/>
        <w:left w:val="none" w:sz="0" w:space="0" w:color="auto"/>
        <w:bottom w:val="none" w:sz="0" w:space="0" w:color="auto"/>
        <w:right w:val="none" w:sz="0" w:space="0" w:color="auto"/>
      </w:divBdr>
    </w:div>
    <w:div w:id="486555612">
      <w:bodyDiv w:val="1"/>
      <w:marLeft w:val="0"/>
      <w:marRight w:val="0"/>
      <w:marTop w:val="0"/>
      <w:marBottom w:val="0"/>
      <w:divBdr>
        <w:top w:val="none" w:sz="0" w:space="0" w:color="auto"/>
        <w:left w:val="none" w:sz="0" w:space="0" w:color="auto"/>
        <w:bottom w:val="none" w:sz="0" w:space="0" w:color="auto"/>
        <w:right w:val="none" w:sz="0" w:space="0" w:color="auto"/>
      </w:divBdr>
    </w:div>
    <w:div w:id="540677178">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707340663">
      <w:bodyDiv w:val="1"/>
      <w:marLeft w:val="0"/>
      <w:marRight w:val="0"/>
      <w:marTop w:val="0"/>
      <w:marBottom w:val="0"/>
      <w:divBdr>
        <w:top w:val="none" w:sz="0" w:space="0" w:color="auto"/>
        <w:left w:val="none" w:sz="0" w:space="0" w:color="auto"/>
        <w:bottom w:val="none" w:sz="0" w:space="0" w:color="auto"/>
        <w:right w:val="none" w:sz="0" w:space="0" w:color="auto"/>
      </w:divBdr>
    </w:div>
    <w:div w:id="770708296">
      <w:bodyDiv w:val="1"/>
      <w:marLeft w:val="0"/>
      <w:marRight w:val="0"/>
      <w:marTop w:val="0"/>
      <w:marBottom w:val="0"/>
      <w:divBdr>
        <w:top w:val="none" w:sz="0" w:space="0" w:color="auto"/>
        <w:left w:val="none" w:sz="0" w:space="0" w:color="auto"/>
        <w:bottom w:val="none" w:sz="0" w:space="0" w:color="auto"/>
        <w:right w:val="none" w:sz="0" w:space="0" w:color="auto"/>
      </w:divBdr>
    </w:div>
    <w:div w:id="831599157">
      <w:bodyDiv w:val="1"/>
      <w:marLeft w:val="0"/>
      <w:marRight w:val="0"/>
      <w:marTop w:val="0"/>
      <w:marBottom w:val="0"/>
      <w:divBdr>
        <w:top w:val="none" w:sz="0" w:space="0" w:color="auto"/>
        <w:left w:val="none" w:sz="0" w:space="0" w:color="auto"/>
        <w:bottom w:val="none" w:sz="0" w:space="0" w:color="auto"/>
        <w:right w:val="none" w:sz="0" w:space="0" w:color="auto"/>
      </w:divBdr>
    </w:div>
    <w:div w:id="858929676">
      <w:bodyDiv w:val="1"/>
      <w:marLeft w:val="0"/>
      <w:marRight w:val="0"/>
      <w:marTop w:val="0"/>
      <w:marBottom w:val="0"/>
      <w:divBdr>
        <w:top w:val="none" w:sz="0" w:space="0" w:color="auto"/>
        <w:left w:val="none" w:sz="0" w:space="0" w:color="auto"/>
        <w:bottom w:val="none" w:sz="0" w:space="0" w:color="auto"/>
        <w:right w:val="none" w:sz="0" w:space="0" w:color="auto"/>
      </w:divBdr>
    </w:div>
    <w:div w:id="863128699">
      <w:bodyDiv w:val="1"/>
      <w:marLeft w:val="0"/>
      <w:marRight w:val="0"/>
      <w:marTop w:val="0"/>
      <w:marBottom w:val="0"/>
      <w:divBdr>
        <w:top w:val="none" w:sz="0" w:space="0" w:color="auto"/>
        <w:left w:val="none" w:sz="0" w:space="0" w:color="auto"/>
        <w:bottom w:val="none" w:sz="0" w:space="0" w:color="auto"/>
        <w:right w:val="none" w:sz="0" w:space="0" w:color="auto"/>
      </w:divBdr>
    </w:div>
    <w:div w:id="869755564">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51364708">
      <w:bodyDiv w:val="1"/>
      <w:marLeft w:val="0"/>
      <w:marRight w:val="0"/>
      <w:marTop w:val="0"/>
      <w:marBottom w:val="0"/>
      <w:divBdr>
        <w:top w:val="none" w:sz="0" w:space="0" w:color="auto"/>
        <w:left w:val="none" w:sz="0" w:space="0" w:color="auto"/>
        <w:bottom w:val="none" w:sz="0" w:space="0" w:color="auto"/>
        <w:right w:val="none" w:sz="0" w:space="0" w:color="auto"/>
      </w:divBdr>
    </w:div>
    <w:div w:id="1203592014">
      <w:bodyDiv w:val="1"/>
      <w:marLeft w:val="0"/>
      <w:marRight w:val="0"/>
      <w:marTop w:val="0"/>
      <w:marBottom w:val="0"/>
      <w:divBdr>
        <w:top w:val="none" w:sz="0" w:space="0" w:color="auto"/>
        <w:left w:val="none" w:sz="0" w:space="0" w:color="auto"/>
        <w:bottom w:val="none" w:sz="0" w:space="0" w:color="auto"/>
        <w:right w:val="none" w:sz="0" w:space="0" w:color="auto"/>
      </w:divBdr>
    </w:div>
    <w:div w:id="1268998405">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52356479">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67163254">
      <w:bodyDiv w:val="1"/>
      <w:marLeft w:val="0"/>
      <w:marRight w:val="0"/>
      <w:marTop w:val="0"/>
      <w:marBottom w:val="0"/>
      <w:divBdr>
        <w:top w:val="none" w:sz="0" w:space="0" w:color="auto"/>
        <w:left w:val="none" w:sz="0" w:space="0" w:color="auto"/>
        <w:bottom w:val="none" w:sz="0" w:space="0" w:color="auto"/>
        <w:right w:val="none" w:sz="0" w:space="0" w:color="auto"/>
      </w:divBdr>
    </w:div>
    <w:div w:id="1486388527">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12661572">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2076315425">
      <w:bodyDiv w:val="1"/>
      <w:marLeft w:val="0"/>
      <w:marRight w:val="0"/>
      <w:marTop w:val="0"/>
      <w:marBottom w:val="0"/>
      <w:divBdr>
        <w:top w:val="none" w:sz="0" w:space="0" w:color="auto"/>
        <w:left w:val="none" w:sz="0" w:space="0" w:color="auto"/>
        <w:bottom w:val="none" w:sz="0" w:space="0" w:color="auto"/>
        <w:right w:val="none" w:sz="0" w:space="0" w:color="auto"/>
      </w:divBdr>
    </w:div>
    <w:div w:id="2125073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Nat10</b:Tag>
    <b:SourceType>Book</b:SourceType>
    <b:Guid>{2687D962-6B7E-472A-B986-CA6FE6553988}</b:Guid>
    <b:Author>
      <b:Author>
        <b:Corporate>National Institute of Standards and Technology</b:Corporate>
      </b:Author>
    </b:Author>
    <b:Title>Guidelines for the Secure Deployment of IPv6</b:Title>
    <b:Year>2010</b:Year>
    <b:City>Gaithersburg, &lt;D</b:City>
    <b:Publisher>U.S. Department of Commerce</b:Publisher>
    <b:RefOrder>1</b:RefOrder>
  </b:Source>
  <b:Source>
    <b:Tag>ByA14</b:Tag>
    <b:SourceType>Book</b:SourceType>
    <b:Guid>{47EBDD7E-6027-47CD-9C24-C471287657BB}</b:Guid>
    <b:Author>
      <b:Author>
        <b:NameList>
          <b:Person>
            <b:Last>Oliviero</b:Last>
            <b:First>By</b:First>
            <b:Middle>Andrew</b:Middle>
          </b:Person>
        </b:NameList>
      </b:Author>
    </b:Author>
    <b:Title>Cabling Part 1: LAN Networks and Cabling Systems</b:Title>
    <b:Year>2014</b:Year>
    <b:City>Indianapolis, Indiana</b:City>
    <b:Publisher>John Wiley &amp; Sons. Inc</b:Publisher>
    <b:RefOrder>2</b:RefOrder>
  </b:Source>
  <b:Source>
    <b:Tag>Bob15</b:Tag>
    <b:SourceType>Book</b:SourceType>
    <b:Guid>{324D89DF-D8FB-43C6-9207-999C128575E8}</b:Guid>
    <b:Author>
      <b:Author>
        <b:NameList>
          <b:Person>
            <b:Last>Sandberg</b:Last>
            <b:First>Bobbi</b:First>
          </b:Person>
        </b:NameList>
      </b:Author>
    </b:Author>
    <b:Title>Networking The Complete Reference, Third Edition</b:Title>
    <b:Year>2015</b:Year>
    <b:Publisher>McGraw-Hill Education.</b:Publisher>
    <b:RefOrder>3</b:RefOrder>
  </b:Source>
  <b:Source>
    <b:Tag>Bil14</b:Tag>
    <b:SourceType>Book</b:SourceType>
    <b:Guid>{A5815DCC-1011-4863-B503-8A63483537E0}</b:Guid>
    <b:Author>
      <b:Author>
        <b:NameList>
          <b:Person>
            <b:Last>Woodward</b:Last>
            <b:First>Bill</b:First>
          </b:Person>
        </b:NameList>
      </b:Author>
    </b:Author>
    <b:Title>Cabling: The Complete Guide to Copper and Fiber-Optic Networking</b:Title>
    <b:Year>2014</b:Year>
    <b:City>Indianapolis, Indiana</b:City>
    <b:Publisher>John Wiley &amp; Sons, Inc</b:Publisher>
    <b:RefOrder>4</b:RefOrder>
  </b:Source>
</b:Sources>
</file>

<file path=customXml/itemProps1.xml><?xml version="1.0" encoding="utf-8"?>
<ds:datastoreItem xmlns:ds="http://schemas.openxmlformats.org/officeDocument/2006/customXml" ds:itemID="{29299ED5-F79A-431B-87F6-5F7D83D53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35</TotalTime>
  <Pages>4</Pages>
  <Words>669</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4475</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max lord</cp:lastModifiedBy>
  <cp:revision>6</cp:revision>
  <cp:lastPrinted>2014-11-07T14:47:00Z</cp:lastPrinted>
  <dcterms:created xsi:type="dcterms:W3CDTF">2019-12-12T15:21:00Z</dcterms:created>
  <dcterms:modified xsi:type="dcterms:W3CDTF">2019-12-12T23:48:00Z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