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0C22C" w14:textId="6A8FA7B7" w:rsidR="00B02012" w:rsidRDefault="0005777D" w:rsidP="00342E07">
      <w:pPr>
        <w:spacing w:line="360" w:lineRule="auto"/>
        <w:rPr>
          <w:lang w:val="en-US"/>
        </w:rPr>
      </w:pPr>
      <w:r>
        <w:rPr>
          <w:lang w:val="en-US"/>
        </w:rPr>
        <w:t>“It is clear that there are four kinds of monk. The first kind are the Cenobites, that is the ‘monastery’ kind, who do battle under a Rule and an Abbot. Then the second kind are the Anchorites or Hermits: these are they who are no longer in the first fervor of their religious life but have bene tested for a long time in the monastery and have learnt, with the assistance of many brothers, how to do battle against the devil, and now, well equipped to leave the fraternal battle-line for the solitary combat of the desert, they are strong enough to do battle against the vices of the body and the mind on their own, with their own resources, relying on God’s aid, but now without the support of anyone else.”</w:t>
      </w:r>
      <w:r>
        <w:rPr>
          <w:rStyle w:val="FootnoteReference"/>
          <w:lang w:val="en-US"/>
        </w:rPr>
        <w:footnoteReference w:id="1"/>
      </w:r>
    </w:p>
    <w:p w14:paraId="49744EDF" w14:textId="272ADC3E" w:rsidR="0057750E" w:rsidRDefault="0057750E" w:rsidP="00342E07">
      <w:pPr>
        <w:spacing w:line="360" w:lineRule="auto"/>
        <w:ind w:firstLine="720"/>
        <w:rPr>
          <w:lang w:val="en-US"/>
        </w:rPr>
      </w:pPr>
      <w:r w:rsidRPr="002E1886">
        <w:rPr>
          <w:i/>
          <w:iCs/>
          <w:lang w:val="en-US"/>
        </w:rPr>
        <w:t>The Rule of Saint Benedict</w:t>
      </w:r>
      <w:r>
        <w:rPr>
          <w:lang w:val="en-US"/>
        </w:rPr>
        <w:t xml:space="preserve"> (</w:t>
      </w:r>
      <w:r w:rsidR="00642696">
        <w:rPr>
          <w:lang w:val="en-US"/>
        </w:rPr>
        <w:t>h</w:t>
      </w:r>
      <w:r>
        <w:rPr>
          <w:lang w:val="en-US"/>
        </w:rPr>
        <w:t xml:space="preserve">enceforth referred to as </w:t>
      </w:r>
      <w:r w:rsidRPr="002E1886">
        <w:rPr>
          <w:i/>
          <w:iCs/>
          <w:lang w:val="en-US"/>
        </w:rPr>
        <w:t>The Rule</w:t>
      </w:r>
      <w:r>
        <w:rPr>
          <w:lang w:val="en-US"/>
        </w:rPr>
        <w:t>) was written by Benedict of Nursia</w:t>
      </w:r>
      <w:r w:rsidR="00A263AC">
        <w:rPr>
          <w:lang w:val="en-US"/>
        </w:rPr>
        <w:t xml:space="preserve"> (</w:t>
      </w:r>
      <w:r w:rsidR="00C33ECC">
        <w:rPr>
          <w:lang w:val="en-US"/>
        </w:rPr>
        <w:t>Saint</w:t>
      </w:r>
      <w:r w:rsidR="00A263AC">
        <w:rPr>
          <w:lang w:val="en-US"/>
        </w:rPr>
        <w:t xml:space="preserve"> Benedict)</w:t>
      </w:r>
      <w:r>
        <w:rPr>
          <w:lang w:val="en-US"/>
        </w:rPr>
        <w:t xml:space="preserve"> in </w:t>
      </w:r>
      <w:r w:rsidR="002E1886">
        <w:rPr>
          <w:lang w:val="en-US"/>
        </w:rPr>
        <w:t>529 and</w:t>
      </w:r>
      <w:r>
        <w:rPr>
          <w:lang w:val="en-US"/>
        </w:rPr>
        <w:t xml:space="preserve"> contains a set of guidelines or rules on how a monk should live their life.</w:t>
      </w:r>
      <w:r>
        <w:rPr>
          <w:rStyle w:val="FootnoteReference"/>
          <w:lang w:val="en-US"/>
        </w:rPr>
        <w:footnoteReference w:id="2"/>
      </w:r>
      <w:r>
        <w:rPr>
          <w:lang w:val="en-US"/>
        </w:rPr>
        <w:t xml:space="preserve"> </w:t>
      </w:r>
      <w:r w:rsidRPr="002E1886">
        <w:rPr>
          <w:i/>
          <w:iCs/>
          <w:lang w:val="en-US"/>
        </w:rPr>
        <w:t>The Rule</w:t>
      </w:r>
      <w:r>
        <w:rPr>
          <w:lang w:val="en-US"/>
        </w:rPr>
        <w:t xml:space="preserve"> can be regarded as one of the most important documents throughout all Christendom, as it was utilised not only by the Benedictine</w:t>
      </w:r>
      <w:r w:rsidR="006B687A">
        <w:rPr>
          <w:lang w:val="en-US"/>
        </w:rPr>
        <w:t xml:space="preserve"> order</w:t>
      </w:r>
      <w:r>
        <w:rPr>
          <w:lang w:val="en-US"/>
        </w:rPr>
        <w:t xml:space="preserve">, but also by </w:t>
      </w:r>
      <w:r w:rsidR="006B687A">
        <w:rPr>
          <w:lang w:val="en-US"/>
        </w:rPr>
        <w:t>the order’s</w:t>
      </w:r>
      <w:r>
        <w:rPr>
          <w:lang w:val="en-US"/>
        </w:rPr>
        <w:t xml:space="preserve"> many branches, including the </w:t>
      </w:r>
      <w:proofErr w:type="spellStart"/>
      <w:r>
        <w:rPr>
          <w:lang w:val="en-US"/>
        </w:rPr>
        <w:t>Camaldolese</w:t>
      </w:r>
      <w:proofErr w:type="spellEnd"/>
      <w:r w:rsidR="006B687A">
        <w:rPr>
          <w:lang w:val="en-US"/>
        </w:rPr>
        <w:t xml:space="preserve"> order, the Savigny order, and many others. </w:t>
      </w:r>
      <w:r w:rsidR="006B687A" w:rsidRPr="002E1886">
        <w:rPr>
          <w:i/>
          <w:iCs/>
          <w:lang w:val="en-US"/>
        </w:rPr>
        <w:t>The Rule</w:t>
      </w:r>
      <w:r w:rsidR="006B687A">
        <w:rPr>
          <w:lang w:val="en-US"/>
        </w:rPr>
        <w:t xml:space="preserve"> was influential in many monastic orders, setting the rules for how they should </w:t>
      </w:r>
      <w:r w:rsidR="00C33ECC">
        <w:rPr>
          <w:lang w:val="en-US"/>
        </w:rPr>
        <w:t>live their life</w:t>
      </w:r>
      <w:r w:rsidR="006B687A">
        <w:rPr>
          <w:lang w:val="en-US"/>
        </w:rPr>
        <w:t>, including sleeping arrangements, times of prayer and even what to expect should one make a mistake while reading the scriptures.</w:t>
      </w:r>
      <w:r w:rsidR="006B687A">
        <w:rPr>
          <w:rStyle w:val="FootnoteReference"/>
          <w:lang w:val="en-US"/>
        </w:rPr>
        <w:footnoteReference w:id="3"/>
      </w:r>
      <w:r w:rsidR="006B687A">
        <w:rPr>
          <w:lang w:val="en-US"/>
        </w:rPr>
        <w:t xml:space="preserve"> </w:t>
      </w:r>
      <w:r w:rsidR="006B687A" w:rsidRPr="002E1886">
        <w:rPr>
          <w:i/>
          <w:iCs/>
          <w:lang w:val="en-US"/>
        </w:rPr>
        <w:t>The Rule</w:t>
      </w:r>
      <w:r w:rsidR="006B687A">
        <w:rPr>
          <w:lang w:val="en-US"/>
        </w:rPr>
        <w:t xml:space="preserve"> focuses on establishing a life of hard work, dedication to the monastery and dedication to God. Some </w:t>
      </w:r>
      <w:r w:rsidR="00C33ECC">
        <w:rPr>
          <w:lang w:val="en-US"/>
        </w:rPr>
        <w:t xml:space="preserve">Benedictine </w:t>
      </w:r>
      <w:r w:rsidR="006B687A">
        <w:rPr>
          <w:lang w:val="en-US"/>
        </w:rPr>
        <w:t>foundations</w:t>
      </w:r>
      <w:r w:rsidR="00C33ECC">
        <w:rPr>
          <w:lang w:val="en-US"/>
        </w:rPr>
        <w:t>, such as the monastery at Cluny,</w:t>
      </w:r>
      <w:r w:rsidR="006B687A">
        <w:rPr>
          <w:lang w:val="en-US"/>
        </w:rPr>
        <w:t xml:space="preserve"> </w:t>
      </w:r>
      <w:r w:rsidR="00C33ECC">
        <w:rPr>
          <w:lang w:val="en-US"/>
        </w:rPr>
        <w:t>did</w:t>
      </w:r>
      <w:r w:rsidR="006B687A">
        <w:rPr>
          <w:lang w:val="en-US"/>
        </w:rPr>
        <w:t xml:space="preserve"> not ke</w:t>
      </w:r>
      <w:r w:rsidR="00C33ECC">
        <w:rPr>
          <w:lang w:val="en-US"/>
        </w:rPr>
        <w:t xml:space="preserve">ep </w:t>
      </w:r>
      <w:r w:rsidR="006B687A">
        <w:rPr>
          <w:lang w:val="en-US"/>
        </w:rPr>
        <w:t xml:space="preserve">explicitly to </w:t>
      </w:r>
      <w:r w:rsidR="006B687A" w:rsidRPr="002E1886">
        <w:rPr>
          <w:i/>
          <w:iCs/>
          <w:lang w:val="en-US"/>
        </w:rPr>
        <w:t>The Rule</w:t>
      </w:r>
      <w:r w:rsidR="006B687A">
        <w:rPr>
          <w:lang w:val="en-US"/>
        </w:rPr>
        <w:t xml:space="preserve"> which resulted in many branches of the order</w:t>
      </w:r>
      <w:r w:rsidR="00C33ECC">
        <w:rPr>
          <w:lang w:val="en-US"/>
        </w:rPr>
        <w:t xml:space="preserve"> </w:t>
      </w:r>
      <w:r w:rsidR="006B687A">
        <w:rPr>
          <w:lang w:val="en-US"/>
        </w:rPr>
        <w:t>being created. Perhaps the most famous of this is the Cistercian order which was created when Robert of Molesme left the</w:t>
      </w:r>
      <w:r w:rsidR="00C33ECC">
        <w:rPr>
          <w:lang w:val="en-US"/>
        </w:rPr>
        <w:t xml:space="preserve"> Cluniac</w:t>
      </w:r>
      <w:r w:rsidR="006B687A">
        <w:rPr>
          <w:lang w:val="en-US"/>
        </w:rPr>
        <w:t xml:space="preserve"> abbey at Molesme because </w:t>
      </w:r>
      <w:r w:rsidR="002E1886" w:rsidRPr="002E1886">
        <w:rPr>
          <w:i/>
          <w:iCs/>
          <w:lang w:val="en-US"/>
        </w:rPr>
        <w:t>The Rule</w:t>
      </w:r>
      <w:r w:rsidR="006B687A">
        <w:rPr>
          <w:lang w:val="en-US"/>
        </w:rPr>
        <w:t xml:space="preserve"> was not being followed as much as he felt was necessary to live a holy life. Robert left Molesme to </w:t>
      </w:r>
      <w:proofErr w:type="gramStart"/>
      <w:r w:rsidR="006B687A">
        <w:rPr>
          <w:lang w:val="en-US"/>
        </w:rPr>
        <w:t>found</w:t>
      </w:r>
      <w:proofErr w:type="gramEnd"/>
      <w:r w:rsidR="006B687A">
        <w:rPr>
          <w:lang w:val="en-US"/>
        </w:rPr>
        <w:t xml:space="preserve"> the Cistercian order at Citeaux. Citeaux was founded as a Cenobitic monastery, with a focus on hard work and dedication to God. </w:t>
      </w:r>
    </w:p>
    <w:p w14:paraId="731FD795" w14:textId="41B6724E" w:rsidR="0036102A" w:rsidRPr="0036102A" w:rsidRDefault="006B687A" w:rsidP="00342E07">
      <w:pPr>
        <w:spacing w:line="360" w:lineRule="auto"/>
        <w:ind w:firstLine="720"/>
        <w:rPr>
          <w:lang w:val="en-US"/>
        </w:rPr>
      </w:pPr>
      <w:r>
        <w:rPr>
          <w:lang w:val="en-US"/>
        </w:rPr>
        <w:t xml:space="preserve">The Cenobites are one of the four types of monk </w:t>
      </w:r>
      <w:r w:rsidR="002E1886">
        <w:rPr>
          <w:lang w:val="en-US"/>
        </w:rPr>
        <w:t xml:space="preserve">as declared by </w:t>
      </w:r>
      <w:r w:rsidR="00C33ECC">
        <w:rPr>
          <w:lang w:val="en-US"/>
        </w:rPr>
        <w:t>Saint</w:t>
      </w:r>
      <w:r w:rsidR="002E1886">
        <w:rPr>
          <w:lang w:val="en-US"/>
        </w:rPr>
        <w:t xml:space="preserve"> Benedict in the first chapter of the Rule. The four types are the Cenobites, the Anchorites or the Hermits, the Sarabaites and the Wanderers</w:t>
      </w:r>
      <w:r w:rsidR="002711C5">
        <w:rPr>
          <w:lang w:val="en-US"/>
        </w:rPr>
        <w:t xml:space="preserve"> (Sometimes referred to as </w:t>
      </w:r>
      <w:proofErr w:type="spellStart"/>
      <w:r w:rsidR="002711C5">
        <w:rPr>
          <w:lang w:val="en-US"/>
        </w:rPr>
        <w:t>Gyrovagues</w:t>
      </w:r>
      <w:proofErr w:type="spellEnd"/>
      <w:r w:rsidR="002711C5">
        <w:rPr>
          <w:lang w:val="en-US"/>
        </w:rPr>
        <w:t>)</w:t>
      </w:r>
      <w:r w:rsidR="002E1886">
        <w:rPr>
          <w:lang w:val="en-US"/>
        </w:rPr>
        <w:t xml:space="preserve">. </w:t>
      </w:r>
      <w:r w:rsidR="00C33ECC">
        <w:rPr>
          <w:lang w:val="en-US"/>
        </w:rPr>
        <w:t xml:space="preserve">In chapter one of </w:t>
      </w:r>
      <w:r w:rsidR="00C33ECC">
        <w:rPr>
          <w:i/>
          <w:iCs/>
          <w:lang w:val="en-US"/>
        </w:rPr>
        <w:t xml:space="preserve">The Rule </w:t>
      </w:r>
      <w:r w:rsidR="00C33ECC">
        <w:rPr>
          <w:lang w:val="en-US"/>
        </w:rPr>
        <w:t xml:space="preserve">Saint </w:t>
      </w:r>
      <w:r w:rsidR="002E1886" w:rsidRPr="00C33ECC">
        <w:rPr>
          <w:lang w:val="en-US"/>
        </w:rPr>
        <w:t>Benedict</w:t>
      </w:r>
      <w:r w:rsidR="002E1886">
        <w:rPr>
          <w:lang w:val="en-US"/>
        </w:rPr>
        <w:t xml:space="preserve"> outlines the four types and their distinguishing features. Firstly, the Cenobites. The origin of the term cenobite can be traced to the Greek words </w:t>
      </w:r>
      <w:proofErr w:type="spellStart"/>
      <w:r w:rsidR="002E1886" w:rsidRPr="002E1886">
        <w:rPr>
          <w:i/>
          <w:iCs/>
          <w:lang w:val="en-US"/>
        </w:rPr>
        <w:t>koin</w:t>
      </w:r>
      <w:proofErr w:type="spellEnd"/>
      <w:r w:rsidR="002E1886">
        <w:rPr>
          <w:lang w:val="en-US"/>
        </w:rPr>
        <w:t xml:space="preserve"> and </w:t>
      </w:r>
      <w:r w:rsidR="002E1886" w:rsidRPr="002E1886">
        <w:rPr>
          <w:i/>
          <w:iCs/>
          <w:lang w:val="en-US"/>
        </w:rPr>
        <w:t>bios</w:t>
      </w:r>
      <w:r w:rsidR="002E1886">
        <w:rPr>
          <w:lang w:val="en-US"/>
        </w:rPr>
        <w:t xml:space="preserve"> meaning common and life respectively.</w:t>
      </w:r>
      <w:r w:rsidR="002E1886">
        <w:rPr>
          <w:rStyle w:val="FootnoteReference"/>
          <w:lang w:val="en-US"/>
        </w:rPr>
        <w:footnoteReference w:id="4"/>
      </w:r>
      <w:r w:rsidR="002E1886">
        <w:rPr>
          <w:lang w:val="en-US"/>
        </w:rPr>
        <w:t xml:space="preserve"> Cenobites were monks that lived together, slept in the same room and ate together. This way of life adhered to </w:t>
      </w:r>
      <w:r w:rsidR="002E1886" w:rsidRPr="002E1886">
        <w:rPr>
          <w:i/>
          <w:iCs/>
          <w:lang w:val="en-US"/>
        </w:rPr>
        <w:t>The Rule</w:t>
      </w:r>
      <w:r w:rsidR="00A263AC">
        <w:rPr>
          <w:i/>
          <w:iCs/>
          <w:lang w:val="en-US"/>
        </w:rPr>
        <w:t xml:space="preserve">. </w:t>
      </w:r>
      <w:r w:rsidR="0036102A">
        <w:rPr>
          <w:lang w:val="en-US"/>
        </w:rPr>
        <w:t xml:space="preserve">Another type of monk who once lived in a monastery is the Anchorite or Hermit. This is a monk who has decided to go out into the world and live in solitary. </w:t>
      </w:r>
      <w:r w:rsidR="00C33ECC">
        <w:rPr>
          <w:lang w:val="en-US"/>
        </w:rPr>
        <w:t>Saint</w:t>
      </w:r>
      <w:r w:rsidR="0036102A">
        <w:rPr>
          <w:lang w:val="en-US"/>
        </w:rPr>
        <w:t xml:space="preserve"> Benedict regards these</w:t>
      </w:r>
      <w:r w:rsidR="0029324C">
        <w:rPr>
          <w:lang w:val="en-US"/>
        </w:rPr>
        <w:t xml:space="preserve"> as among</w:t>
      </w:r>
      <w:r w:rsidR="0036102A">
        <w:rPr>
          <w:lang w:val="en-US"/>
        </w:rPr>
        <w:t xml:space="preserve"> the strongest of the monks as “They have learnt the way of </w:t>
      </w:r>
      <w:r w:rsidR="0036102A">
        <w:rPr>
          <w:lang w:val="en-US"/>
        </w:rPr>
        <w:lastRenderedPageBreak/>
        <w:t>the monk and are strong enough to go out on their own”</w:t>
      </w:r>
      <w:r w:rsidR="0036102A">
        <w:rPr>
          <w:rStyle w:val="FootnoteReference"/>
          <w:lang w:val="en-US"/>
        </w:rPr>
        <w:footnoteReference w:id="5"/>
      </w:r>
      <w:r w:rsidR="0036102A">
        <w:rPr>
          <w:lang w:val="en-US"/>
        </w:rPr>
        <w:t xml:space="preserve"> It was important to </w:t>
      </w:r>
      <w:r w:rsidR="00C33ECC">
        <w:rPr>
          <w:lang w:val="en-US"/>
        </w:rPr>
        <w:t>Saint</w:t>
      </w:r>
      <w:r w:rsidR="0036102A">
        <w:rPr>
          <w:lang w:val="en-US"/>
        </w:rPr>
        <w:t xml:space="preserve"> Benedict however that </w:t>
      </w:r>
      <w:r w:rsidR="004C72E7">
        <w:rPr>
          <w:lang w:val="en-US"/>
        </w:rPr>
        <w:t>a</w:t>
      </w:r>
      <w:r w:rsidR="0036102A">
        <w:rPr>
          <w:lang w:val="en-US"/>
        </w:rPr>
        <w:t xml:space="preserve"> monk live</w:t>
      </w:r>
      <w:r w:rsidR="004C72E7">
        <w:rPr>
          <w:lang w:val="en-US"/>
        </w:rPr>
        <w:t>s</w:t>
      </w:r>
      <w:r w:rsidR="0036102A">
        <w:rPr>
          <w:lang w:val="en-US"/>
        </w:rPr>
        <w:t xml:space="preserve"> a Cenobitic life first, as it was only with the help of “many brothers” that a monk can learn “how to do battle against the devil”</w:t>
      </w:r>
      <w:r w:rsidR="0036102A">
        <w:rPr>
          <w:rStyle w:val="FootnoteReference"/>
          <w:lang w:val="en-US"/>
        </w:rPr>
        <w:footnoteReference w:id="6"/>
      </w:r>
      <w:r w:rsidR="0029324C">
        <w:rPr>
          <w:lang w:val="en-US"/>
        </w:rPr>
        <w:t xml:space="preserve"> </w:t>
      </w:r>
    </w:p>
    <w:p w14:paraId="0E3B99C6" w14:textId="253750A3" w:rsidR="006B687A" w:rsidRDefault="00C33ECC" w:rsidP="00342E07">
      <w:pPr>
        <w:spacing w:line="360" w:lineRule="auto"/>
        <w:ind w:firstLine="720"/>
        <w:rPr>
          <w:lang w:val="en-US"/>
        </w:rPr>
      </w:pPr>
      <w:r>
        <w:rPr>
          <w:lang w:val="en-US"/>
        </w:rPr>
        <w:t>Saint</w:t>
      </w:r>
      <w:r w:rsidR="00A263AC">
        <w:rPr>
          <w:lang w:val="en-US"/>
        </w:rPr>
        <w:t xml:space="preserve"> Benedict regards </w:t>
      </w:r>
      <w:r w:rsidR="007557B0">
        <w:rPr>
          <w:lang w:val="en-US"/>
        </w:rPr>
        <w:t>the Cenobites as the most important and “the strongest kind of monk”</w:t>
      </w:r>
      <w:r w:rsidR="007557B0">
        <w:rPr>
          <w:rStyle w:val="FootnoteReference"/>
          <w:lang w:val="en-US"/>
        </w:rPr>
        <w:footnoteReference w:id="7"/>
      </w:r>
      <w:r w:rsidR="007557B0">
        <w:rPr>
          <w:lang w:val="en-US"/>
        </w:rPr>
        <w:t xml:space="preserve"> This could be as they live their life completely dedicated to God, living their life in a community of the same people. </w:t>
      </w:r>
      <w:r>
        <w:rPr>
          <w:lang w:val="en-US"/>
        </w:rPr>
        <w:t>Saint</w:t>
      </w:r>
      <w:r w:rsidR="007557B0">
        <w:rPr>
          <w:lang w:val="en-US"/>
        </w:rPr>
        <w:t xml:space="preserve"> Benedict describes the Cenobites as “doing battle under a Rule and an Abbot”</w:t>
      </w:r>
      <w:r w:rsidR="007557B0">
        <w:rPr>
          <w:rStyle w:val="FootnoteReference"/>
          <w:lang w:val="en-US"/>
        </w:rPr>
        <w:footnoteReference w:id="8"/>
      </w:r>
      <w:r w:rsidR="007557B0">
        <w:rPr>
          <w:lang w:val="en-US"/>
        </w:rPr>
        <w:t xml:space="preserve"> </w:t>
      </w:r>
      <w:r>
        <w:rPr>
          <w:lang w:val="en-US"/>
        </w:rPr>
        <w:t>Saint</w:t>
      </w:r>
      <w:r w:rsidR="007557B0">
        <w:rPr>
          <w:lang w:val="en-US"/>
        </w:rPr>
        <w:t xml:space="preserve"> Benedict refers to the different orders in militaristic terms regularly in this chapter, stating that the Anchorites “do battle against the devil”</w:t>
      </w:r>
      <w:r w:rsidR="007557B0">
        <w:rPr>
          <w:rStyle w:val="FootnoteReference"/>
          <w:lang w:val="en-US"/>
        </w:rPr>
        <w:footnoteReference w:id="9"/>
      </w:r>
      <w:r w:rsidR="007557B0">
        <w:rPr>
          <w:lang w:val="en-US"/>
        </w:rPr>
        <w:t xml:space="preserve"> and face the “solitary combat of the desert.”</w:t>
      </w:r>
      <w:r w:rsidR="007557B0">
        <w:rPr>
          <w:rStyle w:val="FootnoteReference"/>
          <w:lang w:val="en-US"/>
        </w:rPr>
        <w:footnoteReference w:id="10"/>
      </w:r>
      <w:r w:rsidR="007557B0">
        <w:rPr>
          <w:lang w:val="en-US"/>
        </w:rPr>
        <w:t xml:space="preserve"> The terms ‘battle’ and ‘combat’ present us with the image of a war going on, perhaps between a monk and the devil, or temptation, and conjures images of terrible difficulty. I believe this is the reason why </w:t>
      </w:r>
      <w:r>
        <w:rPr>
          <w:lang w:val="en-US"/>
        </w:rPr>
        <w:t>Saint</w:t>
      </w:r>
      <w:r w:rsidR="007557B0">
        <w:rPr>
          <w:lang w:val="en-US"/>
        </w:rPr>
        <w:t xml:space="preserve"> Benedict regards the Cenobites and the Anchorites as the most important types of monks and those who are most deserving of his praise. </w:t>
      </w:r>
      <w:r w:rsidR="00F042EA">
        <w:rPr>
          <w:lang w:val="en-US"/>
        </w:rPr>
        <w:t>They live their lives in battle with their temptations, living with like</w:t>
      </w:r>
      <w:r w:rsidR="004C72E7">
        <w:rPr>
          <w:lang w:val="en-US"/>
        </w:rPr>
        <w:t>-</w:t>
      </w:r>
      <w:r w:rsidR="00F042EA">
        <w:rPr>
          <w:lang w:val="en-US"/>
        </w:rPr>
        <w:t xml:space="preserve">minded individuals in a community who are able to help them to combat the devil. There are two other types of monks that although he recognizes, </w:t>
      </w:r>
      <w:r>
        <w:rPr>
          <w:lang w:val="en-US"/>
        </w:rPr>
        <w:t>Saint</w:t>
      </w:r>
      <w:r w:rsidR="00F042EA">
        <w:rPr>
          <w:lang w:val="en-US"/>
        </w:rPr>
        <w:t xml:space="preserve"> Benedict looks down upon: The Sarabaites and the Wanderers. </w:t>
      </w:r>
    </w:p>
    <w:p w14:paraId="57F6878C" w14:textId="3CCA1AF8" w:rsidR="002711C5" w:rsidRDefault="00B15881" w:rsidP="00342E07">
      <w:pPr>
        <w:spacing w:line="360" w:lineRule="auto"/>
        <w:ind w:firstLine="720"/>
        <w:rPr>
          <w:lang w:val="en-US"/>
        </w:rPr>
      </w:pPr>
      <w:r>
        <w:rPr>
          <w:lang w:val="en-US"/>
        </w:rPr>
        <w:t xml:space="preserve">The </w:t>
      </w:r>
      <w:r w:rsidR="00AE18A5">
        <w:rPr>
          <w:lang w:val="en-US"/>
        </w:rPr>
        <w:t>Sarabaites</w:t>
      </w:r>
      <w:r>
        <w:rPr>
          <w:lang w:val="en-US"/>
        </w:rPr>
        <w:t xml:space="preserve"> are those who have not lived under a </w:t>
      </w:r>
      <w:r w:rsidR="002711C5">
        <w:rPr>
          <w:lang w:val="en-US"/>
        </w:rPr>
        <w:t>R</w:t>
      </w:r>
      <w:r>
        <w:rPr>
          <w:lang w:val="en-US"/>
        </w:rPr>
        <w:t xml:space="preserve">ule or an abbot, instead choosing to spend their life “in two or </w:t>
      </w:r>
      <w:proofErr w:type="spellStart"/>
      <w:r>
        <w:rPr>
          <w:lang w:val="en-US"/>
        </w:rPr>
        <w:t>threes</w:t>
      </w:r>
      <w:proofErr w:type="spellEnd"/>
      <w:r>
        <w:rPr>
          <w:lang w:val="en-US"/>
        </w:rPr>
        <w:t xml:space="preserve"> or alone”</w:t>
      </w:r>
      <w:r>
        <w:rPr>
          <w:rStyle w:val="FootnoteReference"/>
          <w:lang w:val="en-US"/>
        </w:rPr>
        <w:footnoteReference w:id="11"/>
      </w:r>
      <w:r>
        <w:rPr>
          <w:lang w:val="en-US"/>
        </w:rPr>
        <w:t>, dedicating their life to God with a law which “consists of yielding to their desires.”</w:t>
      </w:r>
      <w:r>
        <w:rPr>
          <w:rStyle w:val="FootnoteReference"/>
          <w:lang w:val="en-US"/>
        </w:rPr>
        <w:footnoteReference w:id="12"/>
      </w:r>
      <w:r>
        <w:rPr>
          <w:lang w:val="en-US"/>
        </w:rPr>
        <w:t xml:space="preserve"> The </w:t>
      </w:r>
      <w:r w:rsidR="00AE18A5">
        <w:rPr>
          <w:lang w:val="en-US"/>
        </w:rPr>
        <w:t>Sarabaites</w:t>
      </w:r>
      <w:r>
        <w:rPr>
          <w:lang w:val="en-US"/>
        </w:rPr>
        <w:t xml:space="preserve"> “[have not] been taught by experience, but are like soft lead.”</w:t>
      </w:r>
      <w:r>
        <w:rPr>
          <w:rStyle w:val="FootnoteReference"/>
          <w:lang w:val="en-US"/>
        </w:rPr>
        <w:footnoteReference w:id="13"/>
      </w:r>
      <w:r>
        <w:rPr>
          <w:lang w:val="en-US"/>
        </w:rPr>
        <w:t xml:space="preserve"> Using lead to describe these monks tells us that they are malleable, and are easily influenced by temptations or evils. </w:t>
      </w:r>
      <w:r w:rsidR="002711C5">
        <w:rPr>
          <w:lang w:val="en-US"/>
        </w:rPr>
        <w:t>Both Emerson and Kr</w:t>
      </w:r>
      <w:r w:rsidR="00F66F75">
        <w:rPr>
          <w:lang w:val="en-US"/>
        </w:rPr>
        <w:t>ue</w:t>
      </w:r>
      <w:r w:rsidR="002711C5">
        <w:rPr>
          <w:lang w:val="en-US"/>
        </w:rPr>
        <w:t>ger</w:t>
      </w:r>
      <w:r w:rsidR="002711C5">
        <w:rPr>
          <w:rStyle w:val="FootnoteReference"/>
          <w:lang w:val="en-US"/>
        </w:rPr>
        <w:footnoteReference w:id="14"/>
      </w:r>
      <w:r w:rsidR="002711C5">
        <w:rPr>
          <w:lang w:val="en-US"/>
        </w:rPr>
        <w:t xml:space="preserve"> refer to the Sarabaites as “an eastern class”</w:t>
      </w:r>
      <w:r w:rsidR="00F66F75">
        <w:rPr>
          <w:lang w:val="en-US"/>
        </w:rPr>
        <w:t>.</w:t>
      </w:r>
      <w:r w:rsidR="002711C5">
        <w:rPr>
          <w:rStyle w:val="FootnoteReference"/>
          <w:lang w:val="en-US"/>
        </w:rPr>
        <w:footnoteReference w:id="15"/>
      </w:r>
      <w:r w:rsidR="00F66F75">
        <w:rPr>
          <w:lang w:val="en-US"/>
        </w:rPr>
        <w:t xml:space="preserve"> </w:t>
      </w:r>
      <w:r w:rsidR="00A0173B">
        <w:rPr>
          <w:lang w:val="en-US"/>
        </w:rPr>
        <w:t>The Sarabaites were likely</w:t>
      </w:r>
      <w:r w:rsidR="00F66F75">
        <w:rPr>
          <w:lang w:val="en-US"/>
        </w:rPr>
        <w:t xml:space="preserve"> a class of monk</w:t>
      </w:r>
      <w:r w:rsidR="00CE0FB6">
        <w:rPr>
          <w:lang w:val="en-US"/>
        </w:rPr>
        <w:t>, albeit without the name Sarabaites,</w:t>
      </w:r>
      <w:r w:rsidR="00F66F75">
        <w:rPr>
          <w:lang w:val="en-US"/>
        </w:rPr>
        <w:t xml:space="preserve"> that lived before Benedict and came from a place where monastic institutions were not prevalent.</w:t>
      </w:r>
      <w:r w:rsidR="00EA414F">
        <w:rPr>
          <w:lang w:val="en-US"/>
        </w:rPr>
        <w:t xml:space="preserve"> Therefore, perhaps it is not correct of </w:t>
      </w:r>
      <w:r w:rsidR="00C33ECC">
        <w:rPr>
          <w:lang w:val="en-US"/>
        </w:rPr>
        <w:t>Saint</w:t>
      </w:r>
      <w:r w:rsidR="00EA414F">
        <w:rPr>
          <w:lang w:val="en-US"/>
        </w:rPr>
        <w:t xml:space="preserve"> Benedict to look down upon these people, as they are still serving God, just in a way that reflects their beginnings.</w:t>
      </w:r>
    </w:p>
    <w:p w14:paraId="39CB85C3" w14:textId="3C697D9F" w:rsidR="00B15881" w:rsidRDefault="00B15881" w:rsidP="00342E07">
      <w:pPr>
        <w:spacing w:line="360" w:lineRule="auto"/>
        <w:ind w:firstLine="720"/>
        <w:rPr>
          <w:lang w:val="en-US"/>
        </w:rPr>
      </w:pPr>
      <w:r>
        <w:rPr>
          <w:lang w:val="en-US"/>
        </w:rPr>
        <w:lastRenderedPageBreak/>
        <w:t xml:space="preserve">Although these monks are considered below the Cenobites and the Anchorites, because they live outside of monastic control, they are still above the final group, the Wanderers. One of the key parts of </w:t>
      </w:r>
      <w:r w:rsidR="00A2636D" w:rsidRPr="00A2636D">
        <w:rPr>
          <w:i/>
          <w:iCs/>
          <w:lang w:val="en-US"/>
        </w:rPr>
        <w:t>The Rule</w:t>
      </w:r>
      <w:r>
        <w:rPr>
          <w:lang w:val="en-US"/>
        </w:rPr>
        <w:t xml:space="preserve"> is the dedication of yourself to stability, both to God and to a monastery. </w:t>
      </w:r>
      <w:r w:rsidR="00EA414F">
        <w:rPr>
          <w:lang w:val="en-US"/>
        </w:rPr>
        <w:t>The Wanderers do no such thing, instead choosing to “receive hospitality in the monastic cells of others for three or four days at a time.”</w:t>
      </w:r>
      <w:r w:rsidR="00EA414F">
        <w:rPr>
          <w:rStyle w:val="FootnoteReference"/>
          <w:lang w:val="en-US"/>
        </w:rPr>
        <w:footnoteReference w:id="16"/>
      </w:r>
      <w:r w:rsidR="00EA414F">
        <w:rPr>
          <w:lang w:val="en-US"/>
        </w:rPr>
        <w:t xml:space="preserve"> These monks “follow their own wills, enslaved by the attractions of gluttony.”</w:t>
      </w:r>
      <w:r w:rsidR="00EA414F">
        <w:rPr>
          <w:rStyle w:val="FootnoteReference"/>
          <w:lang w:val="en-US"/>
        </w:rPr>
        <w:footnoteReference w:id="17"/>
      </w:r>
      <w:r w:rsidR="00AE18A5">
        <w:rPr>
          <w:lang w:val="en-US"/>
        </w:rPr>
        <w:t xml:space="preserve"> </w:t>
      </w:r>
      <w:r w:rsidR="00C33ECC">
        <w:rPr>
          <w:lang w:val="en-US"/>
        </w:rPr>
        <w:t>Saint</w:t>
      </w:r>
      <w:r w:rsidR="00AE18A5">
        <w:rPr>
          <w:lang w:val="en-US"/>
        </w:rPr>
        <w:t xml:space="preserve"> Benedict probably did not like these monks as perhaps they went against God’s will, giving in</w:t>
      </w:r>
      <w:r w:rsidR="004C72E7">
        <w:rPr>
          <w:lang w:val="en-US"/>
        </w:rPr>
        <w:t xml:space="preserve"> </w:t>
      </w:r>
      <w:r w:rsidR="00AE18A5">
        <w:rPr>
          <w:lang w:val="en-US"/>
        </w:rPr>
        <w:t>to gluttony, one of the seven deadly sins. They also received meals from fellow monks and perhaps did not give enough in return.</w:t>
      </w:r>
      <w:r w:rsidR="004C72E7">
        <w:rPr>
          <w:lang w:val="en-US"/>
        </w:rPr>
        <w:t xml:space="preserve"> </w:t>
      </w:r>
    </w:p>
    <w:p w14:paraId="58F5BFA7" w14:textId="3DBA7ABA" w:rsidR="004C72E7" w:rsidRDefault="004C72E7" w:rsidP="00342E07">
      <w:pPr>
        <w:spacing w:line="360" w:lineRule="auto"/>
        <w:ind w:firstLine="720"/>
      </w:pPr>
      <w:r>
        <w:rPr>
          <w:lang w:val="en-US"/>
        </w:rPr>
        <w:t xml:space="preserve">It is clear that </w:t>
      </w:r>
      <w:r w:rsidR="00C33ECC">
        <w:rPr>
          <w:lang w:val="en-US"/>
        </w:rPr>
        <w:t>Saint</w:t>
      </w:r>
      <w:r>
        <w:rPr>
          <w:lang w:val="en-US"/>
        </w:rPr>
        <w:t xml:space="preserve"> Benedict believed that the Cenobites were the most important type of monk, choosing to live as one in Monte Cassino, and choosing to write</w:t>
      </w:r>
      <w:r>
        <w:t xml:space="preserve"> </w:t>
      </w:r>
      <w:r>
        <w:rPr>
          <w:i/>
          <w:iCs/>
        </w:rPr>
        <w:t>The Rule</w:t>
      </w:r>
      <w:r>
        <w:t xml:space="preserve"> for the cenobitic monks</w:t>
      </w:r>
      <w:r w:rsidR="00B82635">
        <w:t xml:space="preserve">. </w:t>
      </w:r>
    </w:p>
    <w:p w14:paraId="3603056A" w14:textId="2CF3972A" w:rsidR="00DC6D27" w:rsidRDefault="00DC6D27" w:rsidP="00342E07">
      <w:pPr>
        <w:spacing w:line="360" w:lineRule="auto"/>
      </w:pPr>
    </w:p>
    <w:p w14:paraId="17FAF011" w14:textId="10D86C6F" w:rsidR="00DC6D27" w:rsidRDefault="00DC6D27" w:rsidP="00342E07">
      <w:pPr>
        <w:spacing w:line="360" w:lineRule="auto"/>
      </w:pPr>
    </w:p>
    <w:p w14:paraId="4B607C83" w14:textId="63A250B1" w:rsidR="00BC6371" w:rsidRDefault="00BC6371" w:rsidP="00342E07">
      <w:pPr>
        <w:spacing w:line="360" w:lineRule="auto"/>
      </w:pPr>
    </w:p>
    <w:p w14:paraId="64FE8DCF" w14:textId="1493338A" w:rsidR="0072567A" w:rsidRDefault="0072567A" w:rsidP="00342E07">
      <w:pPr>
        <w:spacing w:line="360" w:lineRule="auto"/>
      </w:pPr>
    </w:p>
    <w:p w14:paraId="6E2CF9D7" w14:textId="77777777" w:rsidR="0072567A" w:rsidRDefault="0072567A" w:rsidP="00342E07">
      <w:pPr>
        <w:spacing w:line="360" w:lineRule="auto"/>
      </w:pPr>
    </w:p>
    <w:p w14:paraId="333B02B1" w14:textId="77777777" w:rsidR="00DC6D27" w:rsidRDefault="00DC6D27" w:rsidP="00342E07">
      <w:pPr>
        <w:spacing w:line="360" w:lineRule="auto"/>
      </w:pPr>
    </w:p>
    <w:p w14:paraId="25A029DC" w14:textId="77777777" w:rsidR="0072567A" w:rsidRDefault="00DC6D27" w:rsidP="0072567A">
      <w:r w:rsidRPr="00DC6D27">
        <w:rPr>
          <w:u w:val="single"/>
        </w:rPr>
        <w:t>Bibliography</w:t>
      </w:r>
      <w:r w:rsidR="00BC6371" w:rsidRPr="00DC6D27">
        <w:br/>
      </w:r>
    </w:p>
    <w:p w14:paraId="3AF79A31" w14:textId="77777777" w:rsidR="0072567A" w:rsidRDefault="0072567A" w:rsidP="0072567A">
      <w:r w:rsidRPr="00E4797B">
        <w:t>Emerson,</w:t>
      </w:r>
      <w:r>
        <w:t xml:space="preserve"> </w:t>
      </w:r>
      <w:r w:rsidRPr="00E4797B">
        <w:t>Oliver Farrar</w:t>
      </w:r>
      <w:r>
        <w:t>,</w:t>
      </w:r>
      <w:r w:rsidRPr="00E4797B">
        <w:t xml:space="preserve"> 'Some of Chaucer's Lines on the Monk', </w:t>
      </w:r>
      <w:r w:rsidRPr="00E4797B">
        <w:rPr>
          <w:i/>
          <w:iCs/>
        </w:rPr>
        <w:t>Modern Philology</w:t>
      </w:r>
      <w:r w:rsidRPr="00E4797B">
        <w:t>, 1.1, (1903), 105-115</w:t>
      </w:r>
      <w:r>
        <w:t>.</w:t>
      </w:r>
    </w:p>
    <w:p w14:paraId="47E31780" w14:textId="77777777" w:rsidR="0072567A" w:rsidRPr="00E4797B" w:rsidRDefault="0072567A" w:rsidP="0072567A">
      <w:r w:rsidRPr="00E4797B">
        <w:t>Krueger,</w:t>
      </w:r>
      <w:r>
        <w:t xml:space="preserve"> </w:t>
      </w:r>
      <w:r w:rsidRPr="00E4797B">
        <w:t>Derek 'Between Monks: Tales of Monastic Companionship in Early Byzantium', </w:t>
      </w:r>
      <w:r w:rsidRPr="00E4797B">
        <w:rPr>
          <w:i/>
          <w:iCs/>
        </w:rPr>
        <w:t>Journal of the History of Sexuality</w:t>
      </w:r>
      <w:r w:rsidRPr="00E4797B">
        <w:t>, 20.1, (2011), 28-61</w:t>
      </w:r>
      <w:r>
        <w:t>.</w:t>
      </w:r>
      <w:bookmarkStart w:id="0" w:name="_GoBack"/>
      <w:bookmarkEnd w:id="0"/>
    </w:p>
    <w:p w14:paraId="6E097133" w14:textId="77777777" w:rsidR="0072567A" w:rsidRDefault="0072567A" w:rsidP="0072567A">
      <w:r w:rsidRPr="00E4797B">
        <w:t>merriam-webster.com, </w:t>
      </w:r>
      <w:r w:rsidRPr="00E4797B">
        <w:rPr>
          <w:i/>
          <w:iCs/>
        </w:rPr>
        <w:t>Cenobite | Definition of Cenobite by Merriam-Webster</w:t>
      </w:r>
      <w:r w:rsidRPr="00E4797B">
        <w:t> (n.d.) &lt;https://www.merriam-webster.com/dictionary/cenobite&gt; [accessed 16 February 2020].</w:t>
      </w:r>
    </w:p>
    <w:p w14:paraId="7B489A59" w14:textId="77777777" w:rsidR="0072567A" w:rsidRDefault="0072567A" w:rsidP="0072567A">
      <w:r w:rsidRPr="00E4797B">
        <w:t>OSB.org, </w:t>
      </w:r>
      <w:r w:rsidRPr="00E4797B">
        <w:rPr>
          <w:i/>
          <w:iCs/>
        </w:rPr>
        <w:t>The Rule</w:t>
      </w:r>
      <w:r w:rsidRPr="00E4797B">
        <w:t> (</w:t>
      </w:r>
      <w:proofErr w:type="spellStart"/>
      <w:r w:rsidRPr="00E4797B">
        <w:t>n.d</w:t>
      </w:r>
      <w:proofErr w:type="spellEnd"/>
      <w:r w:rsidRPr="00E4797B">
        <w:t>) &lt;https://www.osb.org/our-roots/the-rule/&gt; [accessed 16 February 2020].</w:t>
      </w:r>
    </w:p>
    <w:p w14:paraId="2B564D08" w14:textId="77777777" w:rsidR="0072567A" w:rsidRDefault="0072567A" w:rsidP="0072567A">
      <w:r w:rsidRPr="00E4797B">
        <w:t>Parry,</w:t>
      </w:r>
      <w:r>
        <w:t xml:space="preserve"> </w:t>
      </w:r>
      <w:r w:rsidRPr="00E4797B">
        <w:t>David</w:t>
      </w:r>
      <w:r>
        <w:t>,</w:t>
      </w:r>
      <w:r w:rsidRPr="00E4797B">
        <w:t> </w:t>
      </w:r>
      <w:r w:rsidRPr="00E4797B">
        <w:rPr>
          <w:i/>
          <w:iCs/>
        </w:rPr>
        <w:t>The Rule of Saint Benedict</w:t>
      </w:r>
      <w:r w:rsidRPr="00E4797B">
        <w:t> (Great Britain: Anchor Press Ltd, 1984).</w:t>
      </w:r>
    </w:p>
    <w:p w14:paraId="3A8E224B" w14:textId="57F3235A" w:rsidR="00BC6371" w:rsidRDefault="00BC6371" w:rsidP="0072567A">
      <w:pPr>
        <w:spacing w:line="360" w:lineRule="auto"/>
      </w:pPr>
    </w:p>
    <w:sectPr w:rsidR="00BC63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7FC44" w14:textId="77777777" w:rsidR="00377E9E" w:rsidRDefault="00377E9E" w:rsidP="0005777D">
      <w:pPr>
        <w:spacing w:after="0" w:line="240" w:lineRule="auto"/>
      </w:pPr>
      <w:r>
        <w:separator/>
      </w:r>
    </w:p>
  </w:endnote>
  <w:endnote w:type="continuationSeparator" w:id="0">
    <w:p w14:paraId="10958378" w14:textId="77777777" w:rsidR="00377E9E" w:rsidRDefault="00377E9E" w:rsidP="0005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53B37" w14:textId="77777777" w:rsidR="00377E9E" w:rsidRDefault="00377E9E" w:rsidP="0005777D">
      <w:pPr>
        <w:spacing w:after="0" w:line="240" w:lineRule="auto"/>
      </w:pPr>
      <w:r>
        <w:separator/>
      </w:r>
    </w:p>
  </w:footnote>
  <w:footnote w:type="continuationSeparator" w:id="0">
    <w:p w14:paraId="0552C316" w14:textId="77777777" w:rsidR="00377E9E" w:rsidRDefault="00377E9E" w:rsidP="0005777D">
      <w:pPr>
        <w:spacing w:after="0" w:line="240" w:lineRule="auto"/>
      </w:pPr>
      <w:r>
        <w:continuationSeparator/>
      </w:r>
    </w:p>
  </w:footnote>
  <w:footnote w:id="1">
    <w:p w14:paraId="409487EA" w14:textId="02DFD289" w:rsidR="0005777D" w:rsidRPr="0005777D" w:rsidRDefault="0005777D">
      <w:pPr>
        <w:pStyle w:val="FootnoteText"/>
      </w:pPr>
      <w:r>
        <w:rPr>
          <w:rStyle w:val="FootnoteReference"/>
        </w:rPr>
        <w:footnoteRef/>
      </w:r>
      <w:r>
        <w:t xml:space="preserve"> </w:t>
      </w:r>
      <w:r w:rsidRPr="0005777D">
        <w:t>David Parry, </w:t>
      </w:r>
      <w:r w:rsidRPr="0005777D">
        <w:rPr>
          <w:i/>
          <w:iCs/>
        </w:rPr>
        <w:t>The Rule of Saint Benedict</w:t>
      </w:r>
      <w:r w:rsidRPr="0005777D">
        <w:t> (Great Britain: Anchor Press Ltd, 1984).</w:t>
      </w:r>
    </w:p>
  </w:footnote>
  <w:footnote w:id="2">
    <w:p w14:paraId="7DA39054" w14:textId="6C1372BE" w:rsidR="0057750E" w:rsidRPr="0057750E" w:rsidRDefault="0057750E">
      <w:pPr>
        <w:pStyle w:val="FootnoteText"/>
        <w:rPr>
          <w:lang w:val="en-US"/>
        </w:rPr>
      </w:pPr>
      <w:r>
        <w:rPr>
          <w:rStyle w:val="FootnoteReference"/>
        </w:rPr>
        <w:footnoteRef/>
      </w:r>
      <w:r>
        <w:t xml:space="preserve"> </w:t>
      </w:r>
      <w:r w:rsidRPr="0057750E">
        <w:t>OSB.org, </w:t>
      </w:r>
      <w:r w:rsidRPr="0057750E">
        <w:rPr>
          <w:i/>
          <w:iCs/>
        </w:rPr>
        <w:t>The Rule</w:t>
      </w:r>
      <w:r w:rsidRPr="0057750E">
        <w:t> (</w:t>
      </w:r>
      <w:proofErr w:type="spellStart"/>
      <w:r w:rsidRPr="0057750E">
        <w:t>n.d</w:t>
      </w:r>
      <w:proofErr w:type="spellEnd"/>
      <w:r w:rsidRPr="0057750E">
        <w:t>) &lt;https://www.osb.org/our-roots/the-rule/&gt; [accessed 16 February 2020].</w:t>
      </w:r>
    </w:p>
  </w:footnote>
  <w:footnote w:id="3">
    <w:p w14:paraId="4518C362" w14:textId="0D6D5496" w:rsidR="006B687A" w:rsidRPr="006B687A" w:rsidRDefault="006B687A">
      <w:pPr>
        <w:pStyle w:val="FootnoteText"/>
        <w:rPr>
          <w:lang w:val="en-US"/>
        </w:rPr>
      </w:pPr>
      <w:r>
        <w:rPr>
          <w:rStyle w:val="FootnoteReference"/>
        </w:rPr>
        <w:footnoteRef/>
      </w:r>
      <w:r>
        <w:t xml:space="preserve"> </w:t>
      </w:r>
      <w:r>
        <w:rPr>
          <w:lang w:val="en-US"/>
        </w:rPr>
        <w:t>Chapters 22, 16 and 45 respectively.</w:t>
      </w:r>
    </w:p>
  </w:footnote>
  <w:footnote w:id="4">
    <w:p w14:paraId="1E985D15" w14:textId="459830B4" w:rsidR="002E1886" w:rsidRPr="007557B0" w:rsidRDefault="002E1886">
      <w:pPr>
        <w:pStyle w:val="FootnoteText"/>
      </w:pPr>
      <w:r>
        <w:rPr>
          <w:rStyle w:val="FootnoteReference"/>
        </w:rPr>
        <w:footnoteRef/>
      </w:r>
      <w:r>
        <w:t xml:space="preserve"> </w:t>
      </w:r>
      <w:r w:rsidRPr="002E1886">
        <w:t>merriam-webster.com, </w:t>
      </w:r>
      <w:r w:rsidRPr="002E1886">
        <w:rPr>
          <w:i/>
          <w:iCs/>
        </w:rPr>
        <w:t>Cenobite | Definition of Cenobite by Merriam-Webster</w:t>
      </w:r>
      <w:r w:rsidRPr="002E1886">
        <w:t> (n.d.) &lt;https://www.merriam-webster.com/dictionary/cenobite&gt; [accessed 16 February 2020].</w:t>
      </w:r>
    </w:p>
  </w:footnote>
  <w:footnote w:id="5">
    <w:p w14:paraId="1110697C" w14:textId="13EAED25" w:rsidR="0036102A" w:rsidRPr="0036102A" w:rsidRDefault="0036102A">
      <w:pPr>
        <w:pStyle w:val="FootnoteText"/>
        <w:rPr>
          <w:lang w:val="en-US"/>
        </w:rPr>
      </w:pPr>
      <w:r>
        <w:rPr>
          <w:rStyle w:val="FootnoteReference"/>
        </w:rPr>
        <w:footnoteRef/>
      </w:r>
      <w:r>
        <w:t xml:space="preserve"> </w:t>
      </w:r>
      <w:r>
        <w:rPr>
          <w:lang w:val="en-US"/>
        </w:rPr>
        <w:t xml:space="preserve">Parry, </w:t>
      </w:r>
      <w:r w:rsidRPr="0036102A">
        <w:rPr>
          <w:i/>
          <w:iCs/>
          <w:lang w:val="en-US"/>
        </w:rPr>
        <w:t>The Rule of Saint Benedict</w:t>
      </w:r>
      <w:r>
        <w:rPr>
          <w:lang w:val="en-US"/>
        </w:rPr>
        <w:t>, p. 7.</w:t>
      </w:r>
    </w:p>
  </w:footnote>
  <w:footnote w:id="6">
    <w:p w14:paraId="166E6FAE" w14:textId="23DA974B" w:rsidR="0036102A" w:rsidRPr="0036102A" w:rsidRDefault="0036102A">
      <w:pPr>
        <w:pStyle w:val="FootnoteText"/>
        <w:rPr>
          <w:lang w:val="en-US"/>
        </w:rPr>
      </w:pPr>
      <w:r>
        <w:rPr>
          <w:rStyle w:val="FootnoteReference"/>
        </w:rPr>
        <w:footnoteRef/>
      </w:r>
      <w:r>
        <w:t xml:space="preserve"> </w:t>
      </w:r>
      <w:r>
        <w:rPr>
          <w:lang w:val="en-US"/>
        </w:rPr>
        <w:t>Ibid, p. 7.</w:t>
      </w:r>
    </w:p>
  </w:footnote>
  <w:footnote w:id="7">
    <w:p w14:paraId="69888BE3" w14:textId="2243D5C0" w:rsidR="007557B0" w:rsidRPr="007557B0" w:rsidRDefault="007557B0">
      <w:pPr>
        <w:pStyle w:val="FootnoteText"/>
        <w:rPr>
          <w:lang w:val="en-US"/>
        </w:rPr>
      </w:pPr>
      <w:r>
        <w:rPr>
          <w:rStyle w:val="FootnoteReference"/>
        </w:rPr>
        <w:footnoteRef/>
      </w:r>
      <w:r>
        <w:t xml:space="preserve"> </w:t>
      </w:r>
      <w:r w:rsidR="0036102A">
        <w:t>Ibid,</w:t>
      </w:r>
      <w:r>
        <w:t xml:space="preserve"> p. 8.</w:t>
      </w:r>
    </w:p>
  </w:footnote>
  <w:footnote w:id="8">
    <w:p w14:paraId="592344A5" w14:textId="7339035B" w:rsidR="007557B0" w:rsidRPr="007557B0" w:rsidRDefault="007557B0">
      <w:pPr>
        <w:pStyle w:val="FootnoteText"/>
        <w:rPr>
          <w:lang w:val="en-US"/>
        </w:rPr>
      </w:pPr>
      <w:r>
        <w:rPr>
          <w:rStyle w:val="FootnoteReference"/>
        </w:rPr>
        <w:footnoteRef/>
      </w:r>
      <w:r>
        <w:t xml:space="preserve"> </w:t>
      </w:r>
      <w:r>
        <w:rPr>
          <w:lang w:val="en-US"/>
        </w:rPr>
        <w:t>Ibid, p. 7.</w:t>
      </w:r>
    </w:p>
  </w:footnote>
  <w:footnote w:id="9">
    <w:p w14:paraId="5610F7D0" w14:textId="7C65F569" w:rsidR="007557B0" w:rsidRPr="007557B0" w:rsidRDefault="007557B0">
      <w:pPr>
        <w:pStyle w:val="FootnoteText"/>
        <w:rPr>
          <w:lang w:val="en-US"/>
        </w:rPr>
      </w:pPr>
      <w:r>
        <w:rPr>
          <w:rStyle w:val="FootnoteReference"/>
        </w:rPr>
        <w:footnoteRef/>
      </w:r>
      <w:r>
        <w:t xml:space="preserve"> </w:t>
      </w:r>
      <w:r>
        <w:rPr>
          <w:lang w:val="en-US"/>
        </w:rPr>
        <w:t>Ibid.</w:t>
      </w:r>
    </w:p>
  </w:footnote>
  <w:footnote w:id="10">
    <w:p w14:paraId="1705263F" w14:textId="4DE84FC5" w:rsidR="007557B0" w:rsidRPr="007557B0" w:rsidRDefault="007557B0">
      <w:pPr>
        <w:pStyle w:val="FootnoteText"/>
        <w:rPr>
          <w:lang w:val="en-US"/>
        </w:rPr>
      </w:pPr>
      <w:r>
        <w:rPr>
          <w:rStyle w:val="FootnoteReference"/>
        </w:rPr>
        <w:footnoteRef/>
      </w:r>
      <w:r>
        <w:t xml:space="preserve"> </w:t>
      </w:r>
      <w:r>
        <w:rPr>
          <w:lang w:val="en-US"/>
        </w:rPr>
        <w:t>Ibid.</w:t>
      </w:r>
    </w:p>
  </w:footnote>
  <w:footnote w:id="11">
    <w:p w14:paraId="03AA959F" w14:textId="1F8303BB" w:rsidR="00B15881" w:rsidRPr="00B15881" w:rsidRDefault="00B15881">
      <w:pPr>
        <w:pStyle w:val="FootnoteText"/>
        <w:rPr>
          <w:lang w:val="en-US"/>
        </w:rPr>
      </w:pPr>
      <w:r>
        <w:rPr>
          <w:rStyle w:val="FootnoteReference"/>
        </w:rPr>
        <w:footnoteRef/>
      </w:r>
      <w:r>
        <w:t xml:space="preserve"> </w:t>
      </w:r>
      <w:r>
        <w:rPr>
          <w:lang w:val="en-US"/>
        </w:rPr>
        <w:t>Ibid.</w:t>
      </w:r>
    </w:p>
  </w:footnote>
  <w:footnote w:id="12">
    <w:p w14:paraId="395BCBBB" w14:textId="6944E318" w:rsidR="00B15881" w:rsidRPr="00B15881" w:rsidRDefault="00B15881">
      <w:pPr>
        <w:pStyle w:val="FootnoteText"/>
        <w:rPr>
          <w:lang w:val="en-US"/>
        </w:rPr>
      </w:pPr>
      <w:r>
        <w:rPr>
          <w:rStyle w:val="FootnoteReference"/>
        </w:rPr>
        <w:footnoteRef/>
      </w:r>
      <w:r>
        <w:t xml:space="preserve"> </w:t>
      </w:r>
      <w:r>
        <w:rPr>
          <w:lang w:val="en-US"/>
        </w:rPr>
        <w:t>Ibid.</w:t>
      </w:r>
    </w:p>
  </w:footnote>
  <w:footnote w:id="13">
    <w:p w14:paraId="1CE2758A" w14:textId="4C39F913" w:rsidR="00B15881" w:rsidRPr="00B15881" w:rsidRDefault="00B15881">
      <w:pPr>
        <w:pStyle w:val="FootnoteText"/>
        <w:rPr>
          <w:lang w:val="en-US"/>
        </w:rPr>
      </w:pPr>
      <w:r>
        <w:rPr>
          <w:rStyle w:val="FootnoteReference"/>
        </w:rPr>
        <w:footnoteRef/>
      </w:r>
      <w:r>
        <w:t xml:space="preserve"> </w:t>
      </w:r>
      <w:r>
        <w:rPr>
          <w:lang w:val="en-US"/>
        </w:rPr>
        <w:t>Ibid.</w:t>
      </w:r>
    </w:p>
  </w:footnote>
  <w:footnote w:id="14">
    <w:p w14:paraId="459C8C7C" w14:textId="2A488522" w:rsidR="002711C5" w:rsidRPr="002711C5" w:rsidRDefault="002711C5">
      <w:pPr>
        <w:pStyle w:val="FootnoteText"/>
        <w:rPr>
          <w:lang w:val="en-US"/>
        </w:rPr>
      </w:pPr>
      <w:r>
        <w:rPr>
          <w:rStyle w:val="FootnoteReference"/>
        </w:rPr>
        <w:footnoteRef/>
      </w:r>
      <w:r>
        <w:t xml:space="preserve"> </w:t>
      </w:r>
      <w:r w:rsidRPr="002711C5">
        <w:t>D</w:t>
      </w:r>
      <w:r w:rsidR="00F66F75">
        <w:t>erek Krueger</w:t>
      </w:r>
      <w:r w:rsidRPr="002711C5">
        <w:t>, 'Between Monks: Tales of Monastic Companionship in Early Byzantium', </w:t>
      </w:r>
      <w:r w:rsidRPr="002711C5">
        <w:rPr>
          <w:i/>
          <w:iCs/>
        </w:rPr>
        <w:t>Journal of the History of Sexuality</w:t>
      </w:r>
      <w:r w:rsidRPr="002711C5">
        <w:t>, 20.1, (2011), 28-61 (p. 43).</w:t>
      </w:r>
    </w:p>
  </w:footnote>
  <w:footnote w:id="15">
    <w:p w14:paraId="6BDF94BC" w14:textId="561FBAD4" w:rsidR="002711C5" w:rsidRPr="002711C5" w:rsidRDefault="002711C5">
      <w:pPr>
        <w:pStyle w:val="FootnoteText"/>
        <w:rPr>
          <w:lang w:val="en-US"/>
        </w:rPr>
      </w:pPr>
      <w:r>
        <w:rPr>
          <w:rStyle w:val="FootnoteReference"/>
        </w:rPr>
        <w:footnoteRef/>
      </w:r>
      <w:r>
        <w:t xml:space="preserve"> </w:t>
      </w:r>
      <w:r w:rsidRPr="002711C5">
        <w:t>Oliver Farrar Emerson, 'Some of Chaucer's Lines on the Monk', </w:t>
      </w:r>
      <w:r w:rsidRPr="002711C5">
        <w:rPr>
          <w:i/>
          <w:iCs/>
        </w:rPr>
        <w:t>Modern Philology</w:t>
      </w:r>
      <w:r w:rsidRPr="002711C5">
        <w:t>, 1.1, (1903), 105-115 (p. 114).</w:t>
      </w:r>
    </w:p>
  </w:footnote>
  <w:footnote w:id="16">
    <w:p w14:paraId="6CE48110" w14:textId="1BB246DA" w:rsidR="00EA414F" w:rsidRPr="00EA414F" w:rsidRDefault="00EA414F">
      <w:pPr>
        <w:pStyle w:val="FootnoteText"/>
        <w:rPr>
          <w:i/>
          <w:iCs/>
          <w:lang w:val="en-US"/>
        </w:rPr>
      </w:pPr>
      <w:r>
        <w:rPr>
          <w:rStyle w:val="FootnoteReference"/>
        </w:rPr>
        <w:footnoteRef/>
      </w:r>
      <w:r>
        <w:t xml:space="preserve"> </w:t>
      </w:r>
      <w:r>
        <w:rPr>
          <w:lang w:val="en-US"/>
        </w:rPr>
        <w:t xml:space="preserve">Parry, </w:t>
      </w:r>
      <w:r>
        <w:rPr>
          <w:i/>
          <w:iCs/>
          <w:lang w:val="en-US"/>
        </w:rPr>
        <w:t>The Rule of Saint Benedict, p. 7.</w:t>
      </w:r>
    </w:p>
  </w:footnote>
  <w:footnote w:id="17">
    <w:p w14:paraId="7217AB92" w14:textId="2B3A29EC" w:rsidR="00EA414F" w:rsidRPr="00EA414F" w:rsidRDefault="00EA414F">
      <w:pPr>
        <w:pStyle w:val="FootnoteText"/>
        <w:rPr>
          <w:lang w:val="en-US"/>
        </w:rPr>
      </w:pPr>
      <w:r>
        <w:rPr>
          <w:rStyle w:val="FootnoteReference"/>
        </w:rPr>
        <w:footnoteRef/>
      </w:r>
      <w:r>
        <w:t xml:space="preserve"> </w:t>
      </w:r>
      <w:r>
        <w:rPr>
          <w:lang w:val="en-US"/>
        </w:rPr>
        <w:t>Ibid, p. 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834"/>
    <w:rsid w:val="0005777D"/>
    <w:rsid w:val="002711C5"/>
    <w:rsid w:val="0029324C"/>
    <w:rsid w:val="002E1886"/>
    <w:rsid w:val="00342E07"/>
    <w:rsid w:val="0036102A"/>
    <w:rsid w:val="00365999"/>
    <w:rsid w:val="00377E9E"/>
    <w:rsid w:val="004C72E7"/>
    <w:rsid w:val="0057750E"/>
    <w:rsid w:val="00642696"/>
    <w:rsid w:val="006B687A"/>
    <w:rsid w:val="0072567A"/>
    <w:rsid w:val="007557B0"/>
    <w:rsid w:val="00A0173B"/>
    <w:rsid w:val="00A2636D"/>
    <w:rsid w:val="00A263AC"/>
    <w:rsid w:val="00A86834"/>
    <w:rsid w:val="00AE18A5"/>
    <w:rsid w:val="00B02012"/>
    <w:rsid w:val="00B03961"/>
    <w:rsid w:val="00B15881"/>
    <w:rsid w:val="00B82635"/>
    <w:rsid w:val="00BC6371"/>
    <w:rsid w:val="00C33ECC"/>
    <w:rsid w:val="00CE0FB6"/>
    <w:rsid w:val="00DC6D27"/>
    <w:rsid w:val="00EA414F"/>
    <w:rsid w:val="00F042EA"/>
    <w:rsid w:val="00F66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FCC48"/>
  <w15:chartTrackingRefBased/>
  <w15:docId w15:val="{82F94CE4-0853-4318-B093-0D940706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57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777D"/>
    <w:rPr>
      <w:sz w:val="20"/>
      <w:szCs w:val="20"/>
    </w:rPr>
  </w:style>
  <w:style w:type="character" w:styleId="FootnoteReference">
    <w:name w:val="footnote reference"/>
    <w:basedOn w:val="DefaultParagraphFont"/>
    <w:uiPriority w:val="99"/>
    <w:semiHidden/>
    <w:unhideWhenUsed/>
    <w:rsid w:val="0005777D"/>
    <w:rPr>
      <w:vertAlign w:val="superscript"/>
    </w:rPr>
  </w:style>
  <w:style w:type="paragraph" w:styleId="NormalWeb">
    <w:name w:val="Normal (Web)"/>
    <w:basedOn w:val="Normal"/>
    <w:uiPriority w:val="99"/>
    <w:semiHidden/>
    <w:unhideWhenUsed/>
    <w:rsid w:val="0005777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61707">
      <w:bodyDiv w:val="1"/>
      <w:marLeft w:val="0"/>
      <w:marRight w:val="0"/>
      <w:marTop w:val="0"/>
      <w:marBottom w:val="0"/>
      <w:divBdr>
        <w:top w:val="none" w:sz="0" w:space="0" w:color="auto"/>
        <w:left w:val="none" w:sz="0" w:space="0" w:color="auto"/>
        <w:bottom w:val="none" w:sz="0" w:space="0" w:color="auto"/>
        <w:right w:val="none" w:sz="0" w:space="0" w:color="auto"/>
      </w:divBdr>
    </w:div>
    <w:div w:id="1213008064">
      <w:bodyDiv w:val="1"/>
      <w:marLeft w:val="0"/>
      <w:marRight w:val="0"/>
      <w:marTop w:val="0"/>
      <w:marBottom w:val="0"/>
      <w:divBdr>
        <w:top w:val="none" w:sz="0" w:space="0" w:color="auto"/>
        <w:left w:val="none" w:sz="0" w:space="0" w:color="auto"/>
        <w:bottom w:val="none" w:sz="0" w:space="0" w:color="auto"/>
        <w:right w:val="none" w:sz="0" w:space="0" w:color="auto"/>
      </w:divBdr>
      <w:divsChild>
        <w:div w:id="1583484372">
          <w:marLeft w:val="0"/>
          <w:marRight w:val="0"/>
          <w:marTop w:val="0"/>
          <w:marBottom w:val="0"/>
          <w:divBdr>
            <w:top w:val="none" w:sz="0" w:space="0" w:color="auto"/>
            <w:left w:val="none" w:sz="0" w:space="0" w:color="auto"/>
            <w:bottom w:val="none" w:sz="0" w:space="0" w:color="auto"/>
            <w:right w:val="none" w:sz="0" w:space="0" w:color="auto"/>
          </w:divBdr>
          <w:divsChild>
            <w:div w:id="1994869844">
              <w:marLeft w:val="0"/>
              <w:marRight w:val="225"/>
              <w:marTop w:val="225"/>
              <w:marBottom w:val="225"/>
              <w:divBdr>
                <w:top w:val="none" w:sz="0" w:space="0" w:color="auto"/>
                <w:left w:val="none" w:sz="0" w:space="0" w:color="auto"/>
                <w:bottom w:val="none" w:sz="0" w:space="0" w:color="auto"/>
                <w:right w:val="none" w:sz="0" w:space="0" w:color="auto"/>
              </w:divBdr>
              <w:divsChild>
                <w:div w:id="1421951414">
                  <w:marLeft w:val="0"/>
                  <w:marRight w:val="0"/>
                  <w:marTop w:val="0"/>
                  <w:marBottom w:val="0"/>
                  <w:divBdr>
                    <w:top w:val="none" w:sz="0" w:space="0" w:color="auto"/>
                    <w:left w:val="none" w:sz="0" w:space="0" w:color="auto"/>
                    <w:bottom w:val="none" w:sz="0" w:space="0" w:color="auto"/>
                    <w:right w:val="none" w:sz="0" w:space="0" w:color="auto"/>
                  </w:divBdr>
                  <w:divsChild>
                    <w:div w:id="95429329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725257445">
      <w:bodyDiv w:val="1"/>
      <w:marLeft w:val="0"/>
      <w:marRight w:val="0"/>
      <w:marTop w:val="0"/>
      <w:marBottom w:val="0"/>
      <w:divBdr>
        <w:top w:val="none" w:sz="0" w:space="0" w:color="auto"/>
        <w:left w:val="none" w:sz="0" w:space="0" w:color="auto"/>
        <w:bottom w:val="none" w:sz="0" w:space="0" w:color="auto"/>
        <w:right w:val="none" w:sz="0" w:space="0" w:color="auto"/>
      </w:divBdr>
    </w:div>
    <w:div w:id="2065332189">
      <w:bodyDiv w:val="1"/>
      <w:marLeft w:val="0"/>
      <w:marRight w:val="0"/>
      <w:marTop w:val="0"/>
      <w:marBottom w:val="0"/>
      <w:divBdr>
        <w:top w:val="none" w:sz="0" w:space="0" w:color="auto"/>
        <w:left w:val="none" w:sz="0" w:space="0" w:color="auto"/>
        <w:bottom w:val="none" w:sz="0" w:space="0" w:color="auto"/>
        <w:right w:val="none" w:sz="0" w:space="0" w:color="auto"/>
      </w:divBdr>
      <w:divsChild>
        <w:div w:id="849297968">
          <w:marLeft w:val="0"/>
          <w:marRight w:val="0"/>
          <w:marTop w:val="0"/>
          <w:marBottom w:val="0"/>
          <w:divBdr>
            <w:top w:val="none" w:sz="0" w:space="0" w:color="auto"/>
            <w:left w:val="none" w:sz="0" w:space="0" w:color="auto"/>
            <w:bottom w:val="none" w:sz="0" w:space="0" w:color="auto"/>
            <w:right w:val="none" w:sz="0" w:space="0" w:color="auto"/>
          </w:divBdr>
          <w:divsChild>
            <w:div w:id="1519391443">
              <w:marLeft w:val="0"/>
              <w:marRight w:val="225"/>
              <w:marTop w:val="225"/>
              <w:marBottom w:val="225"/>
              <w:divBdr>
                <w:top w:val="none" w:sz="0" w:space="0" w:color="auto"/>
                <w:left w:val="none" w:sz="0" w:space="0" w:color="auto"/>
                <w:bottom w:val="none" w:sz="0" w:space="0" w:color="auto"/>
                <w:right w:val="none" w:sz="0" w:space="0" w:color="auto"/>
              </w:divBdr>
              <w:divsChild>
                <w:div w:id="1487739861">
                  <w:marLeft w:val="0"/>
                  <w:marRight w:val="0"/>
                  <w:marTop w:val="0"/>
                  <w:marBottom w:val="0"/>
                  <w:divBdr>
                    <w:top w:val="none" w:sz="0" w:space="0" w:color="auto"/>
                    <w:left w:val="none" w:sz="0" w:space="0" w:color="auto"/>
                    <w:bottom w:val="none" w:sz="0" w:space="0" w:color="auto"/>
                    <w:right w:val="none" w:sz="0" w:space="0" w:color="auto"/>
                  </w:divBdr>
                  <w:divsChild>
                    <w:div w:id="876813199">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B891A-EAA8-45A0-B247-C0CB8ECD9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1183</Words>
  <Characters>5494</Characters>
  <Application>Microsoft Office Word</Application>
  <DocSecurity>0</DocSecurity>
  <Lines>72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 (1701825)</dc:creator>
  <cp:keywords/>
  <dc:description/>
  <cp:lastModifiedBy>Sam Smith (1701825)</cp:lastModifiedBy>
  <cp:revision>24</cp:revision>
  <dcterms:created xsi:type="dcterms:W3CDTF">2020-02-16T12:27:00Z</dcterms:created>
  <dcterms:modified xsi:type="dcterms:W3CDTF">2020-02-16T14:38:00Z</dcterms:modified>
</cp:coreProperties>
</file>