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3C8" w:rsidRPr="00A97E29" w:rsidRDefault="005133C8" w:rsidP="00F56E3A">
      <w:pPr>
        <w:spacing w:before="200" w:after="120" w:line="360" w:lineRule="auto"/>
        <w:jc w:val="center"/>
        <w:rPr>
          <w:b/>
          <w:bCs/>
        </w:rPr>
      </w:pPr>
    </w:p>
    <w:p w:rsidR="005133C8" w:rsidRPr="00A97E29" w:rsidRDefault="005133C8" w:rsidP="00F56E3A">
      <w:pPr>
        <w:spacing w:before="200" w:after="120" w:line="360" w:lineRule="auto"/>
        <w:jc w:val="center"/>
        <w:rPr>
          <w:b/>
          <w:bCs/>
        </w:rPr>
      </w:pPr>
    </w:p>
    <w:p w:rsidR="00F56E3A" w:rsidRPr="00A97E29" w:rsidRDefault="00F56E3A" w:rsidP="00F56E3A">
      <w:pPr>
        <w:spacing w:before="200" w:after="120" w:line="360" w:lineRule="auto"/>
        <w:jc w:val="center"/>
        <w:rPr>
          <w:b/>
          <w:bCs/>
        </w:rPr>
      </w:pPr>
      <w:r w:rsidRPr="00A97E29">
        <w:rPr>
          <w:b/>
          <w:bCs/>
        </w:rPr>
        <w:t xml:space="preserve">Module Name: </w:t>
      </w:r>
      <w:r w:rsidR="00625B4B">
        <w:rPr>
          <w:b/>
          <w:bCs/>
        </w:rPr>
        <w:t>Psychopatholo</w:t>
      </w:r>
      <w:r w:rsidR="00E0033E" w:rsidRPr="00E0033E">
        <w:rPr>
          <w:b/>
          <w:bCs/>
        </w:rPr>
        <w:t>gical Classifications and Provisions</w:t>
      </w:r>
    </w:p>
    <w:p w:rsidR="00F56E3A" w:rsidRPr="00A97E29" w:rsidRDefault="00F56E3A" w:rsidP="00F56E3A">
      <w:pPr>
        <w:spacing w:before="200" w:after="120" w:line="360" w:lineRule="auto"/>
        <w:jc w:val="center"/>
        <w:rPr>
          <w:b/>
          <w:bCs/>
        </w:rPr>
      </w:pPr>
      <w:r w:rsidRPr="00A97E29">
        <w:rPr>
          <w:b/>
          <w:bCs/>
        </w:rPr>
        <w:t xml:space="preserve">Module code: </w:t>
      </w:r>
      <w:r w:rsidR="00E0033E" w:rsidRPr="00E0033E">
        <w:rPr>
          <w:b/>
          <w:bCs/>
        </w:rPr>
        <w:t>BMHP6029</w:t>
      </w:r>
    </w:p>
    <w:p w:rsidR="003922B6" w:rsidRPr="00A97E29" w:rsidRDefault="00F56E3A" w:rsidP="00F56E3A">
      <w:pPr>
        <w:spacing w:before="200" w:after="120" w:line="360" w:lineRule="auto"/>
        <w:jc w:val="center"/>
        <w:rPr>
          <w:b/>
          <w:bCs/>
        </w:rPr>
      </w:pPr>
      <w:r w:rsidRPr="00A97E29">
        <w:rPr>
          <w:b/>
          <w:bCs/>
        </w:rPr>
        <w:t xml:space="preserve">Assignment Title:  </w:t>
      </w:r>
      <w:r w:rsidR="00E0033E" w:rsidRPr="00E0033E">
        <w:rPr>
          <w:b/>
          <w:bCs/>
        </w:rPr>
        <w:t>Component 2: Written Assignment (Report)</w:t>
      </w:r>
    </w:p>
    <w:p w:rsidR="00F56E3A" w:rsidRPr="00A97E29" w:rsidRDefault="00F56E3A" w:rsidP="00F56E3A">
      <w:pPr>
        <w:spacing w:before="200" w:after="120" w:line="360" w:lineRule="auto"/>
        <w:jc w:val="center"/>
        <w:rPr>
          <w:b/>
          <w:bCs/>
        </w:rPr>
      </w:pPr>
      <w:r w:rsidRPr="00A97E29">
        <w:rPr>
          <w:b/>
          <w:bCs/>
        </w:rPr>
        <w:t>Topic:</w:t>
      </w:r>
      <w:r w:rsidR="00353B22" w:rsidRPr="00A97E29">
        <w:rPr>
          <w:b/>
          <w:bCs/>
        </w:rPr>
        <w:t xml:space="preserve"> </w:t>
      </w:r>
      <w:r w:rsidR="00E0033E" w:rsidRPr="00E0033E">
        <w:rPr>
          <w:b/>
          <w:bCs/>
        </w:rPr>
        <w:t>A Critical Examination of Anxiety and Fear-Related Disorders: Classification, Diagnosis, Treatment, Rehabilitation, and Contemporary Debates within ICD-11</w:t>
      </w:r>
    </w:p>
    <w:p w:rsidR="00F56E3A" w:rsidRPr="00A97E29" w:rsidRDefault="00F56E3A" w:rsidP="00F56E3A">
      <w:pPr>
        <w:spacing w:before="200" w:after="120" w:line="360" w:lineRule="auto"/>
        <w:jc w:val="center"/>
        <w:rPr>
          <w:b/>
          <w:bCs/>
        </w:rPr>
      </w:pPr>
      <w:r w:rsidRPr="00A97E29">
        <w:rPr>
          <w:b/>
          <w:bCs/>
        </w:rPr>
        <w:t>Student Name: Ionica Madalina Trufanda</w:t>
      </w:r>
    </w:p>
    <w:p w:rsidR="00796DBC" w:rsidRPr="00A97E29" w:rsidRDefault="005D6BD5" w:rsidP="00F56E3A">
      <w:pPr>
        <w:rPr>
          <w:b/>
          <w:bCs/>
        </w:rPr>
      </w:pPr>
      <w:r w:rsidRPr="00A97E29">
        <w:rPr>
          <w:b/>
          <w:bCs/>
        </w:rPr>
        <w:t xml:space="preserve">                                                 </w:t>
      </w:r>
      <w:r w:rsidR="00F56E3A" w:rsidRPr="00A97E29">
        <w:rPr>
          <w:b/>
          <w:bCs/>
        </w:rPr>
        <w:t>Student ID: 2330230</w:t>
      </w: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F411F3" w:rsidRPr="00A97E29" w:rsidRDefault="00F411F3" w:rsidP="00F56E3A">
      <w:pPr>
        <w:rPr>
          <w:b/>
          <w:bCs/>
        </w:rPr>
      </w:pPr>
    </w:p>
    <w:p w:rsidR="00D35B71" w:rsidRPr="00A97E29" w:rsidRDefault="00D35B71" w:rsidP="00F56E3A">
      <w:pPr>
        <w:rPr>
          <w:b/>
          <w:bCs/>
        </w:rPr>
      </w:pPr>
    </w:p>
    <w:p w:rsidR="00D35B71" w:rsidRPr="00A97E29" w:rsidRDefault="00D35B71" w:rsidP="00F56E3A">
      <w:pPr>
        <w:rPr>
          <w:b/>
          <w:bCs/>
        </w:rPr>
      </w:pPr>
    </w:p>
    <w:p w:rsidR="00F411F3" w:rsidRPr="00A97E29" w:rsidRDefault="00F411F3" w:rsidP="00F56E3A">
      <w:pPr>
        <w:rPr>
          <w:b/>
          <w:bCs/>
        </w:rPr>
      </w:pPr>
    </w:p>
    <w:p w:rsidR="00F411F3" w:rsidRPr="00A97E29" w:rsidRDefault="00F411F3" w:rsidP="00F411F3">
      <w:pPr>
        <w:spacing w:before="200" w:after="120" w:line="360" w:lineRule="auto"/>
        <w:jc w:val="center"/>
        <w:rPr>
          <w:b/>
          <w:bCs/>
        </w:rPr>
      </w:pPr>
      <w:r w:rsidRPr="00A97E29">
        <w:rPr>
          <w:b/>
          <w:bCs/>
        </w:rPr>
        <w:lastRenderedPageBreak/>
        <w:t>Table of Contents</w:t>
      </w:r>
    </w:p>
    <w:p w:rsidR="00800BA3" w:rsidRDefault="00800BA3">
      <w:pPr>
        <w:pStyle w:val="ListParagraph"/>
        <w:numPr>
          <w:ilvl w:val="0"/>
          <w:numId w:val="5"/>
        </w:numPr>
        <w:rPr>
          <w:bCs/>
          <w:lang w:val="en-US"/>
        </w:rPr>
      </w:pPr>
      <w:r w:rsidRPr="00800BA3">
        <w:rPr>
          <w:bCs/>
          <w:lang w:val="en-US"/>
        </w:rPr>
        <w:t xml:space="preserve">Introduction </w:t>
      </w:r>
    </w:p>
    <w:p w:rsidR="00176F16" w:rsidRDefault="00176F16" w:rsidP="00176F16">
      <w:pPr>
        <w:rPr>
          <w:bCs/>
          <w:lang w:val="en-US"/>
        </w:rPr>
      </w:pPr>
    </w:p>
    <w:p w:rsidR="00800BA3" w:rsidRPr="00176F16" w:rsidRDefault="00176F16" w:rsidP="00176F16">
      <w:pPr>
        <w:pStyle w:val="ListParagraph"/>
        <w:numPr>
          <w:ilvl w:val="0"/>
          <w:numId w:val="5"/>
        </w:numPr>
        <w:rPr>
          <w:bCs/>
          <w:lang w:val="en-US"/>
        </w:rPr>
      </w:pPr>
      <w:r w:rsidRPr="00176F16">
        <w:rPr>
          <w:bCs/>
          <w:lang w:val="en-US"/>
        </w:rPr>
        <w:t>Classification of Anxiety and Fear-Related Disorders in ICD-11</w:t>
      </w:r>
    </w:p>
    <w:p w:rsidR="00800BA3" w:rsidRPr="00E91BD1" w:rsidRDefault="00E91BD1" w:rsidP="00E91BD1">
      <w:pPr>
        <w:pStyle w:val="ListParagraph"/>
        <w:numPr>
          <w:ilvl w:val="1"/>
          <w:numId w:val="5"/>
        </w:numPr>
        <w:rPr>
          <w:bCs/>
          <w:lang w:val="en-US"/>
        </w:rPr>
      </w:pPr>
      <w:r w:rsidRPr="00E91BD1">
        <w:rPr>
          <w:bCs/>
          <w:lang w:val="en-US"/>
        </w:rPr>
        <w:t>ICD-11 Classification Framework</w:t>
      </w:r>
    </w:p>
    <w:p w:rsidR="00800BA3" w:rsidRPr="00E91BD1" w:rsidRDefault="00E91BD1" w:rsidP="00E91BD1">
      <w:pPr>
        <w:pStyle w:val="ListParagraph"/>
        <w:numPr>
          <w:ilvl w:val="1"/>
          <w:numId w:val="5"/>
        </w:numPr>
        <w:rPr>
          <w:bCs/>
          <w:lang w:val="en-US"/>
        </w:rPr>
      </w:pPr>
      <w:r w:rsidRPr="00E91BD1">
        <w:rPr>
          <w:bCs/>
          <w:lang w:val="en-US"/>
        </w:rPr>
        <w:t>Types of Anxiety and Fear-Related Disorders</w:t>
      </w:r>
    </w:p>
    <w:p w:rsidR="00800BA3" w:rsidRPr="00E91BD1" w:rsidRDefault="00E91BD1" w:rsidP="00E91BD1">
      <w:pPr>
        <w:pStyle w:val="ListParagraph"/>
        <w:numPr>
          <w:ilvl w:val="1"/>
          <w:numId w:val="5"/>
        </w:numPr>
        <w:rPr>
          <w:bCs/>
          <w:lang w:val="en-US"/>
        </w:rPr>
      </w:pPr>
      <w:r w:rsidRPr="00E91BD1">
        <w:rPr>
          <w:bCs/>
          <w:lang w:val="en-US"/>
        </w:rPr>
        <w:t>Critical Evaluation of Classification</w:t>
      </w:r>
    </w:p>
    <w:p w:rsidR="00800BA3" w:rsidRPr="00800BA3" w:rsidRDefault="00800BA3" w:rsidP="00800BA3">
      <w:pPr>
        <w:ind w:left="1440"/>
        <w:rPr>
          <w:bCs/>
          <w:lang w:val="en-US"/>
        </w:rPr>
      </w:pPr>
    </w:p>
    <w:p w:rsidR="00800BA3" w:rsidRPr="00800BA3" w:rsidRDefault="00176F16">
      <w:pPr>
        <w:pStyle w:val="ListParagraph"/>
        <w:numPr>
          <w:ilvl w:val="0"/>
          <w:numId w:val="5"/>
        </w:numPr>
        <w:rPr>
          <w:bCs/>
          <w:lang w:val="en-US"/>
        </w:rPr>
      </w:pPr>
      <w:r w:rsidRPr="00176F16">
        <w:rPr>
          <w:bCs/>
          <w:lang w:val="en-US"/>
        </w:rPr>
        <w:t>Diagnosis of Anxiety and Fear-Related Disorders</w:t>
      </w:r>
      <w:r w:rsidR="00800BA3" w:rsidRPr="00800BA3">
        <w:rPr>
          <w:bCs/>
          <w:lang w:val="en-US"/>
        </w:rPr>
        <w:t xml:space="preserve"> </w:t>
      </w:r>
    </w:p>
    <w:p w:rsidR="00800BA3" w:rsidRPr="00800BA3" w:rsidRDefault="00176F16">
      <w:pPr>
        <w:numPr>
          <w:ilvl w:val="1"/>
          <w:numId w:val="5"/>
        </w:numPr>
        <w:rPr>
          <w:bCs/>
          <w:lang w:val="en-US"/>
        </w:rPr>
      </w:pPr>
      <w:r w:rsidRPr="00176F16">
        <w:rPr>
          <w:bCs/>
          <w:lang w:val="en-US"/>
        </w:rPr>
        <w:t>Diagnostic Criteria</w:t>
      </w:r>
    </w:p>
    <w:p w:rsidR="00800BA3" w:rsidRPr="00800BA3" w:rsidRDefault="00E91BD1">
      <w:pPr>
        <w:numPr>
          <w:ilvl w:val="1"/>
          <w:numId w:val="5"/>
        </w:numPr>
        <w:rPr>
          <w:bCs/>
          <w:lang w:val="en-US"/>
        </w:rPr>
      </w:pPr>
      <w:r w:rsidRPr="00E91BD1">
        <w:rPr>
          <w:bCs/>
          <w:lang w:val="en-US"/>
        </w:rPr>
        <w:t>Diagnostic Assessment Process</w:t>
      </w:r>
    </w:p>
    <w:p w:rsidR="00800BA3" w:rsidRPr="00176F16" w:rsidRDefault="00176F16" w:rsidP="00176F16">
      <w:pPr>
        <w:numPr>
          <w:ilvl w:val="1"/>
          <w:numId w:val="5"/>
        </w:numPr>
        <w:rPr>
          <w:bCs/>
          <w:lang w:val="en-US"/>
        </w:rPr>
      </w:pPr>
      <w:r w:rsidRPr="00176F16">
        <w:rPr>
          <w:bCs/>
          <w:lang w:val="en-US"/>
        </w:rPr>
        <w:t>Critical Evaluation of Diagnosis</w:t>
      </w:r>
    </w:p>
    <w:p w:rsidR="00800BA3" w:rsidRPr="00800BA3" w:rsidRDefault="00800BA3" w:rsidP="00800BA3">
      <w:pPr>
        <w:ind w:left="1440"/>
        <w:rPr>
          <w:bCs/>
          <w:lang w:val="en-US"/>
        </w:rPr>
      </w:pPr>
    </w:p>
    <w:p w:rsidR="00800BA3" w:rsidRPr="00800BA3" w:rsidRDefault="00E91BD1">
      <w:pPr>
        <w:numPr>
          <w:ilvl w:val="0"/>
          <w:numId w:val="5"/>
        </w:numPr>
        <w:spacing w:before="100" w:beforeAutospacing="1" w:after="100" w:afterAutospacing="1" w:line="240" w:lineRule="auto"/>
        <w:rPr>
          <w:rFonts w:eastAsia="Times New Roman"/>
          <w:lang w:val="en-US" w:eastAsia="en-US"/>
        </w:rPr>
      </w:pPr>
      <w:r w:rsidRPr="00E91BD1">
        <w:rPr>
          <w:rFonts w:eastAsia="Times New Roman"/>
          <w:lang w:val="en-US" w:eastAsia="en-US"/>
        </w:rPr>
        <w:t>Treatment Approaches for Anxiety and Fear-Related Disorde</w:t>
      </w:r>
      <w:r>
        <w:rPr>
          <w:rFonts w:eastAsia="Times New Roman"/>
          <w:lang w:val="en-US" w:eastAsia="en-US"/>
        </w:rPr>
        <w:t>rs</w:t>
      </w:r>
    </w:p>
    <w:p w:rsidR="00800BA3" w:rsidRPr="00800BA3" w:rsidRDefault="00E91BD1">
      <w:pPr>
        <w:numPr>
          <w:ilvl w:val="1"/>
          <w:numId w:val="5"/>
        </w:numPr>
        <w:spacing w:before="100" w:beforeAutospacing="1" w:after="100" w:afterAutospacing="1" w:line="240" w:lineRule="auto"/>
        <w:rPr>
          <w:rFonts w:eastAsia="Times New Roman"/>
          <w:lang w:val="en-US" w:eastAsia="en-US"/>
        </w:rPr>
      </w:pPr>
      <w:r w:rsidRPr="00E91BD1">
        <w:rPr>
          <w:rFonts w:eastAsia="Times New Roman"/>
          <w:lang w:val="en-US" w:eastAsia="en-US"/>
        </w:rPr>
        <w:t xml:space="preserve">Cognitive </w:t>
      </w:r>
      <w:proofErr w:type="spellStart"/>
      <w:r w:rsidRPr="00E91BD1">
        <w:rPr>
          <w:rFonts w:eastAsia="Times New Roman"/>
          <w:lang w:val="en-US" w:eastAsia="en-US"/>
        </w:rPr>
        <w:t>Behavioural</w:t>
      </w:r>
      <w:proofErr w:type="spellEnd"/>
      <w:r w:rsidRPr="00E91BD1">
        <w:rPr>
          <w:rFonts w:eastAsia="Times New Roman"/>
          <w:lang w:val="en-US" w:eastAsia="en-US"/>
        </w:rPr>
        <w:t xml:space="preserve"> Therapy</w:t>
      </w:r>
    </w:p>
    <w:p w:rsidR="00800BA3" w:rsidRPr="00800BA3" w:rsidRDefault="00E91BD1">
      <w:pPr>
        <w:numPr>
          <w:ilvl w:val="1"/>
          <w:numId w:val="5"/>
        </w:numPr>
        <w:spacing w:before="100" w:beforeAutospacing="1" w:after="100" w:afterAutospacing="1" w:line="240" w:lineRule="auto"/>
        <w:rPr>
          <w:rFonts w:eastAsia="Times New Roman"/>
          <w:lang w:val="en-US" w:eastAsia="en-US"/>
        </w:rPr>
      </w:pPr>
      <w:r w:rsidRPr="00E91BD1">
        <w:rPr>
          <w:rFonts w:eastAsia="Times New Roman"/>
          <w:lang w:val="en-US" w:eastAsia="en-US"/>
        </w:rPr>
        <w:t>Exposure Therapy</w:t>
      </w:r>
    </w:p>
    <w:p w:rsidR="00800BA3" w:rsidRDefault="00E91BD1" w:rsidP="00176F16">
      <w:pPr>
        <w:numPr>
          <w:ilvl w:val="1"/>
          <w:numId w:val="5"/>
        </w:numPr>
        <w:spacing w:before="100" w:beforeAutospacing="1" w:after="100" w:afterAutospacing="1" w:line="240" w:lineRule="auto"/>
        <w:rPr>
          <w:rFonts w:eastAsia="Times New Roman"/>
          <w:lang w:val="en-US" w:eastAsia="en-US"/>
        </w:rPr>
      </w:pPr>
      <w:r w:rsidRPr="00E91BD1">
        <w:rPr>
          <w:rFonts w:eastAsia="Times New Roman"/>
          <w:lang w:val="en-US" w:eastAsia="en-US"/>
        </w:rPr>
        <w:t>Mindfulness-Based Therapy</w:t>
      </w:r>
    </w:p>
    <w:p w:rsidR="00E91BD1" w:rsidRDefault="00E91BD1" w:rsidP="00176F16">
      <w:pPr>
        <w:numPr>
          <w:ilvl w:val="1"/>
          <w:numId w:val="5"/>
        </w:numPr>
        <w:spacing w:before="100" w:beforeAutospacing="1" w:after="100" w:afterAutospacing="1" w:line="240" w:lineRule="auto"/>
        <w:rPr>
          <w:rFonts w:eastAsia="Times New Roman"/>
          <w:lang w:val="en-US" w:eastAsia="en-US"/>
        </w:rPr>
      </w:pPr>
      <w:r w:rsidRPr="00E91BD1">
        <w:rPr>
          <w:rFonts w:eastAsia="Times New Roman"/>
          <w:lang w:val="en-US" w:eastAsia="en-US"/>
        </w:rPr>
        <w:t>Pharmacological Treatments: SSRIs and SNRIs</w:t>
      </w:r>
      <w:r>
        <w:rPr>
          <w:rFonts w:eastAsia="Times New Roman"/>
          <w:lang w:val="en-US" w:eastAsia="en-US"/>
        </w:rPr>
        <w:tab/>
      </w:r>
    </w:p>
    <w:p w:rsidR="00176F16" w:rsidRPr="00176F16" w:rsidRDefault="00176F16" w:rsidP="00176F16">
      <w:pPr>
        <w:spacing w:before="100" w:beforeAutospacing="1" w:after="100" w:afterAutospacing="1" w:line="240" w:lineRule="auto"/>
        <w:ind w:left="1692"/>
        <w:rPr>
          <w:rFonts w:eastAsia="Times New Roman"/>
          <w:lang w:val="en-US" w:eastAsia="en-US"/>
        </w:rPr>
      </w:pPr>
    </w:p>
    <w:p w:rsidR="00800BA3" w:rsidRPr="00800BA3" w:rsidRDefault="00503F5C">
      <w:pPr>
        <w:numPr>
          <w:ilvl w:val="0"/>
          <w:numId w:val="5"/>
        </w:numPr>
        <w:spacing w:before="100" w:beforeAutospacing="1" w:after="100" w:afterAutospacing="1" w:line="240" w:lineRule="auto"/>
        <w:rPr>
          <w:rFonts w:eastAsia="Times New Roman"/>
          <w:lang w:val="en-US" w:eastAsia="en-US"/>
        </w:rPr>
      </w:pPr>
      <w:r w:rsidRPr="00503F5C">
        <w:rPr>
          <w:rFonts w:eastAsia="Times New Roman"/>
          <w:lang w:val="en-US" w:eastAsia="en-US"/>
        </w:rPr>
        <w:t>Current Debates and Emerging Issues in Anxiety and Fear-Related Disorders</w:t>
      </w:r>
    </w:p>
    <w:p w:rsidR="00800BA3" w:rsidRPr="00800BA3" w:rsidRDefault="00503F5C">
      <w:pPr>
        <w:numPr>
          <w:ilvl w:val="1"/>
          <w:numId w:val="5"/>
        </w:numPr>
        <w:spacing w:before="100" w:beforeAutospacing="1" w:after="100" w:afterAutospacing="1" w:line="240" w:lineRule="auto"/>
        <w:rPr>
          <w:rFonts w:eastAsia="Times New Roman"/>
          <w:lang w:val="en-US" w:eastAsia="en-US"/>
        </w:rPr>
      </w:pPr>
      <w:r w:rsidRPr="00503F5C">
        <w:rPr>
          <w:rFonts w:eastAsia="Times New Roman"/>
          <w:lang w:val="en-US" w:eastAsia="en-US"/>
        </w:rPr>
        <w:t>Over-</w:t>
      </w:r>
      <w:proofErr w:type="spellStart"/>
      <w:r w:rsidRPr="00503F5C">
        <w:rPr>
          <w:rFonts w:eastAsia="Times New Roman"/>
          <w:lang w:val="en-US" w:eastAsia="en-US"/>
        </w:rPr>
        <w:t>Medicalisation</w:t>
      </w:r>
      <w:proofErr w:type="spellEnd"/>
      <w:r w:rsidRPr="00503F5C">
        <w:rPr>
          <w:rFonts w:eastAsia="Times New Roman"/>
          <w:lang w:val="en-US" w:eastAsia="en-US"/>
        </w:rPr>
        <w:t xml:space="preserve"> of Anxiety</w:t>
      </w:r>
    </w:p>
    <w:p w:rsidR="00800BA3" w:rsidRPr="00800BA3" w:rsidRDefault="00503F5C">
      <w:pPr>
        <w:numPr>
          <w:ilvl w:val="1"/>
          <w:numId w:val="5"/>
        </w:numPr>
        <w:spacing w:before="100" w:beforeAutospacing="1" w:after="100" w:afterAutospacing="1" w:line="240" w:lineRule="auto"/>
        <w:rPr>
          <w:rFonts w:eastAsia="Times New Roman"/>
          <w:lang w:val="en-US" w:eastAsia="en-US"/>
        </w:rPr>
      </w:pPr>
      <w:r w:rsidRPr="00503F5C">
        <w:rPr>
          <w:rFonts w:eastAsia="Times New Roman"/>
          <w:lang w:val="en-US" w:eastAsia="en-US"/>
        </w:rPr>
        <w:t>DSM-5 versus ICD-11</w:t>
      </w:r>
    </w:p>
    <w:p w:rsidR="006B21BB" w:rsidRDefault="00503F5C" w:rsidP="00176F16">
      <w:pPr>
        <w:numPr>
          <w:ilvl w:val="1"/>
          <w:numId w:val="5"/>
        </w:numPr>
        <w:spacing w:before="100" w:beforeAutospacing="1" w:after="100" w:afterAutospacing="1" w:line="240" w:lineRule="auto"/>
        <w:rPr>
          <w:rFonts w:eastAsia="Times New Roman"/>
          <w:lang w:val="en-US" w:eastAsia="en-US"/>
        </w:rPr>
      </w:pPr>
      <w:r w:rsidRPr="00503F5C">
        <w:rPr>
          <w:rFonts w:eastAsia="Times New Roman"/>
          <w:lang w:val="en-US" w:eastAsia="en-US"/>
        </w:rPr>
        <w:t>Neurodiversity Debate</w:t>
      </w:r>
    </w:p>
    <w:p w:rsidR="00176F16" w:rsidRPr="00136CE9" w:rsidRDefault="00503F5C" w:rsidP="00136CE9">
      <w:pPr>
        <w:numPr>
          <w:ilvl w:val="1"/>
          <w:numId w:val="5"/>
        </w:numPr>
        <w:spacing w:before="100" w:beforeAutospacing="1" w:after="100" w:afterAutospacing="1" w:line="240" w:lineRule="auto"/>
        <w:rPr>
          <w:rFonts w:eastAsia="Times New Roman"/>
          <w:lang w:val="en-US" w:eastAsia="en-US"/>
        </w:rPr>
      </w:pPr>
      <w:r w:rsidRPr="00503F5C">
        <w:rPr>
          <w:rFonts w:eastAsia="Times New Roman"/>
          <w:lang w:val="en-US" w:eastAsia="en-US"/>
        </w:rPr>
        <w:t>Cultural Validity</w:t>
      </w:r>
    </w:p>
    <w:p w:rsidR="00176F16" w:rsidRDefault="00176F16" w:rsidP="00176F16">
      <w:pPr>
        <w:pStyle w:val="ListParagraph"/>
        <w:numPr>
          <w:ilvl w:val="0"/>
          <w:numId w:val="6"/>
        </w:numPr>
        <w:spacing w:before="100" w:beforeAutospacing="1" w:after="100" w:afterAutospacing="1" w:line="240" w:lineRule="auto"/>
        <w:rPr>
          <w:rFonts w:eastAsia="Times New Roman"/>
          <w:lang w:val="en-US" w:eastAsia="en-US"/>
        </w:rPr>
      </w:pPr>
      <w:r w:rsidRPr="00176F16">
        <w:rPr>
          <w:rFonts w:eastAsia="Times New Roman"/>
          <w:lang w:val="en-US" w:eastAsia="en-US"/>
        </w:rPr>
        <w:t>Recommendations</w:t>
      </w:r>
    </w:p>
    <w:p w:rsidR="00176F16" w:rsidRPr="00176F16" w:rsidRDefault="00176F16" w:rsidP="00176F16">
      <w:pPr>
        <w:pStyle w:val="ListParagraph"/>
        <w:spacing w:before="100" w:beforeAutospacing="1" w:after="100" w:afterAutospacing="1" w:line="240" w:lineRule="auto"/>
        <w:ind w:left="1350"/>
        <w:rPr>
          <w:rFonts w:eastAsia="Times New Roman"/>
          <w:lang w:val="en-US" w:eastAsia="en-US"/>
        </w:rPr>
      </w:pPr>
    </w:p>
    <w:p w:rsidR="00176F16" w:rsidRDefault="00176F16" w:rsidP="00176F16">
      <w:pPr>
        <w:pStyle w:val="ListParagraph"/>
        <w:numPr>
          <w:ilvl w:val="0"/>
          <w:numId w:val="6"/>
        </w:numPr>
        <w:spacing w:before="100" w:beforeAutospacing="1" w:after="100" w:afterAutospacing="1" w:line="240" w:lineRule="auto"/>
        <w:rPr>
          <w:rFonts w:eastAsia="Times New Roman"/>
          <w:lang w:val="en-US" w:eastAsia="en-US"/>
        </w:rPr>
      </w:pPr>
      <w:r w:rsidRPr="00176F16">
        <w:rPr>
          <w:rFonts w:eastAsia="Times New Roman"/>
          <w:lang w:val="en-US" w:eastAsia="en-US"/>
        </w:rPr>
        <w:t>Conclusion</w:t>
      </w:r>
    </w:p>
    <w:p w:rsidR="00176F16" w:rsidRPr="00176F16" w:rsidRDefault="00176F16" w:rsidP="00176F16">
      <w:pPr>
        <w:pStyle w:val="ListParagraph"/>
        <w:rPr>
          <w:rFonts w:eastAsia="Times New Roman"/>
          <w:lang w:val="en-US" w:eastAsia="en-US"/>
        </w:rPr>
      </w:pPr>
    </w:p>
    <w:p w:rsidR="00176F16" w:rsidRPr="00176F16" w:rsidRDefault="00176F16" w:rsidP="00176F16">
      <w:pPr>
        <w:pStyle w:val="ListParagraph"/>
        <w:numPr>
          <w:ilvl w:val="0"/>
          <w:numId w:val="6"/>
        </w:numPr>
        <w:spacing w:before="100" w:beforeAutospacing="1" w:after="100" w:afterAutospacing="1" w:line="240" w:lineRule="auto"/>
        <w:rPr>
          <w:rFonts w:eastAsia="Times New Roman"/>
          <w:lang w:val="en-US" w:eastAsia="en-US"/>
        </w:rPr>
      </w:pPr>
      <w:r>
        <w:rPr>
          <w:rFonts w:eastAsia="Times New Roman"/>
          <w:lang w:val="en-US" w:eastAsia="en-US"/>
        </w:rPr>
        <w:t>References</w:t>
      </w:r>
    </w:p>
    <w:p w:rsidR="00800BA3" w:rsidRDefault="00800BA3" w:rsidP="00F56E3A">
      <w:pPr>
        <w:rPr>
          <w:bCs/>
        </w:rPr>
      </w:pPr>
    </w:p>
    <w:p w:rsidR="00800BA3" w:rsidRDefault="00800BA3" w:rsidP="00F56E3A">
      <w:pPr>
        <w:rPr>
          <w:bCs/>
        </w:rPr>
      </w:pPr>
    </w:p>
    <w:p w:rsidR="00800BA3" w:rsidRDefault="00800BA3" w:rsidP="00F56E3A">
      <w:pPr>
        <w:rPr>
          <w:bCs/>
        </w:rPr>
      </w:pPr>
    </w:p>
    <w:p w:rsidR="00800BA3" w:rsidRDefault="00800BA3" w:rsidP="00F56E3A">
      <w:pPr>
        <w:rPr>
          <w:bCs/>
        </w:rPr>
      </w:pPr>
    </w:p>
    <w:p w:rsidR="00800BA3" w:rsidRDefault="00800BA3" w:rsidP="00F56E3A">
      <w:pPr>
        <w:rPr>
          <w:bCs/>
        </w:rPr>
      </w:pPr>
    </w:p>
    <w:p w:rsidR="00800BA3" w:rsidRDefault="00800BA3" w:rsidP="00F56E3A">
      <w:pPr>
        <w:rPr>
          <w:bCs/>
        </w:rPr>
      </w:pPr>
    </w:p>
    <w:p w:rsidR="006B21BB" w:rsidRDefault="006B21BB" w:rsidP="00F56E3A">
      <w:pPr>
        <w:rPr>
          <w:bCs/>
        </w:rPr>
      </w:pPr>
    </w:p>
    <w:p w:rsidR="00B468A4" w:rsidRDefault="00B468A4" w:rsidP="00F56E3A">
      <w:pPr>
        <w:rPr>
          <w:bCs/>
        </w:rPr>
      </w:pPr>
    </w:p>
    <w:p w:rsidR="00B468A4" w:rsidRDefault="00B468A4" w:rsidP="00F56E3A">
      <w:pPr>
        <w:rPr>
          <w:bCs/>
        </w:rPr>
      </w:pPr>
    </w:p>
    <w:p w:rsidR="00B468A4" w:rsidRDefault="00B468A4" w:rsidP="00F56E3A">
      <w:pPr>
        <w:rPr>
          <w:bCs/>
        </w:rPr>
      </w:pPr>
    </w:p>
    <w:p w:rsidR="006B21BB" w:rsidRDefault="006B21BB" w:rsidP="00F56E3A">
      <w:pPr>
        <w:rPr>
          <w:bCs/>
        </w:rPr>
      </w:pPr>
    </w:p>
    <w:p w:rsidR="00800BA3" w:rsidRDefault="00800BA3" w:rsidP="00F56E3A">
      <w:pPr>
        <w:rPr>
          <w:bCs/>
        </w:rPr>
      </w:pPr>
    </w:p>
    <w:p w:rsidR="00800BA3" w:rsidRPr="00A97E29" w:rsidRDefault="00800BA3" w:rsidP="00F56E3A">
      <w:pPr>
        <w:rPr>
          <w:bCs/>
        </w:rPr>
      </w:pPr>
    </w:p>
    <w:p w:rsidR="00F411F3" w:rsidRPr="00A97E29" w:rsidRDefault="00F411F3" w:rsidP="00F56E3A">
      <w:pPr>
        <w:rPr>
          <w:b/>
          <w:bCs/>
        </w:rPr>
      </w:pPr>
    </w:p>
    <w:p w:rsidR="00515F5E" w:rsidRPr="00A97E29" w:rsidRDefault="00F411F3">
      <w:pPr>
        <w:pStyle w:val="ListParagraph"/>
        <w:numPr>
          <w:ilvl w:val="0"/>
          <w:numId w:val="2"/>
        </w:numPr>
        <w:spacing w:before="100" w:beforeAutospacing="1" w:after="100" w:afterAutospacing="1" w:line="360" w:lineRule="auto"/>
        <w:outlineLvl w:val="1"/>
        <w:rPr>
          <w:rFonts w:eastAsia="Times New Roman"/>
          <w:b/>
          <w:bCs/>
          <w:lang w:eastAsia="en-GB"/>
        </w:rPr>
      </w:pPr>
      <w:r w:rsidRPr="00A97E29">
        <w:rPr>
          <w:rFonts w:eastAsia="Times New Roman"/>
          <w:b/>
          <w:bCs/>
          <w:lang w:eastAsia="en-GB"/>
        </w:rPr>
        <w:lastRenderedPageBreak/>
        <w:t>Introduction</w:t>
      </w:r>
    </w:p>
    <w:p w:rsidR="00B30B29" w:rsidRPr="00B30B29" w:rsidRDefault="00B30B29" w:rsidP="00B30B29">
      <w:pPr>
        <w:pStyle w:val="NormalWeb"/>
        <w:spacing w:line="360" w:lineRule="auto"/>
        <w:ind w:left="644"/>
        <w:rPr>
          <w:rFonts w:ascii="Arial" w:hAnsi="Arial" w:cs="Arial"/>
          <w:sz w:val="22"/>
          <w:szCs w:val="22"/>
        </w:rPr>
      </w:pPr>
      <w:r w:rsidRPr="00B30B29">
        <w:rPr>
          <w:rFonts w:ascii="Arial" w:hAnsi="Arial" w:cs="Arial"/>
          <w:sz w:val="22"/>
          <w:szCs w:val="22"/>
        </w:rPr>
        <w:t>Anxiety and Fear-Related Disorders are among the most prevalent mental health conditions globally and represent a significant public health concern. The World Health Organization (WHO) classifies these conditions within Chapter 6 of the International Classification of Diseases, Eleventh Revision (ICD-11), under Mental, Behavioural and Neurodevelopmental Disorders. These disorders are characterised by excessive fear, anxiety, and associated behavioural disturbances that result in clinically significant distress or impairment in personal, social, educational, or occupational functioning (WHO, 2022).</w:t>
      </w:r>
    </w:p>
    <w:p w:rsidR="00864267" w:rsidRDefault="00B30B29" w:rsidP="00B30B29">
      <w:pPr>
        <w:pStyle w:val="NormalWeb"/>
        <w:spacing w:line="360" w:lineRule="auto"/>
        <w:ind w:left="644"/>
        <w:rPr>
          <w:rFonts w:ascii="Arial" w:hAnsi="Arial" w:cs="Arial"/>
          <w:sz w:val="22"/>
          <w:szCs w:val="22"/>
        </w:rPr>
      </w:pPr>
      <w:r w:rsidRPr="00B30B29">
        <w:rPr>
          <w:rFonts w:ascii="Arial" w:hAnsi="Arial" w:cs="Arial"/>
          <w:sz w:val="22"/>
          <w:szCs w:val="22"/>
        </w:rPr>
        <w:t>Fear and anxiety are normal emotional responses that play an important adaptive role in protecting individuals from potential threats. However, when these responses become excessive, persistent, and disproportionate to the actual danger present, they may develop into clinically diagnosable disorders. Anxiety and fear-related disorders encompass a range of conditions including Generalized Anxiety Disorder (GAD), Panic Disorder, Agoraphobia, Social Anxiety Disorder, Specific Phobia, Separation Anxiety Disorder, and Selective Mutism</w:t>
      </w:r>
      <w:r w:rsidR="00D9098E" w:rsidRPr="00D9098E">
        <w:rPr>
          <w:rFonts w:ascii="Arial" w:hAnsi="Arial" w:cs="Arial"/>
          <w:sz w:val="22"/>
          <w:szCs w:val="22"/>
        </w:rPr>
        <w:t>.</w:t>
      </w:r>
    </w:p>
    <w:p w:rsidR="00B30B29" w:rsidRPr="00D9098E" w:rsidRDefault="00B30B29" w:rsidP="00B30B29">
      <w:pPr>
        <w:pStyle w:val="NormalWeb"/>
        <w:spacing w:line="360" w:lineRule="auto"/>
        <w:ind w:left="644"/>
        <w:rPr>
          <w:rFonts w:ascii="Arial" w:hAnsi="Arial" w:cs="Arial"/>
          <w:sz w:val="22"/>
          <w:szCs w:val="22"/>
        </w:rPr>
      </w:pPr>
      <w:r w:rsidRPr="00B30B29">
        <w:rPr>
          <w:rFonts w:ascii="Arial" w:hAnsi="Arial" w:cs="Arial"/>
          <w:sz w:val="22"/>
          <w:szCs w:val="22"/>
        </w:rPr>
        <w:t>This report critically examines the classification, diagnosis, treatment, and rehabilitation of anxiety and fear-related disorders within the ICD-11 framework. Furthermore, it evaluates contemporary debates concerning over-medicalisation, neurodiversity, cultural influences, and diagnostic validity. Finally, recommendations are proposed to improve future classification systems, clinical practice, and policy development.</w:t>
      </w:r>
    </w:p>
    <w:p w:rsidR="00A97E29" w:rsidRDefault="00B30B29">
      <w:pPr>
        <w:pStyle w:val="NormalWeb"/>
        <w:numPr>
          <w:ilvl w:val="0"/>
          <w:numId w:val="4"/>
        </w:numPr>
        <w:spacing w:line="360" w:lineRule="auto"/>
        <w:jc w:val="both"/>
        <w:rPr>
          <w:rFonts w:ascii="Arial" w:hAnsi="Arial" w:cs="Arial"/>
          <w:b/>
          <w:bCs/>
          <w:color w:val="0D0D0D" w:themeColor="text1" w:themeTint="F2"/>
          <w:sz w:val="22"/>
          <w:szCs w:val="22"/>
        </w:rPr>
      </w:pPr>
      <w:r w:rsidRPr="00B30B29">
        <w:rPr>
          <w:rFonts w:ascii="Arial" w:hAnsi="Arial" w:cs="Arial"/>
          <w:b/>
          <w:bCs/>
          <w:color w:val="0D0D0D" w:themeColor="text1" w:themeTint="F2"/>
          <w:sz w:val="22"/>
          <w:szCs w:val="22"/>
        </w:rPr>
        <w:t>Classification of Anxiety and Fear-Related Disorders in ICD-11</w:t>
      </w:r>
    </w:p>
    <w:p w:rsidR="00D9098E" w:rsidRDefault="00B30B29">
      <w:pPr>
        <w:pStyle w:val="NormalWeb"/>
        <w:numPr>
          <w:ilvl w:val="1"/>
          <w:numId w:val="4"/>
        </w:numPr>
        <w:spacing w:line="360" w:lineRule="auto"/>
        <w:jc w:val="both"/>
        <w:rPr>
          <w:rFonts w:ascii="Arial" w:hAnsi="Arial" w:cs="Arial"/>
          <w:b/>
          <w:bCs/>
          <w:color w:val="0D0D0D" w:themeColor="text1" w:themeTint="F2"/>
          <w:sz w:val="22"/>
          <w:szCs w:val="22"/>
        </w:rPr>
      </w:pPr>
      <w:r w:rsidRPr="00B30B29">
        <w:rPr>
          <w:rFonts w:ascii="Arial" w:hAnsi="Arial" w:cs="Arial"/>
          <w:b/>
          <w:bCs/>
          <w:color w:val="0D0D0D" w:themeColor="text1" w:themeTint="F2"/>
          <w:sz w:val="22"/>
          <w:szCs w:val="22"/>
        </w:rPr>
        <w:t>ICD-11 Classification Framework</w:t>
      </w:r>
    </w:p>
    <w:p w:rsidR="00B30B29" w:rsidRPr="00B30B29" w:rsidRDefault="00B30B29" w:rsidP="00B30B29">
      <w:pPr>
        <w:pStyle w:val="NormalWeb"/>
        <w:spacing w:line="360" w:lineRule="auto"/>
        <w:ind w:left="360"/>
        <w:rPr>
          <w:rFonts w:ascii="Arial" w:hAnsi="Arial" w:cs="Arial"/>
          <w:sz w:val="22"/>
          <w:szCs w:val="22"/>
        </w:rPr>
      </w:pPr>
      <w:r w:rsidRPr="00B30B29">
        <w:rPr>
          <w:rFonts w:ascii="Arial" w:hAnsi="Arial" w:cs="Arial"/>
          <w:sz w:val="22"/>
          <w:szCs w:val="22"/>
        </w:rPr>
        <w:t>The ICD-11 represents the latest international diagnostic framework developed by the World Health Organization for classifying diseases and health conditions. Within Chapter 6, Anxiety and Fear-Related Disorders are categorised as a distinct group of mental disorders characterised by excessive fear, anxiety, and related behavioural disturbances that significantly interfere with daily functioning (WHO, 2022).</w:t>
      </w:r>
    </w:p>
    <w:p w:rsidR="00A97E29" w:rsidRPr="00D9098E" w:rsidRDefault="00B30B29" w:rsidP="00B30B29">
      <w:pPr>
        <w:pStyle w:val="NormalWeb"/>
        <w:spacing w:line="360" w:lineRule="auto"/>
        <w:ind w:left="360"/>
        <w:rPr>
          <w:rFonts w:ascii="Arial" w:hAnsi="Arial" w:cs="Arial"/>
          <w:sz w:val="22"/>
          <w:szCs w:val="22"/>
        </w:rPr>
      </w:pPr>
      <w:r w:rsidRPr="00B30B29">
        <w:rPr>
          <w:rFonts w:ascii="Arial" w:hAnsi="Arial" w:cs="Arial"/>
          <w:sz w:val="22"/>
          <w:szCs w:val="22"/>
        </w:rPr>
        <w:t xml:space="preserve">A major strength of ICD-11 is its attempt to improve clinical utility while maintaining scientific validity. Unlike previous editions, ICD-11 provides clearer diagnostic boundaries and emphasises functional impairment as a key criterion for diagnosis. This </w:t>
      </w:r>
      <w:r w:rsidRPr="00B30B29">
        <w:rPr>
          <w:rFonts w:ascii="Arial" w:hAnsi="Arial" w:cs="Arial"/>
          <w:sz w:val="22"/>
          <w:szCs w:val="22"/>
        </w:rPr>
        <w:lastRenderedPageBreak/>
        <w:t>approach aims to reduce diagnostic ambiguity and improve consistency among healthcare professionals</w:t>
      </w:r>
      <w:r w:rsidR="00D9098E" w:rsidRPr="00D9098E">
        <w:rPr>
          <w:rFonts w:ascii="Arial" w:hAnsi="Arial" w:cs="Arial"/>
          <w:sz w:val="22"/>
          <w:szCs w:val="22"/>
        </w:rPr>
        <w:t>.</w:t>
      </w:r>
    </w:p>
    <w:p w:rsidR="00FF5125" w:rsidRPr="00FF5125" w:rsidRDefault="00B30B29">
      <w:pPr>
        <w:pStyle w:val="NormalWeb"/>
        <w:numPr>
          <w:ilvl w:val="1"/>
          <w:numId w:val="4"/>
        </w:numPr>
        <w:spacing w:line="360" w:lineRule="auto"/>
        <w:rPr>
          <w:rFonts w:ascii="Arial" w:hAnsi="Arial" w:cs="Arial"/>
          <w:b/>
          <w:bCs/>
          <w:sz w:val="22"/>
          <w:szCs w:val="22"/>
        </w:rPr>
      </w:pPr>
      <w:r w:rsidRPr="00B30B29">
        <w:rPr>
          <w:rFonts w:ascii="Arial" w:hAnsi="Arial" w:cs="Arial"/>
          <w:b/>
          <w:bCs/>
          <w:sz w:val="22"/>
          <w:szCs w:val="22"/>
        </w:rPr>
        <w:t>Types of Anxiety and Fear-Related Disorders</w:t>
      </w:r>
    </w:p>
    <w:p w:rsidR="00B30B29" w:rsidRPr="009D27A5" w:rsidRDefault="00B30B29" w:rsidP="00B30B29">
      <w:pPr>
        <w:pStyle w:val="NormalWeb"/>
        <w:spacing w:line="360" w:lineRule="auto"/>
        <w:ind w:left="360"/>
        <w:rPr>
          <w:rFonts w:ascii="Arial" w:hAnsi="Arial" w:cs="Arial"/>
          <w:sz w:val="22"/>
          <w:szCs w:val="22"/>
        </w:rPr>
      </w:pPr>
      <w:r w:rsidRPr="009D27A5">
        <w:rPr>
          <w:rFonts w:ascii="Arial" w:hAnsi="Arial" w:cs="Arial"/>
          <w:sz w:val="22"/>
          <w:szCs w:val="22"/>
        </w:rPr>
        <w:t>The ICD-11 includes several disorders within this category:</w:t>
      </w:r>
    </w:p>
    <w:p w:rsidR="00B30B29" w:rsidRPr="009D27A5" w:rsidRDefault="00B30B29" w:rsidP="009D27A5">
      <w:pPr>
        <w:pStyle w:val="NormalWeb"/>
        <w:numPr>
          <w:ilvl w:val="0"/>
          <w:numId w:val="18"/>
        </w:numPr>
        <w:spacing w:line="360" w:lineRule="auto"/>
        <w:rPr>
          <w:rFonts w:ascii="Arial" w:hAnsi="Arial" w:cs="Arial"/>
          <w:b/>
          <w:bCs/>
          <w:sz w:val="22"/>
          <w:szCs w:val="22"/>
        </w:rPr>
      </w:pPr>
      <w:r w:rsidRPr="00B30B29">
        <w:rPr>
          <w:rFonts w:ascii="Arial" w:hAnsi="Arial" w:cs="Arial"/>
          <w:b/>
          <w:bCs/>
          <w:sz w:val="22"/>
          <w:szCs w:val="22"/>
        </w:rPr>
        <w:t>Generalized Anxiety Disorder (GAD)</w:t>
      </w:r>
      <w:r w:rsidR="009D27A5">
        <w:rPr>
          <w:rFonts w:ascii="Arial" w:hAnsi="Arial" w:cs="Arial"/>
          <w:b/>
          <w:bCs/>
          <w:sz w:val="22"/>
          <w:szCs w:val="22"/>
        </w:rPr>
        <w:t xml:space="preserve">: </w:t>
      </w:r>
      <w:r w:rsidRPr="009D27A5">
        <w:rPr>
          <w:rFonts w:ascii="Arial" w:hAnsi="Arial" w:cs="Arial"/>
          <w:sz w:val="22"/>
          <w:szCs w:val="22"/>
        </w:rPr>
        <w:t>GAD is characterised by persistent and excessive anxiety occurring across multiple life domains, including work, education, finances, and relationships. Individuals often experience chronic worrying that is difficult to control.</w:t>
      </w:r>
    </w:p>
    <w:p w:rsidR="009D27A5" w:rsidRPr="009D27A5" w:rsidRDefault="00B30B29" w:rsidP="009D27A5">
      <w:pPr>
        <w:pStyle w:val="NormalWeb"/>
        <w:numPr>
          <w:ilvl w:val="0"/>
          <w:numId w:val="18"/>
        </w:numPr>
        <w:spacing w:line="360" w:lineRule="auto"/>
        <w:rPr>
          <w:rFonts w:ascii="Arial" w:hAnsi="Arial" w:cs="Arial"/>
          <w:b/>
          <w:bCs/>
          <w:sz w:val="22"/>
          <w:szCs w:val="22"/>
        </w:rPr>
      </w:pPr>
      <w:r w:rsidRPr="00B30B29">
        <w:rPr>
          <w:rFonts w:ascii="Arial" w:hAnsi="Arial" w:cs="Arial"/>
          <w:b/>
          <w:bCs/>
          <w:sz w:val="22"/>
          <w:szCs w:val="22"/>
        </w:rPr>
        <w:t>Panic Disorder</w:t>
      </w:r>
      <w:r w:rsidR="009D27A5">
        <w:rPr>
          <w:rFonts w:ascii="Arial" w:hAnsi="Arial" w:cs="Arial"/>
          <w:b/>
          <w:bCs/>
          <w:sz w:val="22"/>
          <w:szCs w:val="22"/>
        </w:rPr>
        <w:t xml:space="preserve">: </w:t>
      </w:r>
      <w:r w:rsidRPr="009D27A5">
        <w:rPr>
          <w:rFonts w:ascii="Arial" w:hAnsi="Arial" w:cs="Arial"/>
          <w:sz w:val="22"/>
          <w:szCs w:val="22"/>
        </w:rPr>
        <w:t>Panic Disorder involves recurrent unexpected panic attacks accompanied by persistent concerns about future attacks or their consequences.</w:t>
      </w:r>
    </w:p>
    <w:p w:rsidR="00B30B29" w:rsidRPr="009D27A5" w:rsidRDefault="00B30B29" w:rsidP="009D27A5">
      <w:pPr>
        <w:pStyle w:val="NormalWeb"/>
        <w:numPr>
          <w:ilvl w:val="0"/>
          <w:numId w:val="18"/>
        </w:numPr>
        <w:spacing w:line="360" w:lineRule="auto"/>
        <w:rPr>
          <w:rFonts w:ascii="Arial" w:hAnsi="Arial" w:cs="Arial"/>
          <w:b/>
          <w:bCs/>
          <w:sz w:val="22"/>
          <w:szCs w:val="22"/>
        </w:rPr>
      </w:pPr>
      <w:r w:rsidRPr="00B30B29">
        <w:rPr>
          <w:rFonts w:ascii="Arial" w:hAnsi="Arial" w:cs="Arial"/>
          <w:b/>
          <w:bCs/>
          <w:sz w:val="22"/>
          <w:szCs w:val="22"/>
        </w:rPr>
        <w:t>Social Anxiety Disorder</w:t>
      </w:r>
      <w:r w:rsidR="009D27A5">
        <w:rPr>
          <w:rFonts w:ascii="Arial" w:hAnsi="Arial" w:cs="Arial"/>
          <w:b/>
          <w:bCs/>
          <w:sz w:val="22"/>
          <w:szCs w:val="22"/>
        </w:rPr>
        <w:t xml:space="preserve">: </w:t>
      </w:r>
      <w:r w:rsidRPr="009D27A5">
        <w:rPr>
          <w:rFonts w:ascii="Arial" w:hAnsi="Arial" w:cs="Arial"/>
          <w:sz w:val="22"/>
          <w:szCs w:val="22"/>
        </w:rPr>
        <w:t>This condition is characterised by intense fear of social situations where individuals may be scrutinised, judged, or embarrassed by others.</w:t>
      </w:r>
    </w:p>
    <w:p w:rsidR="00B30B29" w:rsidRPr="009D27A5" w:rsidRDefault="00B30B29" w:rsidP="009D27A5">
      <w:pPr>
        <w:pStyle w:val="NormalWeb"/>
        <w:numPr>
          <w:ilvl w:val="0"/>
          <w:numId w:val="18"/>
        </w:numPr>
        <w:spacing w:line="360" w:lineRule="auto"/>
        <w:rPr>
          <w:rFonts w:ascii="Arial" w:hAnsi="Arial" w:cs="Arial"/>
          <w:b/>
          <w:bCs/>
          <w:sz w:val="22"/>
          <w:szCs w:val="22"/>
        </w:rPr>
      </w:pPr>
      <w:r w:rsidRPr="00B30B29">
        <w:rPr>
          <w:rFonts w:ascii="Arial" w:hAnsi="Arial" w:cs="Arial"/>
          <w:b/>
          <w:bCs/>
          <w:sz w:val="22"/>
          <w:szCs w:val="22"/>
        </w:rPr>
        <w:t>Specific Phobia</w:t>
      </w:r>
      <w:r w:rsidR="009D27A5">
        <w:rPr>
          <w:rFonts w:ascii="Arial" w:hAnsi="Arial" w:cs="Arial"/>
          <w:b/>
          <w:bCs/>
          <w:sz w:val="22"/>
          <w:szCs w:val="22"/>
        </w:rPr>
        <w:t xml:space="preserve">: </w:t>
      </w:r>
      <w:r w:rsidRPr="009D27A5">
        <w:rPr>
          <w:rFonts w:ascii="Arial" w:hAnsi="Arial" w:cs="Arial"/>
          <w:sz w:val="22"/>
          <w:szCs w:val="22"/>
        </w:rPr>
        <w:t>Specific Phobias involve excessive fear associated with a particular object or situation, such as heights, animals, blood, or flying.</w:t>
      </w:r>
    </w:p>
    <w:p w:rsidR="00B30B29" w:rsidRPr="009D27A5" w:rsidRDefault="00B30B29" w:rsidP="009D27A5">
      <w:pPr>
        <w:pStyle w:val="NormalWeb"/>
        <w:numPr>
          <w:ilvl w:val="0"/>
          <w:numId w:val="18"/>
        </w:numPr>
        <w:spacing w:line="360" w:lineRule="auto"/>
        <w:rPr>
          <w:rFonts w:ascii="Arial" w:hAnsi="Arial" w:cs="Arial"/>
          <w:b/>
          <w:bCs/>
          <w:sz w:val="22"/>
          <w:szCs w:val="22"/>
        </w:rPr>
      </w:pPr>
      <w:r w:rsidRPr="00B30B29">
        <w:rPr>
          <w:rFonts w:ascii="Arial" w:hAnsi="Arial" w:cs="Arial"/>
          <w:b/>
          <w:bCs/>
          <w:sz w:val="22"/>
          <w:szCs w:val="22"/>
        </w:rPr>
        <w:t>Agoraphobia</w:t>
      </w:r>
      <w:r w:rsidR="009D27A5">
        <w:rPr>
          <w:rFonts w:ascii="Arial" w:hAnsi="Arial" w:cs="Arial"/>
          <w:b/>
          <w:bCs/>
          <w:sz w:val="22"/>
          <w:szCs w:val="22"/>
        </w:rPr>
        <w:t xml:space="preserve">: </w:t>
      </w:r>
      <w:r w:rsidRPr="009D27A5">
        <w:rPr>
          <w:rFonts w:ascii="Arial" w:hAnsi="Arial" w:cs="Arial"/>
          <w:sz w:val="22"/>
          <w:szCs w:val="22"/>
        </w:rPr>
        <w:t>Agoraphobia refers to fear and avoidance of situations where escape may be difficult or help unavailable during periods of anxiety.</w:t>
      </w:r>
    </w:p>
    <w:p w:rsidR="00B30B29" w:rsidRPr="009D27A5" w:rsidRDefault="00B30B29" w:rsidP="009D27A5">
      <w:pPr>
        <w:pStyle w:val="NormalWeb"/>
        <w:numPr>
          <w:ilvl w:val="0"/>
          <w:numId w:val="18"/>
        </w:numPr>
        <w:spacing w:line="360" w:lineRule="auto"/>
        <w:rPr>
          <w:rFonts w:ascii="Arial" w:hAnsi="Arial" w:cs="Arial"/>
          <w:b/>
          <w:bCs/>
          <w:sz w:val="22"/>
          <w:szCs w:val="22"/>
        </w:rPr>
      </w:pPr>
      <w:r w:rsidRPr="00B30B29">
        <w:rPr>
          <w:rFonts w:ascii="Arial" w:hAnsi="Arial" w:cs="Arial"/>
          <w:b/>
          <w:bCs/>
          <w:sz w:val="22"/>
          <w:szCs w:val="22"/>
        </w:rPr>
        <w:t>Separation Anxiety Disorder and Selective Mutism</w:t>
      </w:r>
      <w:r w:rsidR="009D27A5">
        <w:rPr>
          <w:rFonts w:ascii="Arial" w:hAnsi="Arial" w:cs="Arial"/>
          <w:b/>
          <w:bCs/>
          <w:sz w:val="22"/>
          <w:szCs w:val="22"/>
        </w:rPr>
        <w:t xml:space="preserve">: </w:t>
      </w:r>
      <w:r w:rsidRPr="009D27A5">
        <w:rPr>
          <w:rFonts w:ascii="Arial" w:hAnsi="Arial" w:cs="Arial"/>
          <w:sz w:val="22"/>
          <w:szCs w:val="22"/>
        </w:rPr>
        <w:t>ICD-11 recognises that these disorders can occur across the lifespan rather than being limited to childhood, reflecting contemporary evidence regarding adult presentations.</w:t>
      </w:r>
    </w:p>
    <w:p w:rsidR="00D9098E" w:rsidRDefault="009D27A5">
      <w:pPr>
        <w:pStyle w:val="NormalWeb"/>
        <w:numPr>
          <w:ilvl w:val="1"/>
          <w:numId w:val="4"/>
        </w:numPr>
        <w:spacing w:line="360" w:lineRule="auto"/>
        <w:rPr>
          <w:rFonts w:ascii="Arial" w:hAnsi="Arial" w:cs="Arial"/>
          <w:b/>
          <w:bCs/>
          <w:sz w:val="22"/>
          <w:szCs w:val="22"/>
        </w:rPr>
      </w:pPr>
      <w:r w:rsidRPr="009D27A5">
        <w:rPr>
          <w:rFonts w:ascii="Arial" w:hAnsi="Arial" w:cs="Arial"/>
          <w:b/>
          <w:bCs/>
          <w:sz w:val="22"/>
          <w:szCs w:val="22"/>
        </w:rPr>
        <w:t>Critical Evaluation of Classification</w:t>
      </w:r>
    </w:p>
    <w:p w:rsidR="009D27A5" w:rsidRPr="009D27A5" w:rsidRDefault="009D27A5" w:rsidP="009D27A5">
      <w:pPr>
        <w:pStyle w:val="NormalWeb"/>
        <w:spacing w:line="360" w:lineRule="auto"/>
        <w:ind w:left="720"/>
        <w:rPr>
          <w:rFonts w:ascii="Arial" w:hAnsi="Arial" w:cs="Arial"/>
          <w:sz w:val="22"/>
          <w:szCs w:val="22"/>
        </w:rPr>
      </w:pPr>
      <w:r w:rsidRPr="009D27A5">
        <w:rPr>
          <w:rFonts w:ascii="Arial" w:hAnsi="Arial" w:cs="Arial"/>
          <w:sz w:val="22"/>
          <w:szCs w:val="22"/>
        </w:rPr>
        <w:t>Although ICD-11 offers improved clarity, some scholars argue that diagnostic boundaries remain artificial. Many patients present with overlapping symptoms that meet criteria for multiple anxiety disorders simultaneously. This high rate of comorbidity raises questions regarding whether anxiety disorders represent distinct conditions or variations along a broader anxiety spectrum (Craske et al., 2022).</w:t>
      </w:r>
    </w:p>
    <w:p w:rsidR="001A1806" w:rsidRDefault="009D27A5" w:rsidP="009D27A5">
      <w:pPr>
        <w:pStyle w:val="NormalWeb"/>
        <w:spacing w:line="360" w:lineRule="auto"/>
        <w:ind w:left="720"/>
        <w:rPr>
          <w:rFonts w:ascii="Arial" w:hAnsi="Arial" w:cs="Arial"/>
          <w:sz w:val="22"/>
          <w:szCs w:val="22"/>
        </w:rPr>
      </w:pPr>
      <w:r w:rsidRPr="009D27A5">
        <w:rPr>
          <w:rFonts w:ascii="Arial" w:hAnsi="Arial" w:cs="Arial"/>
          <w:sz w:val="22"/>
          <w:szCs w:val="22"/>
        </w:rPr>
        <w:t xml:space="preserve">Furthermore, critics suggest that classification systems may inadvertently </w:t>
      </w:r>
      <w:proofErr w:type="spellStart"/>
      <w:r w:rsidRPr="009D27A5">
        <w:rPr>
          <w:rFonts w:ascii="Arial" w:hAnsi="Arial" w:cs="Arial"/>
          <w:sz w:val="22"/>
          <w:szCs w:val="22"/>
        </w:rPr>
        <w:t>pathologise</w:t>
      </w:r>
      <w:proofErr w:type="spellEnd"/>
      <w:r w:rsidRPr="009D27A5">
        <w:rPr>
          <w:rFonts w:ascii="Arial" w:hAnsi="Arial" w:cs="Arial"/>
          <w:sz w:val="22"/>
          <w:szCs w:val="22"/>
        </w:rPr>
        <w:t xml:space="preserve"> normal emotional responses to life stressors, contributing to concerns regarding over-diagnosis and medicalisation of everyday experiences.</w:t>
      </w:r>
    </w:p>
    <w:p w:rsidR="00B468A4" w:rsidRDefault="00B468A4" w:rsidP="009D27A5">
      <w:pPr>
        <w:pStyle w:val="NormalWeb"/>
        <w:spacing w:line="360" w:lineRule="auto"/>
        <w:ind w:left="720"/>
        <w:rPr>
          <w:rFonts w:ascii="Arial" w:hAnsi="Arial" w:cs="Arial"/>
          <w:sz w:val="22"/>
          <w:szCs w:val="22"/>
        </w:rPr>
      </w:pPr>
    </w:p>
    <w:p w:rsidR="00B468A4" w:rsidRDefault="00B468A4" w:rsidP="009D27A5">
      <w:pPr>
        <w:pStyle w:val="NormalWeb"/>
        <w:spacing w:line="360" w:lineRule="auto"/>
        <w:ind w:left="720"/>
        <w:rPr>
          <w:rFonts w:ascii="Arial" w:hAnsi="Arial" w:cs="Arial"/>
          <w:sz w:val="22"/>
          <w:szCs w:val="22"/>
        </w:rPr>
      </w:pPr>
    </w:p>
    <w:p w:rsidR="00D9098E" w:rsidRDefault="009D27A5">
      <w:pPr>
        <w:pStyle w:val="NormalWeb"/>
        <w:numPr>
          <w:ilvl w:val="0"/>
          <w:numId w:val="4"/>
        </w:numPr>
        <w:spacing w:line="360" w:lineRule="auto"/>
        <w:rPr>
          <w:rFonts w:ascii="Arial" w:hAnsi="Arial" w:cs="Arial"/>
          <w:b/>
          <w:bCs/>
          <w:sz w:val="22"/>
          <w:szCs w:val="22"/>
        </w:rPr>
      </w:pPr>
      <w:r w:rsidRPr="009D27A5">
        <w:rPr>
          <w:rFonts w:ascii="Arial" w:hAnsi="Arial" w:cs="Arial"/>
          <w:b/>
          <w:bCs/>
          <w:sz w:val="22"/>
          <w:szCs w:val="22"/>
        </w:rPr>
        <w:lastRenderedPageBreak/>
        <w:t>Diagnosis of Anxiety and Fear-Related Disorders</w:t>
      </w:r>
    </w:p>
    <w:p w:rsidR="00D9098E" w:rsidRDefault="009D27A5">
      <w:pPr>
        <w:pStyle w:val="NormalWeb"/>
        <w:numPr>
          <w:ilvl w:val="1"/>
          <w:numId w:val="4"/>
        </w:numPr>
        <w:spacing w:line="360" w:lineRule="auto"/>
        <w:rPr>
          <w:rFonts w:ascii="Arial" w:hAnsi="Arial" w:cs="Arial"/>
          <w:b/>
          <w:bCs/>
          <w:sz w:val="22"/>
          <w:szCs w:val="22"/>
        </w:rPr>
      </w:pPr>
      <w:r w:rsidRPr="009D27A5">
        <w:rPr>
          <w:rFonts w:ascii="Arial" w:hAnsi="Arial" w:cs="Arial"/>
          <w:b/>
          <w:bCs/>
          <w:sz w:val="22"/>
          <w:szCs w:val="22"/>
        </w:rPr>
        <w:t>Diagnostic Criteria</w:t>
      </w:r>
    </w:p>
    <w:p w:rsidR="009D27A5" w:rsidRPr="009D27A5"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According to ICD-11, diagnosis requires symptoms of anxiety or fear that are persistent, excessive, and disproportionate to actual circumstances. These symptoms must result in significant impairment across important areas of functioning.</w:t>
      </w:r>
    </w:p>
    <w:p w:rsidR="00D9098E"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Common symptoms include:</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Persistent worry</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Difficulty concentrating</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Restlessness</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Sleep disturbances</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Irritability</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Muscle tension</w:t>
      </w:r>
    </w:p>
    <w:p w:rsidR="009D27A5" w:rsidRPr="009D27A5" w:rsidRDefault="009D27A5" w:rsidP="009D27A5">
      <w:pPr>
        <w:pStyle w:val="NormalWeb"/>
        <w:numPr>
          <w:ilvl w:val="1"/>
          <w:numId w:val="19"/>
        </w:numPr>
        <w:spacing w:line="360" w:lineRule="auto"/>
        <w:rPr>
          <w:rFonts w:ascii="Arial" w:hAnsi="Arial" w:cs="Arial"/>
          <w:sz w:val="22"/>
          <w:szCs w:val="22"/>
        </w:rPr>
      </w:pPr>
      <w:r w:rsidRPr="009D27A5">
        <w:rPr>
          <w:rFonts w:ascii="Arial" w:hAnsi="Arial" w:cs="Arial"/>
          <w:sz w:val="22"/>
          <w:szCs w:val="22"/>
        </w:rPr>
        <w:t>Avoidance behaviours</w:t>
      </w:r>
    </w:p>
    <w:p w:rsidR="009D27A5"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The duration and intensity of symptoms vary depending on the specific disorder being diagnosed.</w:t>
      </w:r>
    </w:p>
    <w:p w:rsidR="00171DFD" w:rsidRDefault="009D27A5">
      <w:pPr>
        <w:pStyle w:val="NormalWeb"/>
        <w:numPr>
          <w:ilvl w:val="1"/>
          <w:numId w:val="4"/>
        </w:numPr>
        <w:spacing w:line="360" w:lineRule="auto"/>
        <w:rPr>
          <w:rFonts w:ascii="Arial" w:hAnsi="Arial" w:cs="Arial"/>
          <w:b/>
          <w:bCs/>
          <w:sz w:val="22"/>
          <w:szCs w:val="22"/>
        </w:rPr>
      </w:pPr>
      <w:r w:rsidRPr="009D27A5">
        <w:rPr>
          <w:rFonts w:ascii="Arial" w:hAnsi="Arial" w:cs="Arial"/>
          <w:b/>
          <w:bCs/>
          <w:sz w:val="22"/>
          <w:szCs w:val="22"/>
        </w:rPr>
        <w:t>Diagnostic Assessment Process</w:t>
      </w:r>
      <w:r>
        <w:rPr>
          <w:rFonts w:ascii="Arial" w:hAnsi="Arial" w:cs="Arial"/>
          <w:b/>
          <w:bCs/>
          <w:sz w:val="22"/>
          <w:szCs w:val="22"/>
        </w:rPr>
        <w:t>:</w:t>
      </w:r>
    </w:p>
    <w:p w:rsidR="009D27A5" w:rsidRPr="009D27A5"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Diagnosis typically involves a comprehensive assessment conducted by psychiatrists, psychologists, or other qualified mental health professionals. Assessment methods may include:</w:t>
      </w:r>
    </w:p>
    <w:p w:rsidR="009D27A5" w:rsidRPr="009D27A5" w:rsidRDefault="009D27A5" w:rsidP="009D27A5">
      <w:pPr>
        <w:pStyle w:val="NormalWeb"/>
        <w:numPr>
          <w:ilvl w:val="0"/>
          <w:numId w:val="20"/>
        </w:numPr>
        <w:spacing w:line="360" w:lineRule="auto"/>
        <w:rPr>
          <w:rFonts w:ascii="Arial" w:hAnsi="Arial" w:cs="Arial"/>
          <w:sz w:val="22"/>
          <w:szCs w:val="22"/>
        </w:rPr>
      </w:pPr>
      <w:r w:rsidRPr="009D27A5">
        <w:rPr>
          <w:rFonts w:ascii="Arial" w:hAnsi="Arial" w:cs="Arial"/>
          <w:sz w:val="22"/>
          <w:szCs w:val="22"/>
        </w:rPr>
        <w:t>Clinical interviews</w:t>
      </w:r>
    </w:p>
    <w:p w:rsidR="009D27A5" w:rsidRPr="009D27A5" w:rsidRDefault="009D27A5" w:rsidP="009D27A5">
      <w:pPr>
        <w:pStyle w:val="NormalWeb"/>
        <w:numPr>
          <w:ilvl w:val="0"/>
          <w:numId w:val="20"/>
        </w:numPr>
        <w:spacing w:line="360" w:lineRule="auto"/>
        <w:rPr>
          <w:rFonts w:ascii="Arial" w:hAnsi="Arial" w:cs="Arial"/>
          <w:sz w:val="22"/>
          <w:szCs w:val="22"/>
        </w:rPr>
      </w:pPr>
      <w:r w:rsidRPr="009D27A5">
        <w:rPr>
          <w:rFonts w:ascii="Arial" w:hAnsi="Arial" w:cs="Arial"/>
          <w:sz w:val="22"/>
          <w:szCs w:val="22"/>
        </w:rPr>
        <w:t>Structured diagnostic questionnaires</w:t>
      </w:r>
    </w:p>
    <w:p w:rsidR="009D27A5" w:rsidRPr="009D27A5" w:rsidRDefault="009D27A5" w:rsidP="009D27A5">
      <w:pPr>
        <w:pStyle w:val="NormalWeb"/>
        <w:numPr>
          <w:ilvl w:val="0"/>
          <w:numId w:val="20"/>
        </w:numPr>
        <w:spacing w:line="360" w:lineRule="auto"/>
        <w:rPr>
          <w:rFonts w:ascii="Arial" w:hAnsi="Arial" w:cs="Arial"/>
          <w:sz w:val="22"/>
          <w:szCs w:val="22"/>
        </w:rPr>
      </w:pPr>
      <w:r w:rsidRPr="009D27A5">
        <w:rPr>
          <w:rFonts w:ascii="Arial" w:hAnsi="Arial" w:cs="Arial"/>
          <w:sz w:val="22"/>
          <w:szCs w:val="22"/>
        </w:rPr>
        <w:t>Mental state examinations</w:t>
      </w:r>
    </w:p>
    <w:p w:rsidR="009D27A5" w:rsidRPr="009D27A5" w:rsidRDefault="009D27A5" w:rsidP="009D27A5">
      <w:pPr>
        <w:pStyle w:val="NormalWeb"/>
        <w:numPr>
          <w:ilvl w:val="0"/>
          <w:numId w:val="20"/>
        </w:numPr>
        <w:spacing w:line="360" w:lineRule="auto"/>
        <w:rPr>
          <w:rFonts w:ascii="Arial" w:hAnsi="Arial" w:cs="Arial"/>
          <w:sz w:val="22"/>
          <w:szCs w:val="22"/>
        </w:rPr>
      </w:pPr>
      <w:r w:rsidRPr="009D27A5">
        <w:rPr>
          <w:rFonts w:ascii="Arial" w:hAnsi="Arial" w:cs="Arial"/>
          <w:sz w:val="22"/>
          <w:szCs w:val="22"/>
        </w:rPr>
        <w:t>Medical history reviews</w:t>
      </w:r>
    </w:p>
    <w:p w:rsidR="009D27A5" w:rsidRPr="009D27A5" w:rsidRDefault="009D27A5" w:rsidP="009D27A5">
      <w:pPr>
        <w:pStyle w:val="NormalWeb"/>
        <w:numPr>
          <w:ilvl w:val="0"/>
          <w:numId w:val="20"/>
        </w:numPr>
        <w:spacing w:line="360" w:lineRule="auto"/>
        <w:rPr>
          <w:rFonts w:ascii="Arial" w:hAnsi="Arial" w:cs="Arial"/>
          <w:sz w:val="22"/>
          <w:szCs w:val="22"/>
        </w:rPr>
      </w:pPr>
      <w:r w:rsidRPr="009D27A5">
        <w:rPr>
          <w:rFonts w:ascii="Arial" w:hAnsi="Arial" w:cs="Arial"/>
          <w:sz w:val="22"/>
          <w:szCs w:val="22"/>
        </w:rPr>
        <w:t>Functional impairment assessments</w:t>
      </w:r>
    </w:p>
    <w:p w:rsidR="00171DFD"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Healthcare professionals must also exclude physical health conditions such as thyroid disorders, cardiovascular disease, or substance misuse that may mimic anxiety symptoms</w:t>
      </w:r>
      <w:r w:rsidR="00171DFD" w:rsidRPr="00171DFD">
        <w:rPr>
          <w:rFonts w:ascii="Arial" w:hAnsi="Arial" w:cs="Arial"/>
          <w:sz w:val="22"/>
          <w:szCs w:val="22"/>
        </w:rPr>
        <w:t>.</w:t>
      </w:r>
    </w:p>
    <w:p w:rsidR="002233B7" w:rsidRDefault="002233B7" w:rsidP="009D27A5">
      <w:pPr>
        <w:pStyle w:val="NormalWeb"/>
        <w:spacing w:line="360" w:lineRule="auto"/>
        <w:ind w:left="360"/>
        <w:rPr>
          <w:rFonts w:ascii="Arial" w:hAnsi="Arial" w:cs="Arial"/>
          <w:sz w:val="22"/>
          <w:szCs w:val="22"/>
        </w:rPr>
      </w:pPr>
    </w:p>
    <w:p w:rsidR="002233B7" w:rsidRDefault="002233B7" w:rsidP="009D27A5">
      <w:pPr>
        <w:pStyle w:val="NormalWeb"/>
        <w:spacing w:line="360" w:lineRule="auto"/>
        <w:ind w:left="360"/>
        <w:rPr>
          <w:rFonts w:ascii="Arial" w:hAnsi="Arial" w:cs="Arial"/>
          <w:sz w:val="22"/>
          <w:szCs w:val="22"/>
        </w:rPr>
      </w:pPr>
    </w:p>
    <w:p w:rsidR="00171DFD" w:rsidRPr="00E91BD1" w:rsidRDefault="00E91BD1" w:rsidP="00E91BD1">
      <w:pPr>
        <w:pStyle w:val="ListParagraph"/>
        <w:numPr>
          <w:ilvl w:val="1"/>
          <w:numId w:val="4"/>
        </w:numPr>
        <w:rPr>
          <w:rFonts w:eastAsia="Times New Roman"/>
          <w:b/>
          <w:bCs/>
          <w:lang w:eastAsia="en-GB"/>
        </w:rPr>
      </w:pPr>
      <w:r w:rsidRPr="00E91BD1">
        <w:rPr>
          <w:rFonts w:eastAsia="Times New Roman"/>
          <w:b/>
          <w:bCs/>
          <w:lang w:eastAsia="en-GB"/>
        </w:rPr>
        <w:lastRenderedPageBreak/>
        <w:t>Critical Evaluation of Diagnosis</w:t>
      </w:r>
    </w:p>
    <w:p w:rsidR="009D27A5" w:rsidRPr="009D27A5"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While ICD-11 provides standardised criteria, diagnosis remains partly subjective. Different clinicians may interpret symptom severity differently, potentially affecting diagnostic reliability. Research has demonstrated that symptom overlap between anxiety disorders, depression, obsessive-compulsive disorder, and trauma-related disorders can complicate accurate diagnosis.</w:t>
      </w:r>
    </w:p>
    <w:p w:rsidR="009D27A5" w:rsidRPr="009D27A5"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Another challenge concerns cultural differences. Symptoms of anxiety may be expressed differently across societies. For example, some cultures primarily communicate psychological distress through physical symptoms such as headaches or gastrointestinal complaints. Consequently, standardised diagnostic criteria developed primarily within Western contexts may not fully capture culturally diverse presentations (Lewis-Fernández et al., 2020).</w:t>
      </w:r>
    </w:p>
    <w:p w:rsidR="00D9098E" w:rsidRDefault="009D27A5" w:rsidP="009D27A5">
      <w:pPr>
        <w:pStyle w:val="NormalWeb"/>
        <w:spacing w:line="360" w:lineRule="auto"/>
        <w:ind w:left="360"/>
        <w:rPr>
          <w:rFonts w:ascii="Arial" w:hAnsi="Arial" w:cs="Arial"/>
          <w:sz w:val="22"/>
          <w:szCs w:val="22"/>
        </w:rPr>
      </w:pPr>
      <w:r w:rsidRPr="009D27A5">
        <w:rPr>
          <w:rFonts w:ascii="Arial" w:hAnsi="Arial" w:cs="Arial"/>
          <w:sz w:val="22"/>
          <w:szCs w:val="22"/>
        </w:rPr>
        <w:t>Additionally, self-report measures rely heavily on patient insight and honesty, potentially leading to underreporting or exaggeration of symptoms. These limitations highlight the need for culturally sensitive and multidimensional assessment approaches</w:t>
      </w:r>
      <w:r w:rsidR="00171DFD" w:rsidRPr="00171DFD">
        <w:rPr>
          <w:rFonts w:ascii="Arial" w:hAnsi="Arial" w:cs="Arial"/>
          <w:sz w:val="22"/>
          <w:szCs w:val="22"/>
        </w:rPr>
        <w:t>.</w:t>
      </w:r>
    </w:p>
    <w:p w:rsidR="00171DFD" w:rsidRDefault="00171DFD" w:rsidP="00E91BD1">
      <w:pPr>
        <w:pStyle w:val="NormalWeb"/>
        <w:spacing w:line="360" w:lineRule="auto"/>
        <w:rPr>
          <w:rFonts w:ascii="Arial" w:hAnsi="Arial" w:cs="Arial"/>
          <w:sz w:val="22"/>
          <w:szCs w:val="22"/>
        </w:rPr>
      </w:pPr>
      <w:r w:rsidRPr="00171DFD">
        <w:rPr>
          <w:rFonts w:ascii="Arial" w:hAnsi="Arial" w:cs="Arial"/>
          <w:sz w:val="22"/>
          <w:szCs w:val="22"/>
        </w:rPr>
        <w:t>.</w:t>
      </w:r>
    </w:p>
    <w:p w:rsidR="00171DFD" w:rsidRDefault="00E91BD1">
      <w:pPr>
        <w:pStyle w:val="NormalWeb"/>
        <w:numPr>
          <w:ilvl w:val="0"/>
          <w:numId w:val="4"/>
        </w:numPr>
        <w:spacing w:line="360" w:lineRule="auto"/>
        <w:rPr>
          <w:rFonts w:ascii="Arial" w:hAnsi="Arial" w:cs="Arial"/>
          <w:b/>
          <w:bCs/>
          <w:sz w:val="22"/>
          <w:szCs w:val="22"/>
        </w:rPr>
      </w:pPr>
      <w:r w:rsidRPr="00E91BD1">
        <w:rPr>
          <w:rFonts w:ascii="Arial" w:hAnsi="Arial" w:cs="Arial"/>
          <w:b/>
          <w:bCs/>
          <w:sz w:val="22"/>
          <w:szCs w:val="22"/>
        </w:rPr>
        <w:t>Treatment Approaches for Anxiety and Fear-Related Disorders</w:t>
      </w:r>
    </w:p>
    <w:p w:rsidR="00171DFD" w:rsidRPr="00171DFD" w:rsidRDefault="00E91BD1">
      <w:pPr>
        <w:pStyle w:val="NormalWeb"/>
        <w:numPr>
          <w:ilvl w:val="1"/>
          <w:numId w:val="4"/>
        </w:numPr>
        <w:spacing w:line="360" w:lineRule="auto"/>
        <w:rPr>
          <w:rFonts w:ascii="Arial" w:hAnsi="Arial" w:cs="Arial"/>
          <w:b/>
          <w:bCs/>
          <w:sz w:val="22"/>
          <w:szCs w:val="22"/>
        </w:rPr>
      </w:pPr>
      <w:r w:rsidRPr="00E91BD1">
        <w:rPr>
          <w:rFonts w:ascii="Arial" w:hAnsi="Arial" w:cs="Arial"/>
          <w:b/>
          <w:bCs/>
          <w:sz w:val="22"/>
          <w:szCs w:val="22"/>
        </w:rPr>
        <w:t>Cognitive Behavioural Therapy</w:t>
      </w:r>
    </w:p>
    <w:p w:rsidR="00E91BD1" w:rsidRPr="00E91BD1" w:rsidRDefault="00E91BD1" w:rsidP="00E91BD1">
      <w:pPr>
        <w:pStyle w:val="NormalWeb"/>
        <w:spacing w:line="360" w:lineRule="auto"/>
        <w:ind w:left="360"/>
        <w:jc w:val="both"/>
        <w:rPr>
          <w:rFonts w:ascii="Arial" w:hAnsi="Arial" w:cs="Arial"/>
          <w:color w:val="0D0D0D" w:themeColor="text1" w:themeTint="F2"/>
          <w:sz w:val="22"/>
          <w:szCs w:val="22"/>
        </w:rPr>
      </w:pPr>
      <w:r w:rsidRPr="00E91BD1">
        <w:rPr>
          <w:rFonts w:ascii="Arial" w:hAnsi="Arial" w:cs="Arial"/>
          <w:color w:val="0D0D0D" w:themeColor="text1" w:themeTint="F2"/>
          <w:sz w:val="22"/>
          <w:szCs w:val="22"/>
        </w:rPr>
        <w:t>Cognitive Behavioural Therapy (CBT) is widely recognised as the first-line psychological treatment for anxiety disorders. CBT is based on the principle that maladaptive thoughts, emotions, and behaviours are interconnected and contribute to the maintenance of anxiety symptoms. The therapy helps individuals identify irrational beliefs, challenge negative thinking patterns, and develop healthier coping strategies (Hofmann and Gómez, 2021).</w:t>
      </w:r>
    </w:p>
    <w:p w:rsidR="00A97E29" w:rsidRDefault="00E91BD1" w:rsidP="00E91BD1">
      <w:pPr>
        <w:pStyle w:val="NormalWeb"/>
        <w:spacing w:line="360" w:lineRule="auto"/>
        <w:ind w:left="360"/>
        <w:jc w:val="both"/>
        <w:rPr>
          <w:rFonts w:ascii="Arial" w:hAnsi="Arial" w:cs="Arial"/>
          <w:color w:val="0D0D0D" w:themeColor="text1" w:themeTint="F2"/>
          <w:sz w:val="22"/>
          <w:szCs w:val="22"/>
        </w:rPr>
      </w:pPr>
      <w:r w:rsidRPr="00E91BD1">
        <w:rPr>
          <w:rFonts w:ascii="Arial" w:hAnsi="Arial" w:cs="Arial"/>
          <w:color w:val="0D0D0D" w:themeColor="text1" w:themeTint="F2"/>
          <w:sz w:val="22"/>
          <w:szCs w:val="22"/>
        </w:rPr>
        <w:t>Research consistently demonstrates that CBT is highly effective in treating Generalized Anxiety Disorder, Panic Disorder, Social Anxiety Disorder, and Specific Phobias. Furthermore, the benefits of CBT often continue after treatment has ended because patients acquire practical skills that can be applied independently in future situations (NICE, 2023)</w:t>
      </w:r>
      <w:r w:rsidR="00171DFD" w:rsidRPr="00171DFD">
        <w:rPr>
          <w:rFonts w:ascii="Arial" w:hAnsi="Arial" w:cs="Arial"/>
          <w:color w:val="0D0D0D" w:themeColor="text1" w:themeTint="F2"/>
          <w:sz w:val="22"/>
          <w:szCs w:val="22"/>
        </w:rPr>
        <w:t>.</w:t>
      </w:r>
    </w:p>
    <w:p w:rsidR="002233B7" w:rsidRDefault="002233B7" w:rsidP="00E91BD1">
      <w:pPr>
        <w:pStyle w:val="NormalWeb"/>
        <w:spacing w:line="360" w:lineRule="auto"/>
        <w:ind w:left="360"/>
        <w:jc w:val="both"/>
        <w:rPr>
          <w:rFonts w:ascii="Arial" w:hAnsi="Arial" w:cs="Arial"/>
          <w:color w:val="0D0D0D" w:themeColor="text1" w:themeTint="F2"/>
          <w:sz w:val="22"/>
          <w:szCs w:val="22"/>
        </w:rPr>
      </w:pPr>
    </w:p>
    <w:p w:rsidR="002233B7" w:rsidRDefault="002233B7" w:rsidP="00E91BD1">
      <w:pPr>
        <w:pStyle w:val="NormalWeb"/>
        <w:spacing w:line="360" w:lineRule="auto"/>
        <w:ind w:left="360"/>
        <w:jc w:val="both"/>
        <w:rPr>
          <w:rFonts w:ascii="Arial" w:hAnsi="Arial" w:cs="Arial"/>
          <w:color w:val="0D0D0D" w:themeColor="text1" w:themeTint="F2"/>
          <w:sz w:val="22"/>
          <w:szCs w:val="22"/>
        </w:rPr>
      </w:pPr>
    </w:p>
    <w:p w:rsidR="00171DFD" w:rsidRDefault="00E91BD1">
      <w:pPr>
        <w:pStyle w:val="NormalWeb"/>
        <w:numPr>
          <w:ilvl w:val="1"/>
          <w:numId w:val="4"/>
        </w:numPr>
        <w:spacing w:line="360" w:lineRule="auto"/>
        <w:jc w:val="both"/>
        <w:rPr>
          <w:rFonts w:ascii="Arial" w:hAnsi="Arial" w:cs="Arial"/>
          <w:b/>
          <w:bCs/>
          <w:color w:val="0D0D0D" w:themeColor="text1" w:themeTint="F2"/>
          <w:sz w:val="22"/>
          <w:szCs w:val="22"/>
        </w:rPr>
      </w:pPr>
      <w:r w:rsidRPr="00E91BD1">
        <w:rPr>
          <w:rFonts w:ascii="Arial" w:hAnsi="Arial" w:cs="Arial"/>
          <w:b/>
          <w:bCs/>
          <w:color w:val="0D0D0D" w:themeColor="text1" w:themeTint="F2"/>
          <w:sz w:val="22"/>
          <w:szCs w:val="22"/>
        </w:rPr>
        <w:t>Exposure Therapy</w:t>
      </w:r>
    </w:p>
    <w:p w:rsidR="0015558B" w:rsidRPr="0015558B" w:rsidRDefault="0015558B" w:rsidP="0015558B">
      <w:pPr>
        <w:pStyle w:val="NormalWeb"/>
        <w:spacing w:line="360" w:lineRule="auto"/>
        <w:ind w:left="360"/>
        <w:jc w:val="both"/>
        <w:rPr>
          <w:rFonts w:ascii="Arial" w:hAnsi="Arial" w:cs="Arial"/>
          <w:color w:val="0D0D0D" w:themeColor="text1" w:themeTint="F2"/>
          <w:sz w:val="22"/>
          <w:szCs w:val="22"/>
        </w:rPr>
      </w:pPr>
      <w:r w:rsidRPr="0015558B">
        <w:rPr>
          <w:rFonts w:ascii="Arial" w:hAnsi="Arial" w:cs="Arial"/>
          <w:color w:val="0D0D0D" w:themeColor="text1" w:themeTint="F2"/>
          <w:sz w:val="22"/>
          <w:szCs w:val="22"/>
        </w:rPr>
        <w:t>Exposure Therapy is a specialised form of CBT that involves gradual and controlled exposure to feared objects, situations, or thoughts. The aim is to reduce avoidance behaviours and help individuals learn that feared outcomes are unlikely to occur. Through repeated exposure, anxiety responses gradually decrease, a process known as habituation (Craske et al., 2022).</w:t>
      </w:r>
    </w:p>
    <w:p w:rsidR="001A1806" w:rsidRDefault="0015558B" w:rsidP="0015558B">
      <w:pPr>
        <w:pStyle w:val="NormalWeb"/>
        <w:spacing w:line="360" w:lineRule="auto"/>
        <w:ind w:left="360"/>
        <w:jc w:val="both"/>
        <w:rPr>
          <w:rFonts w:ascii="Arial" w:hAnsi="Arial" w:cs="Arial"/>
          <w:color w:val="0D0D0D" w:themeColor="text1" w:themeTint="F2"/>
          <w:sz w:val="22"/>
          <w:szCs w:val="22"/>
        </w:rPr>
      </w:pPr>
      <w:r w:rsidRPr="0015558B">
        <w:rPr>
          <w:rFonts w:ascii="Arial" w:hAnsi="Arial" w:cs="Arial"/>
          <w:color w:val="0D0D0D" w:themeColor="text1" w:themeTint="F2"/>
          <w:sz w:val="22"/>
          <w:szCs w:val="22"/>
        </w:rPr>
        <w:t>Exposure Therapy has shown particularly strong effectiveness in treating Specific Phobias, Social Anxiety Disorder, Panic Disorder, and Agoraphobia. However, some patients may initially find the process emotionally challenging, which can affect treatment adherence</w:t>
      </w:r>
      <w:r w:rsidR="001A1806" w:rsidRPr="001A1806">
        <w:rPr>
          <w:rFonts w:ascii="Arial" w:hAnsi="Arial" w:cs="Arial"/>
          <w:color w:val="0D0D0D" w:themeColor="text1" w:themeTint="F2"/>
          <w:sz w:val="22"/>
          <w:szCs w:val="22"/>
        </w:rPr>
        <w:t>.</w:t>
      </w:r>
    </w:p>
    <w:p w:rsidR="00171DFD" w:rsidRDefault="0015558B">
      <w:pPr>
        <w:pStyle w:val="NormalWeb"/>
        <w:numPr>
          <w:ilvl w:val="1"/>
          <w:numId w:val="4"/>
        </w:numPr>
        <w:spacing w:line="360" w:lineRule="auto"/>
        <w:jc w:val="both"/>
        <w:rPr>
          <w:rFonts w:ascii="Arial" w:hAnsi="Arial" w:cs="Arial"/>
          <w:b/>
          <w:bCs/>
          <w:color w:val="0D0D0D" w:themeColor="text1" w:themeTint="F2"/>
          <w:sz w:val="22"/>
          <w:szCs w:val="22"/>
        </w:rPr>
      </w:pPr>
      <w:r w:rsidRPr="0015558B">
        <w:rPr>
          <w:rFonts w:ascii="Arial" w:hAnsi="Arial" w:cs="Arial"/>
          <w:b/>
          <w:bCs/>
          <w:color w:val="0D0D0D" w:themeColor="text1" w:themeTint="F2"/>
          <w:sz w:val="22"/>
          <w:szCs w:val="22"/>
        </w:rPr>
        <w:t>Mindfulness-Based Therapy</w:t>
      </w:r>
    </w:p>
    <w:p w:rsidR="0015558B" w:rsidRPr="0015558B" w:rsidRDefault="0015558B" w:rsidP="0015558B">
      <w:pPr>
        <w:pStyle w:val="NormalWeb"/>
        <w:spacing w:line="360" w:lineRule="auto"/>
        <w:ind w:left="360"/>
        <w:jc w:val="both"/>
        <w:rPr>
          <w:rFonts w:ascii="Arial" w:hAnsi="Arial" w:cs="Arial"/>
          <w:color w:val="0D0D0D" w:themeColor="text1" w:themeTint="F2"/>
          <w:sz w:val="22"/>
          <w:szCs w:val="22"/>
        </w:rPr>
      </w:pPr>
      <w:r w:rsidRPr="0015558B">
        <w:rPr>
          <w:rFonts w:ascii="Arial" w:hAnsi="Arial" w:cs="Arial"/>
          <w:color w:val="0D0D0D" w:themeColor="text1" w:themeTint="F2"/>
          <w:sz w:val="22"/>
          <w:szCs w:val="22"/>
        </w:rPr>
        <w:t>Mindfulness-Based Interventions (MBIs), including Mindfulness-Based Cognitive Therapy (MBCT), focus on increasing awareness of present-moment experiences without judgement. These approaches encourage individuals to observe anxious thoughts rather than react to them, reducing emotional distress and improving psychological flexibility (Khoury et al., 2021).</w:t>
      </w:r>
    </w:p>
    <w:p w:rsidR="0092577E" w:rsidRDefault="0015558B" w:rsidP="0015558B">
      <w:pPr>
        <w:pStyle w:val="NormalWeb"/>
        <w:spacing w:line="360" w:lineRule="auto"/>
        <w:ind w:left="360"/>
        <w:jc w:val="both"/>
        <w:rPr>
          <w:rFonts w:ascii="Arial" w:hAnsi="Arial" w:cs="Arial"/>
          <w:color w:val="0D0D0D" w:themeColor="text1" w:themeTint="F2"/>
          <w:sz w:val="22"/>
          <w:szCs w:val="22"/>
        </w:rPr>
      </w:pPr>
      <w:r w:rsidRPr="0015558B">
        <w:rPr>
          <w:rFonts w:ascii="Arial" w:hAnsi="Arial" w:cs="Arial"/>
          <w:color w:val="0D0D0D" w:themeColor="text1" w:themeTint="F2"/>
          <w:sz w:val="22"/>
          <w:szCs w:val="22"/>
        </w:rPr>
        <w:t>Evidence suggests that mindfulness-based therapies can effectively reduce anxiety symptoms and prevent relapse, particularly when used alongside other therapeutic interventions. Nevertheless, outcomes may vary depending on patient motivation and engagement with mindfulness practices</w:t>
      </w:r>
      <w:r w:rsidR="0092577E" w:rsidRPr="0092577E">
        <w:rPr>
          <w:rFonts w:ascii="Arial" w:hAnsi="Arial" w:cs="Arial"/>
          <w:color w:val="0D0D0D" w:themeColor="text1" w:themeTint="F2"/>
          <w:sz w:val="22"/>
          <w:szCs w:val="22"/>
        </w:rPr>
        <w:t>.</w:t>
      </w:r>
    </w:p>
    <w:p w:rsidR="0092577E" w:rsidRDefault="0015558B">
      <w:pPr>
        <w:pStyle w:val="NormalWeb"/>
        <w:numPr>
          <w:ilvl w:val="1"/>
          <w:numId w:val="4"/>
        </w:numPr>
        <w:spacing w:line="360" w:lineRule="auto"/>
        <w:jc w:val="both"/>
        <w:rPr>
          <w:rFonts w:ascii="Arial" w:hAnsi="Arial" w:cs="Arial"/>
          <w:b/>
          <w:bCs/>
          <w:color w:val="0D0D0D" w:themeColor="text1" w:themeTint="F2"/>
          <w:sz w:val="22"/>
          <w:szCs w:val="22"/>
        </w:rPr>
      </w:pPr>
      <w:r w:rsidRPr="0015558B">
        <w:rPr>
          <w:rFonts w:ascii="Arial" w:hAnsi="Arial" w:cs="Arial"/>
          <w:b/>
          <w:bCs/>
          <w:color w:val="0D0D0D" w:themeColor="text1" w:themeTint="F2"/>
          <w:sz w:val="22"/>
          <w:szCs w:val="22"/>
        </w:rPr>
        <w:t>Pharmacological Treatments: SSRIs and SNRIs</w:t>
      </w:r>
    </w:p>
    <w:p w:rsidR="0015558B" w:rsidRPr="0015558B" w:rsidRDefault="0015558B" w:rsidP="0015558B">
      <w:pPr>
        <w:pStyle w:val="NormalWeb"/>
        <w:spacing w:line="360" w:lineRule="auto"/>
        <w:ind w:left="360"/>
        <w:jc w:val="both"/>
        <w:rPr>
          <w:rFonts w:ascii="Arial" w:hAnsi="Arial" w:cs="Arial"/>
          <w:color w:val="0D0D0D" w:themeColor="text1" w:themeTint="F2"/>
          <w:sz w:val="22"/>
          <w:szCs w:val="22"/>
        </w:rPr>
      </w:pPr>
      <w:r w:rsidRPr="0015558B">
        <w:rPr>
          <w:rFonts w:ascii="Arial" w:hAnsi="Arial" w:cs="Arial"/>
          <w:color w:val="0D0D0D" w:themeColor="text1" w:themeTint="F2"/>
          <w:sz w:val="22"/>
          <w:szCs w:val="22"/>
        </w:rPr>
        <w:t>Pharmacological treatment is commonly used when symptoms are severe or when psychological therapies alone are insufficient. Selective Serotonin Reuptake Inhibitors (SSRIs), such as sertraline and fluoxetine, and Serotonin-Norepinephrine Reuptake Inhibitors (SNRIs), such as venlafaxine and duloxetine, are considered first-line medications for anxiety disorders (Bandelow and Michaelis, 2022).</w:t>
      </w:r>
    </w:p>
    <w:p w:rsidR="0092577E" w:rsidRDefault="0015558B" w:rsidP="0015558B">
      <w:pPr>
        <w:pStyle w:val="NormalWeb"/>
        <w:spacing w:line="360" w:lineRule="auto"/>
        <w:ind w:left="360"/>
        <w:jc w:val="both"/>
        <w:rPr>
          <w:rFonts w:ascii="Arial" w:hAnsi="Arial" w:cs="Arial"/>
          <w:color w:val="0D0D0D" w:themeColor="text1" w:themeTint="F2"/>
          <w:sz w:val="22"/>
          <w:szCs w:val="22"/>
        </w:rPr>
      </w:pPr>
      <w:r w:rsidRPr="0015558B">
        <w:rPr>
          <w:rFonts w:ascii="Arial" w:hAnsi="Arial" w:cs="Arial"/>
          <w:color w:val="0D0D0D" w:themeColor="text1" w:themeTint="F2"/>
          <w:sz w:val="22"/>
          <w:szCs w:val="22"/>
        </w:rPr>
        <w:t xml:space="preserve">These medications work by regulating neurotransmitters associated with mood and anxiety. While they are generally effective in reducing symptoms, they may cause side </w:t>
      </w:r>
      <w:r w:rsidRPr="0015558B">
        <w:rPr>
          <w:rFonts w:ascii="Arial" w:hAnsi="Arial" w:cs="Arial"/>
          <w:color w:val="0D0D0D" w:themeColor="text1" w:themeTint="F2"/>
          <w:sz w:val="22"/>
          <w:szCs w:val="22"/>
        </w:rPr>
        <w:lastRenderedPageBreak/>
        <w:t>effects including nausea, insomnia, headaches, and sexual dysfunction. Additionally, benefits may take several weeks to become apparent</w:t>
      </w:r>
      <w:r w:rsidR="0092577E" w:rsidRPr="0092577E">
        <w:rPr>
          <w:rFonts w:ascii="Arial" w:hAnsi="Arial" w:cs="Arial"/>
          <w:color w:val="0D0D0D" w:themeColor="text1" w:themeTint="F2"/>
          <w:sz w:val="22"/>
          <w:szCs w:val="22"/>
        </w:rPr>
        <w:t>.</w:t>
      </w:r>
    </w:p>
    <w:p w:rsidR="0092577E" w:rsidRDefault="0092577E" w:rsidP="0092577E">
      <w:pPr>
        <w:pStyle w:val="NormalWeb"/>
        <w:spacing w:line="360" w:lineRule="auto"/>
        <w:ind w:left="360"/>
        <w:jc w:val="both"/>
        <w:rPr>
          <w:rFonts w:ascii="Arial" w:hAnsi="Arial" w:cs="Arial"/>
          <w:color w:val="0D0D0D" w:themeColor="text1" w:themeTint="F2"/>
          <w:sz w:val="22"/>
          <w:szCs w:val="22"/>
        </w:rPr>
      </w:pPr>
    </w:p>
    <w:p w:rsidR="0092577E" w:rsidRDefault="00503F5C">
      <w:pPr>
        <w:pStyle w:val="NormalWeb"/>
        <w:numPr>
          <w:ilvl w:val="0"/>
          <w:numId w:val="4"/>
        </w:numPr>
        <w:spacing w:line="360" w:lineRule="auto"/>
        <w:jc w:val="both"/>
        <w:rPr>
          <w:rFonts w:ascii="Arial" w:hAnsi="Arial" w:cs="Arial"/>
          <w:b/>
          <w:bCs/>
          <w:color w:val="0D0D0D" w:themeColor="text1" w:themeTint="F2"/>
          <w:sz w:val="22"/>
          <w:szCs w:val="22"/>
        </w:rPr>
      </w:pPr>
      <w:r w:rsidRPr="00503F5C">
        <w:rPr>
          <w:rFonts w:ascii="Arial" w:hAnsi="Arial" w:cs="Arial"/>
          <w:b/>
          <w:bCs/>
          <w:color w:val="0D0D0D" w:themeColor="text1" w:themeTint="F2"/>
          <w:sz w:val="22"/>
          <w:szCs w:val="22"/>
        </w:rPr>
        <w:t>Current Debates and Emerging Issues in Anxiety and Fear-Related Disorders</w:t>
      </w:r>
    </w:p>
    <w:p w:rsidR="0092577E" w:rsidRDefault="00503F5C">
      <w:pPr>
        <w:pStyle w:val="NormalWeb"/>
        <w:numPr>
          <w:ilvl w:val="1"/>
          <w:numId w:val="4"/>
        </w:numPr>
        <w:spacing w:line="360" w:lineRule="auto"/>
        <w:jc w:val="both"/>
        <w:rPr>
          <w:rFonts w:ascii="Arial" w:hAnsi="Arial" w:cs="Arial"/>
          <w:b/>
          <w:bCs/>
          <w:color w:val="0D0D0D" w:themeColor="text1" w:themeTint="F2"/>
          <w:sz w:val="22"/>
          <w:szCs w:val="22"/>
        </w:rPr>
      </w:pPr>
      <w:r w:rsidRPr="00503F5C">
        <w:rPr>
          <w:rFonts w:ascii="Arial" w:hAnsi="Arial" w:cs="Arial"/>
          <w:b/>
          <w:bCs/>
          <w:color w:val="0D0D0D" w:themeColor="text1" w:themeTint="F2"/>
          <w:sz w:val="22"/>
          <w:szCs w:val="22"/>
        </w:rPr>
        <w:t>Over-Medicalisation of Anxiety</w:t>
      </w:r>
    </w:p>
    <w:p w:rsidR="00503F5C" w:rsidRDefault="00503F5C" w:rsidP="002233B7">
      <w:pPr>
        <w:pStyle w:val="NormalWeb"/>
        <w:spacing w:line="360" w:lineRule="auto"/>
        <w:ind w:left="360"/>
        <w:jc w:val="both"/>
        <w:rPr>
          <w:rFonts w:ascii="Arial" w:hAnsi="Arial" w:cs="Arial"/>
          <w:b/>
          <w:bCs/>
          <w:color w:val="0D0D0D" w:themeColor="text1" w:themeTint="F2"/>
          <w:sz w:val="22"/>
          <w:szCs w:val="22"/>
        </w:rPr>
      </w:pPr>
      <w:r w:rsidRPr="00503F5C">
        <w:rPr>
          <w:rFonts w:ascii="Arial" w:hAnsi="Arial" w:cs="Arial"/>
          <w:color w:val="0D0D0D" w:themeColor="text1" w:themeTint="F2"/>
          <w:sz w:val="22"/>
          <w:szCs w:val="22"/>
        </w:rPr>
        <w:t>One of the most widely discussed issues is the potential over-medicalisation of normal emotional experiences. Anxiety is a natural human response to stress and uncertainty; however, critics argue that expanding diagnostic criteria may result in ordinary emotional reactions being classified as mental disorders (Frances, 2022). This may contribute to unnecessary diagnoses and increased reliance on medication. Supporters of current classification systems argue that</w:t>
      </w:r>
      <w:r w:rsidRPr="00503F5C">
        <w:rPr>
          <w:rFonts w:ascii="Arial" w:hAnsi="Arial" w:cs="Arial"/>
          <w:b/>
          <w:bCs/>
          <w:color w:val="0D0D0D" w:themeColor="text1" w:themeTint="F2"/>
          <w:sz w:val="22"/>
          <w:szCs w:val="22"/>
        </w:rPr>
        <w:t xml:space="preserve"> </w:t>
      </w:r>
      <w:r w:rsidRPr="00503F5C">
        <w:rPr>
          <w:rFonts w:ascii="Arial" w:hAnsi="Arial" w:cs="Arial"/>
          <w:color w:val="0D0D0D" w:themeColor="text1" w:themeTint="F2"/>
          <w:sz w:val="22"/>
          <w:szCs w:val="22"/>
        </w:rPr>
        <w:t>diagnosis is only appropriate when symptoms cause significant distress or impairment in functioning. Nevertheless, concerns remain that the boundary between normal anxiety and clinical disorder is often difficult to determine, potentially leading to over-diagnosis and increased healthcare costs.</w:t>
      </w:r>
    </w:p>
    <w:p w:rsidR="0092577E" w:rsidRDefault="00503F5C">
      <w:pPr>
        <w:pStyle w:val="NormalWeb"/>
        <w:numPr>
          <w:ilvl w:val="1"/>
          <w:numId w:val="4"/>
        </w:numPr>
        <w:spacing w:line="360" w:lineRule="auto"/>
        <w:jc w:val="both"/>
        <w:rPr>
          <w:rFonts w:ascii="Arial" w:hAnsi="Arial" w:cs="Arial"/>
          <w:b/>
          <w:bCs/>
          <w:color w:val="0D0D0D" w:themeColor="text1" w:themeTint="F2"/>
          <w:sz w:val="22"/>
          <w:szCs w:val="22"/>
        </w:rPr>
      </w:pPr>
      <w:r w:rsidRPr="00503F5C">
        <w:rPr>
          <w:rFonts w:ascii="Arial" w:hAnsi="Arial" w:cs="Arial"/>
          <w:b/>
          <w:bCs/>
          <w:color w:val="0D0D0D" w:themeColor="text1" w:themeTint="F2"/>
          <w:sz w:val="22"/>
          <w:szCs w:val="22"/>
        </w:rPr>
        <w:t>DSM-5 versus ICD-11</w:t>
      </w:r>
    </w:p>
    <w:p w:rsidR="0092577E" w:rsidRDefault="00503F5C" w:rsidP="002233B7">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Another debate concerns differences between the Diagnostic and Statistical Manual</w:t>
      </w:r>
      <w:r>
        <w:rPr>
          <w:rFonts w:ascii="Arial" w:hAnsi="Arial" w:cs="Arial"/>
          <w:color w:val="0D0D0D" w:themeColor="text1" w:themeTint="F2"/>
          <w:sz w:val="22"/>
          <w:szCs w:val="22"/>
          <w:lang w:val="en-US"/>
        </w:rPr>
        <w:t xml:space="preserve"> </w:t>
      </w:r>
      <w:r w:rsidRPr="00503F5C">
        <w:rPr>
          <w:rFonts w:ascii="Arial" w:hAnsi="Arial" w:cs="Arial"/>
          <w:color w:val="0D0D0D" w:themeColor="text1" w:themeTint="F2"/>
          <w:sz w:val="22"/>
          <w:szCs w:val="22"/>
          <w:lang w:val="en-US"/>
        </w:rPr>
        <w:t xml:space="preserve">of Mental Disorders (DSM-5) and ICD-11. While both systems classify anxiety disorders similarly, ICD-11 was specifically designed to improve global clinical utility and applicability across different healthcare settings (Reed et al., 2019). DSM-5 generally provides more detailed diagnostic criteria, whereas ICD-11 </w:t>
      </w:r>
      <w:proofErr w:type="spellStart"/>
      <w:r w:rsidRPr="00503F5C">
        <w:rPr>
          <w:rFonts w:ascii="Arial" w:hAnsi="Arial" w:cs="Arial"/>
          <w:color w:val="0D0D0D" w:themeColor="text1" w:themeTint="F2"/>
          <w:sz w:val="22"/>
          <w:szCs w:val="22"/>
          <w:lang w:val="en-US"/>
        </w:rPr>
        <w:t>emphasises</w:t>
      </w:r>
      <w:proofErr w:type="spellEnd"/>
      <w:r w:rsidRPr="00503F5C">
        <w:rPr>
          <w:rFonts w:ascii="Arial" w:hAnsi="Arial" w:cs="Arial"/>
          <w:color w:val="0D0D0D" w:themeColor="text1" w:themeTint="F2"/>
          <w:sz w:val="22"/>
          <w:szCs w:val="22"/>
          <w:lang w:val="en-US"/>
        </w:rPr>
        <w:t xml:space="preserve"> flexibility and practical use by clinicians. Some researchers argue that ICD-11 offers greater cultural adaptability, while others suggest that differences between the two systems may create inconsistencies in diagnosis and research findings (First et al., 2021). These variations can influence treatment decisions and prevalence estimates across countries</w:t>
      </w:r>
      <w:r w:rsidR="0092577E" w:rsidRPr="0092577E">
        <w:rPr>
          <w:rFonts w:ascii="Arial" w:hAnsi="Arial" w:cs="Arial"/>
          <w:color w:val="0D0D0D" w:themeColor="text1" w:themeTint="F2"/>
          <w:sz w:val="22"/>
          <w:szCs w:val="22"/>
          <w:lang w:val="en-US"/>
        </w:rPr>
        <w:t>.</w:t>
      </w:r>
    </w:p>
    <w:p w:rsidR="0092577E" w:rsidRDefault="00503F5C">
      <w:pPr>
        <w:pStyle w:val="NormalWeb"/>
        <w:numPr>
          <w:ilvl w:val="1"/>
          <w:numId w:val="4"/>
        </w:numPr>
        <w:spacing w:line="360" w:lineRule="auto"/>
        <w:jc w:val="both"/>
        <w:rPr>
          <w:rFonts w:ascii="Arial" w:hAnsi="Arial" w:cs="Arial"/>
          <w:b/>
          <w:bCs/>
          <w:color w:val="0D0D0D" w:themeColor="text1" w:themeTint="F2"/>
          <w:sz w:val="22"/>
          <w:szCs w:val="22"/>
          <w:lang w:val="en-US"/>
        </w:rPr>
      </w:pPr>
      <w:r w:rsidRPr="00503F5C">
        <w:rPr>
          <w:rFonts w:ascii="Arial" w:hAnsi="Arial" w:cs="Arial"/>
          <w:b/>
          <w:bCs/>
          <w:color w:val="0D0D0D" w:themeColor="text1" w:themeTint="F2"/>
          <w:sz w:val="22"/>
          <w:szCs w:val="22"/>
          <w:lang w:val="en-US"/>
        </w:rPr>
        <w:t>Neurodiversity Debate</w:t>
      </w:r>
    </w:p>
    <w:p w:rsidR="0092577E" w:rsidRDefault="00503F5C" w:rsidP="002233B7">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 xml:space="preserve">The neurodiversity movement has challenged traditional medical perspectives on mental health and neurodevelopmental differences. Advocates argue that many psychological differences should be viewed as natural variations in human functioning rather than deficits requiring medical treatment (Walker, 2021). Within anxiety disorders, some researchers suggest that anxiety experienced by neurodivergent individuals may result from social exclusion, sensory overload, or environmental barriers rather than intrinsic </w:t>
      </w:r>
      <w:r w:rsidRPr="00503F5C">
        <w:rPr>
          <w:rFonts w:ascii="Arial" w:hAnsi="Arial" w:cs="Arial"/>
          <w:color w:val="0D0D0D" w:themeColor="text1" w:themeTint="F2"/>
          <w:sz w:val="22"/>
          <w:szCs w:val="22"/>
          <w:lang w:val="en-US"/>
        </w:rPr>
        <w:lastRenderedPageBreak/>
        <w:t>pathology. This perspective encourages greater focus on environmental adaptations and social support rather than solely symptom reduction. However, critics argue that severe anxiety can still cause substantial impairment and therefore requires appropriate clinical intervention.</w:t>
      </w:r>
    </w:p>
    <w:p w:rsidR="00503F5C" w:rsidRDefault="00503F5C" w:rsidP="00503F5C">
      <w:pPr>
        <w:pStyle w:val="NormalWeb"/>
        <w:spacing w:line="360" w:lineRule="auto"/>
        <w:ind w:left="720"/>
        <w:jc w:val="both"/>
        <w:rPr>
          <w:rFonts w:ascii="Arial" w:hAnsi="Arial" w:cs="Arial"/>
          <w:color w:val="0D0D0D" w:themeColor="text1" w:themeTint="F2"/>
          <w:sz w:val="22"/>
          <w:szCs w:val="22"/>
          <w:lang w:val="en-US"/>
        </w:rPr>
      </w:pPr>
    </w:p>
    <w:p w:rsidR="0092577E" w:rsidRDefault="00503F5C">
      <w:pPr>
        <w:pStyle w:val="NormalWeb"/>
        <w:numPr>
          <w:ilvl w:val="1"/>
          <w:numId w:val="4"/>
        </w:numPr>
        <w:spacing w:line="360" w:lineRule="auto"/>
        <w:jc w:val="both"/>
        <w:rPr>
          <w:rFonts w:ascii="Arial" w:hAnsi="Arial" w:cs="Arial"/>
          <w:b/>
          <w:bCs/>
          <w:color w:val="0D0D0D" w:themeColor="text1" w:themeTint="F2"/>
          <w:sz w:val="22"/>
          <w:szCs w:val="22"/>
          <w:lang w:val="en-US"/>
        </w:rPr>
      </w:pPr>
      <w:r w:rsidRPr="00503F5C">
        <w:rPr>
          <w:rFonts w:ascii="Arial" w:hAnsi="Arial" w:cs="Arial"/>
          <w:b/>
          <w:bCs/>
          <w:color w:val="0D0D0D" w:themeColor="text1" w:themeTint="F2"/>
          <w:sz w:val="22"/>
          <w:szCs w:val="22"/>
          <w:lang w:val="en-US"/>
        </w:rPr>
        <w:t>Cultural Validity</w:t>
      </w:r>
    </w:p>
    <w:p w:rsidR="0092577E" w:rsidRDefault="00503F5C" w:rsidP="002233B7">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Concerns regarding cultural validity have become increasingly important in mental health classification. Anxiety symptoms are not experienced or expressed uniformly across cultures. In some societies, emotional distress may be communicated through physical symptoms such as headaches, fatigue, or gastrointestinal discomfort rather than psychological language (Lewis-Fernández et al., 2020). Consequently, diagnostic criteria developed primarily in Western countries may not fully capture culturally specific experiences of anxiety. Failure to consider cultural factors may increase the risk of misdiagnosis, underdiagnosis, or inappropriate treatment</w:t>
      </w:r>
      <w:r w:rsidR="0092577E" w:rsidRPr="0092577E">
        <w:rPr>
          <w:rFonts w:ascii="Arial" w:hAnsi="Arial" w:cs="Arial"/>
          <w:color w:val="0D0D0D" w:themeColor="text1" w:themeTint="F2"/>
          <w:sz w:val="22"/>
          <w:szCs w:val="22"/>
          <w:lang w:val="en-US"/>
        </w:rPr>
        <w:t>.</w:t>
      </w:r>
    </w:p>
    <w:p w:rsidR="006B21BB" w:rsidRPr="006B21BB" w:rsidRDefault="00503F5C">
      <w:pPr>
        <w:pStyle w:val="NormalWeb"/>
        <w:numPr>
          <w:ilvl w:val="0"/>
          <w:numId w:val="4"/>
        </w:numPr>
        <w:spacing w:line="360" w:lineRule="auto"/>
        <w:jc w:val="both"/>
        <w:rPr>
          <w:rFonts w:ascii="Arial" w:hAnsi="Arial" w:cs="Arial"/>
          <w:b/>
          <w:bCs/>
          <w:color w:val="0D0D0D" w:themeColor="text1" w:themeTint="F2"/>
          <w:sz w:val="22"/>
          <w:szCs w:val="22"/>
          <w:lang w:val="en-US"/>
        </w:rPr>
      </w:pPr>
      <w:r w:rsidRPr="00503F5C">
        <w:rPr>
          <w:rFonts w:ascii="Arial" w:hAnsi="Arial" w:cs="Arial"/>
          <w:b/>
          <w:bCs/>
          <w:color w:val="0D0D0D" w:themeColor="text1" w:themeTint="F2"/>
          <w:sz w:val="22"/>
          <w:szCs w:val="22"/>
          <w:lang w:val="en-US"/>
        </w:rPr>
        <w:t>Recommendations</w:t>
      </w:r>
    </w:p>
    <w:p w:rsidR="00503F5C" w:rsidRPr="00503F5C" w:rsidRDefault="00503F5C" w:rsidP="00503F5C">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Based on the critical analysis presented in this report, several recommendations can be proposed to improve the classification, diagnosis, treatment, and rehabilitation of Anxiety and Fear-Related Disorders.</w:t>
      </w:r>
    </w:p>
    <w:p w:rsidR="00503F5C" w:rsidRPr="00503F5C" w:rsidRDefault="00503F5C" w:rsidP="00503F5C">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 xml:space="preserve">Firstly, greater emphasis should be placed on early identification and intervention. Mental health screening </w:t>
      </w:r>
      <w:proofErr w:type="spellStart"/>
      <w:r w:rsidRPr="00503F5C">
        <w:rPr>
          <w:rFonts w:ascii="Arial" w:hAnsi="Arial" w:cs="Arial"/>
          <w:color w:val="0D0D0D" w:themeColor="text1" w:themeTint="F2"/>
          <w:sz w:val="22"/>
          <w:szCs w:val="22"/>
          <w:lang w:val="en-US"/>
        </w:rPr>
        <w:t>programmes</w:t>
      </w:r>
      <w:proofErr w:type="spellEnd"/>
      <w:r w:rsidRPr="00503F5C">
        <w:rPr>
          <w:rFonts w:ascii="Arial" w:hAnsi="Arial" w:cs="Arial"/>
          <w:color w:val="0D0D0D" w:themeColor="text1" w:themeTint="F2"/>
          <w:sz w:val="22"/>
          <w:szCs w:val="22"/>
          <w:lang w:val="en-US"/>
        </w:rPr>
        <w:t xml:space="preserve"> in schools, universities, and primary healthcare settings could facilitate earlier diagnosis and prevent symptom progression. Early intervention has been associated with improved treatment outcomes and reduced long-term healthcare costs (NICE, 2023)</w:t>
      </w:r>
      <w:r>
        <w:rPr>
          <w:rFonts w:ascii="Arial" w:hAnsi="Arial" w:cs="Arial"/>
          <w:color w:val="0D0D0D" w:themeColor="text1" w:themeTint="F2"/>
          <w:sz w:val="22"/>
          <w:szCs w:val="22"/>
          <w:lang w:val="en-US"/>
        </w:rPr>
        <w:t>.</w:t>
      </w:r>
    </w:p>
    <w:p w:rsidR="001A1806" w:rsidRDefault="00503F5C" w:rsidP="00503F5C">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 xml:space="preserve">Secondly, access to evidence-based psychological therapies such as Cognitive </w:t>
      </w:r>
      <w:proofErr w:type="spellStart"/>
      <w:r w:rsidRPr="00503F5C">
        <w:rPr>
          <w:rFonts w:ascii="Arial" w:hAnsi="Arial" w:cs="Arial"/>
          <w:color w:val="0D0D0D" w:themeColor="text1" w:themeTint="F2"/>
          <w:sz w:val="22"/>
          <w:szCs w:val="22"/>
          <w:lang w:val="en-US"/>
        </w:rPr>
        <w:t>Behavioural</w:t>
      </w:r>
      <w:proofErr w:type="spellEnd"/>
      <w:r w:rsidRPr="00503F5C">
        <w:rPr>
          <w:rFonts w:ascii="Arial" w:hAnsi="Arial" w:cs="Arial"/>
          <w:color w:val="0D0D0D" w:themeColor="text1" w:themeTint="F2"/>
          <w:sz w:val="22"/>
          <w:szCs w:val="22"/>
          <w:lang w:val="en-US"/>
        </w:rPr>
        <w:t xml:space="preserve"> Therapy (CBT) should be expanded. Many individuals face lengthy waiting times for mental health services, limiting timely access to treatment. Increased funding and workforce development are necessary to address these challenges (NHS England, 2024).</w:t>
      </w:r>
    </w:p>
    <w:p w:rsidR="00503F5C" w:rsidRPr="00503F5C" w:rsidRDefault="00503F5C" w:rsidP="00503F5C">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 xml:space="preserve">Thirdly, mental health services should adopt more culturally sensitive assessment and treatment approaches. Training healthcare professionals in cultural competence may </w:t>
      </w:r>
      <w:r w:rsidRPr="00503F5C">
        <w:rPr>
          <w:rFonts w:ascii="Arial" w:hAnsi="Arial" w:cs="Arial"/>
          <w:color w:val="0D0D0D" w:themeColor="text1" w:themeTint="F2"/>
          <w:sz w:val="22"/>
          <w:szCs w:val="22"/>
          <w:lang w:val="en-US"/>
        </w:rPr>
        <w:lastRenderedPageBreak/>
        <w:t>improve diagnostic accuracy and reduce inequalities in service provision (Lewis-Fernández et al., 2020).</w:t>
      </w:r>
    </w:p>
    <w:p w:rsidR="00503F5C" w:rsidRPr="00503F5C" w:rsidRDefault="00503F5C" w:rsidP="00503F5C">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 xml:space="preserve">Additionally, recovery-oriented care should be </w:t>
      </w:r>
      <w:proofErr w:type="spellStart"/>
      <w:r w:rsidRPr="00503F5C">
        <w:rPr>
          <w:rFonts w:ascii="Arial" w:hAnsi="Arial" w:cs="Arial"/>
          <w:color w:val="0D0D0D" w:themeColor="text1" w:themeTint="F2"/>
          <w:sz w:val="22"/>
          <w:szCs w:val="22"/>
          <w:lang w:val="en-US"/>
        </w:rPr>
        <w:t>prioritised</w:t>
      </w:r>
      <w:proofErr w:type="spellEnd"/>
      <w:r w:rsidRPr="00503F5C">
        <w:rPr>
          <w:rFonts w:ascii="Arial" w:hAnsi="Arial" w:cs="Arial"/>
          <w:color w:val="0D0D0D" w:themeColor="text1" w:themeTint="F2"/>
          <w:sz w:val="22"/>
          <w:szCs w:val="22"/>
          <w:lang w:val="en-US"/>
        </w:rPr>
        <w:t xml:space="preserve"> across mental health services. Encouraging shared decision-making, patient empowerment, vocational support, and community integration can improve long-term recovery outcomes and quality of life (Slade et al., 2021)</w:t>
      </w:r>
    </w:p>
    <w:p w:rsidR="001A1806" w:rsidRDefault="00503F5C" w:rsidP="00136CE9">
      <w:pPr>
        <w:pStyle w:val="NormalWeb"/>
        <w:spacing w:line="360" w:lineRule="auto"/>
        <w:ind w:left="360"/>
        <w:jc w:val="both"/>
        <w:rPr>
          <w:rFonts w:ascii="Arial" w:hAnsi="Arial" w:cs="Arial"/>
          <w:color w:val="0D0D0D" w:themeColor="text1" w:themeTint="F2"/>
          <w:sz w:val="22"/>
          <w:szCs w:val="22"/>
          <w:lang w:val="en-US"/>
        </w:rPr>
      </w:pPr>
      <w:r w:rsidRPr="00503F5C">
        <w:rPr>
          <w:rFonts w:ascii="Arial" w:hAnsi="Arial" w:cs="Arial"/>
          <w:color w:val="0D0D0D" w:themeColor="text1" w:themeTint="F2"/>
          <w:sz w:val="22"/>
          <w:szCs w:val="22"/>
          <w:lang w:val="en-US"/>
        </w:rPr>
        <w:t xml:space="preserve">Finally, further research is required to explore the relationship between neurodiversity and anxiety disorders, as well as the effectiveness of digital mental health interventions. Strengthening the evidence base will support the development of more inclusive, </w:t>
      </w:r>
      <w:proofErr w:type="spellStart"/>
      <w:r w:rsidRPr="00503F5C">
        <w:rPr>
          <w:rFonts w:ascii="Arial" w:hAnsi="Arial" w:cs="Arial"/>
          <w:color w:val="0D0D0D" w:themeColor="text1" w:themeTint="F2"/>
          <w:sz w:val="22"/>
          <w:szCs w:val="22"/>
          <w:lang w:val="en-US"/>
        </w:rPr>
        <w:t>personalised</w:t>
      </w:r>
      <w:proofErr w:type="spellEnd"/>
      <w:r w:rsidRPr="00503F5C">
        <w:rPr>
          <w:rFonts w:ascii="Arial" w:hAnsi="Arial" w:cs="Arial"/>
          <w:color w:val="0D0D0D" w:themeColor="text1" w:themeTint="F2"/>
          <w:sz w:val="22"/>
          <w:szCs w:val="22"/>
          <w:lang w:val="en-US"/>
        </w:rPr>
        <w:t>, and effective treatment strategies in the future.</w:t>
      </w:r>
    </w:p>
    <w:p w:rsidR="002923BB" w:rsidRPr="002923BB" w:rsidRDefault="002923BB" w:rsidP="002923BB">
      <w:pPr>
        <w:pStyle w:val="NormalWeb"/>
        <w:numPr>
          <w:ilvl w:val="0"/>
          <w:numId w:val="4"/>
        </w:numPr>
        <w:spacing w:line="360" w:lineRule="auto"/>
        <w:jc w:val="both"/>
        <w:rPr>
          <w:rFonts w:ascii="Arial" w:hAnsi="Arial" w:cs="Arial"/>
          <w:b/>
          <w:bCs/>
          <w:color w:val="0D0D0D" w:themeColor="text1" w:themeTint="F2"/>
          <w:sz w:val="22"/>
          <w:szCs w:val="22"/>
          <w:lang w:val="en-US"/>
        </w:rPr>
      </w:pPr>
      <w:r w:rsidRPr="002923BB">
        <w:rPr>
          <w:rFonts w:ascii="Arial" w:hAnsi="Arial" w:cs="Arial"/>
          <w:b/>
          <w:bCs/>
          <w:color w:val="0D0D0D" w:themeColor="text1" w:themeTint="F2"/>
          <w:sz w:val="22"/>
          <w:szCs w:val="22"/>
        </w:rPr>
        <w:t>Conclusion</w:t>
      </w:r>
    </w:p>
    <w:p w:rsidR="002923BB" w:rsidRPr="002923BB" w:rsidRDefault="002923BB" w:rsidP="002923BB">
      <w:pPr>
        <w:pStyle w:val="NormalWeb"/>
        <w:spacing w:line="360" w:lineRule="auto"/>
        <w:ind w:left="360"/>
        <w:jc w:val="both"/>
        <w:rPr>
          <w:rFonts w:ascii="Arial" w:hAnsi="Arial" w:cs="Arial"/>
          <w:color w:val="0D0D0D" w:themeColor="text1" w:themeTint="F2"/>
          <w:sz w:val="22"/>
          <w:szCs w:val="22"/>
          <w:lang w:val="en-US"/>
        </w:rPr>
      </w:pPr>
      <w:r w:rsidRPr="002923BB">
        <w:rPr>
          <w:rFonts w:ascii="Arial" w:hAnsi="Arial" w:cs="Arial"/>
          <w:color w:val="0D0D0D" w:themeColor="text1" w:themeTint="F2"/>
          <w:sz w:val="22"/>
          <w:szCs w:val="22"/>
          <w:lang w:val="en-US"/>
        </w:rPr>
        <w:t xml:space="preserve">Anxiety and Fear-Related Disorders are among the most prevalent mental health conditions and are classified within ICD-11 as disorders </w:t>
      </w:r>
      <w:proofErr w:type="spellStart"/>
      <w:r w:rsidRPr="002923BB">
        <w:rPr>
          <w:rFonts w:ascii="Arial" w:hAnsi="Arial" w:cs="Arial"/>
          <w:color w:val="0D0D0D" w:themeColor="text1" w:themeTint="F2"/>
          <w:sz w:val="22"/>
          <w:szCs w:val="22"/>
          <w:lang w:val="en-US"/>
        </w:rPr>
        <w:t>characterised</w:t>
      </w:r>
      <w:proofErr w:type="spellEnd"/>
      <w:r w:rsidRPr="002923BB">
        <w:rPr>
          <w:rFonts w:ascii="Arial" w:hAnsi="Arial" w:cs="Arial"/>
          <w:color w:val="0D0D0D" w:themeColor="text1" w:themeTint="F2"/>
          <w:sz w:val="22"/>
          <w:szCs w:val="22"/>
          <w:lang w:val="en-US"/>
        </w:rPr>
        <w:t xml:space="preserve"> by excessive fear, anxiety, and associated </w:t>
      </w:r>
      <w:proofErr w:type="spellStart"/>
      <w:r w:rsidRPr="002923BB">
        <w:rPr>
          <w:rFonts w:ascii="Arial" w:hAnsi="Arial" w:cs="Arial"/>
          <w:color w:val="0D0D0D" w:themeColor="text1" w:themeTint="F2"/>
          <w:sz w:val="22"/>
          <w:szCs w:val="22"/>
          <w:lang w:val="en-US"/>
        </w:rPr>
        <w:t>behavioural</w:t>
      </w:r>
      <w:proofErr w:type="spellEnd"/>
      <w:r w:rsidRPr="002923BB">
        <w:rPr>
          <w:rFonts w:ascii="Arial" w:hAnsi="Arial" w:cs="Arial"/>
          <w:color w:val="0D0D0D" w:themeColor="text1" w:themeTint="F2"/>
          <w:sz w:val="22"/>
          <w:szCs w:val="22"/>
          <w:lang w:val="en-US"/>
        </w:rPr>
        <w:t xml:space="preserve"> disturbances. This report has critically examined their classification, diagnosis, treatment, rehabilitation, and contemporary debates. While evidence-based interventions such as Cognitive </w:t>
      </w:r>
      <w:proofErr w:type="spellStart"/>
      <w:r w:rsidRPr="002923BB">
        <w:rPr>
          <w:rFonts w:ascii="Arial" w:hAnsi="Arial" w:cs="Arial"/>
          <w:color w:val="0D0D0D" w:themeColor="text1" w:themeTint="F2"/>
          <w:sz w:val="22"/>
          <w:szCs w:val="22"/>
          <w:lang w:val="en-US"/>
        </w:rPr>
        <w:t>Behavioural</w:t>
      </w:r>
      <w:proofErr w:type="spellEnd"/>
      <w:r w:rsidRPr="002923BB">
        <w:rPr>
          <w:rFonts w:ascii="Arial" w:hAnsi="Arial" w:cs="Arial"/>
          <w:color w:val="0D0D0D" w:themeColor="text1" w:themeTint="F2"/>
          <w:sz w:val="22"/>
          <w:szCs w:val="22"/>
          <w:lang w:val="en-US"/>
        </w:rPr>
        <w:t xml:space="preserve"> Therapy, Exposure Therapy, mindfulness-based approaches, and pharmacological treatments demonstrate significant effectiveness, limitations remain regarding accessibility, diagnostic validity, and long-term recovery support.</w:t>
      </w:r>
    </w:p>
    <w:p w:rsidR="002923BB" w:rsidRPr="002923BB" w:rsidRDefault="002923BB" w:rsidP="002923BB">
      <w:pPr>
        <w:pStyle w:val="NormalWeb"/>
        <w:spacing w:line="360" w:lineRule="auto"/>
        <w:ind w:left="360"/>
        <w:jc w:val="both"/>
        <w:rPr>
          <w:rFonts w:ascii="Arial" w:hAnsi="Arial" w:cs="Arial"/>
          <w:color w:val="0D0D0D" w:themeColor="text1" w:themeTint="F2"/>
          <w:sz w:val="22"/>
          <w:szCs w:val="22"/>
          <w:lang w:val="en-US"/>
        </w:rPr>
      </w:pPr>
      <w:r w:rsidRPr="002923BB">
        <w:rPr>
          <w:rFonts w:ascii="Arial" w:hAnsi="Arial" w:cs="Arial"/>
          <w:color w:val="0D0D0D" w:themeColor="text1" w:themeTint="F2"/>
          <w:sz w:val="22"/>
          <w:szCs w:val="22"/>
          <w:lang w:val="en-US"/>
        </w:rPr>
        <w:t>Furthermore, ongoing debates concerning over-</w:t>
      </w:r>
      <w:proofErr w:type="spellStart"/>
      <w:r w:rsidRPr="002923BB">
        <w:rPr>
          <w:rFonts w:ascii="Arial" w:hAnsi="Arial" w:cs="Arial"/>
          <w:color w:val="0D0D0D" w:themeColor="text1" w:themeTint="F2"/>
          <w:sz w:val="22"/>
          <w:szCs w:val="22"/>
          <w:lang w:val="en-US"/>
        </w:rPr>
        <w:t>medicalisation</w:t>
      </w:r>
      <w:proofErr w:type="spellEnd"/>
      <w:r w:rsidRPr="002923BB">
        <w:rPr>
          <w:rFonts w:ascii="Arial" w:hAnsi="Arial" w:cs="Arial"/>
          <w:color w:val="0D0D0D" w:themeColor="text1" w:themeTint="F2"/>
          <w:sz w:val="22"/>
          <w:szCs w:val="22"/>
          <w:lang w:val="en-US"/>
        </w:rPr>
        <w:t xml:space="preserve">, </w:t>
      </w:r>
      <w:proofErr w:type="spellStart"/>
      <w:r w:rsidRPr="002923BB">
        <w:rPr>
          <w:rFonts w:ascii="Arial" w:hAnsi="Arial" w:cs="Arial"/>
          <w:color w:val="0D0D0D" w:themeColor="text1" w:themeTint="F2"/>
          <w:sz w:val="22"/>
          <w:szCs w:val="22"/>
          <w:lang w:val="en-US"/>
        </w:rPr>
        <w:t>neurodiversity</w:t>
      </w:r>
      <w:proofErr w:type="spellEnd"/>
      <w:r w:rsidRPr="002923BB">
        <w:rPr>
          <w:rFonts w:ascii="Arial" w:hAnsi="Arial" w:cs="Arial"/>
          <w:color w:val="0D0D0D" w:themeColor="text1" w:themeTint="F2"/>
          <w:sz w:val="22"/>
          <w:szCs w:val="22"/>
          <w:lang w:val="en-US"/>
        </w:rPr>
        <w:t xml:space="preserve">, cultural validity, and digital mental health interventions highlight the evolving nature of mental health practice and policy. These discussions </w:t>
      </w:r>
      <w:proofErr w:type="spellStart"/>
      <w:r w:rsidRPr="002923BB">
        <w:rPr>
          <w:rFonts w:ascii="Arial" w:hAnsi="Arial" w:cs="Arial"/>
          <w:color w:val="0D0D0D" w:themeColor="text1" w:themeTint="F2"/>
          <w:sz w:val="22"/>
          <w:szCs w:val="22"/>
          <w:lang w:val="en-US"/>
        </w:rPr>
        <w:t>emphasise</w:t>
      </w:r>
      <w:proofErr w:type="spellEnd"/>
      <w:r w:rsidRPr="002923BB">
        <w:rPr>
          <w:rFonts w:ascii="Arial" w:hAnsi="Arial" w:cs="Arial"/>
          <w:color w:val="0D0D0D" w:themeColor="text1" w:themeTint="F2"/>
          <w:sz w:val="22"/>
          <w:szCs w:val="22"/>
          <w:lang w:val="en-US"/>
        </w:rPr>
        <w:t xml:space="preserve"> the importance of adopting person-</w:t>
      </w:r>
      <w:proofErr w:type="spellStart"/>
      <w:r w:rsidRPr="002923BB">
        <w:rPr>
          <w:rFonts w:ascii="Arial" w:hAnsi="Arial" w:cs="Arial"/>
          <w:color w:val="0D0D0D" w:themeColor="text1" w:themeTint="F2"/>
          <w:sz w:val="22"/>
          <w:szCs w:val="22"/>
          <w:lang w:val="en-US"/>
        </w:rPr>
        <w:t>centred</w:t>
      </w:r>
      <w:proofErr w:type="spellEnd"/>
      <w:r w:rsidRPr="002923BB">
        <w:rPr>
          <w:rFonts w:ascii="Arial" w:hAnsi="Arial" w:cs="Arial"/>
          <w:color w:val="0D0D0D" w:themeColor="text1" w:themeTint="F2"/>
          <w:sz w:val="22"/>
          <w:szCs w:val="22"/>
          <w:lang w:val="en-US"/>
        </w:rPr>
        <w:t>, culturally sensitive, and recovery-focused approaches. Future improvements should focus on enhancing early intervention, expanding access to psychological therapies, strengthening community-based support, and promoting further research. Such developments will contribute to more effective and inclusive mental healthcare for individuals experiencing anxiety and fear-related disorders.</w:t>
      </w:r>
    </w:p>
    <w:p w:rsidR="002923BB" w:rsidRDefault="002923BB" w:rsidP="002923BB">
      <w:pPr>
        <w:pStyle w:val="NormalWeb"/>
        <w:spacing w:line="360" w:lineRule="auto"/>
        <w:ind w:left="360"/>
        <w:jc w:val="both"/>
        <w:rPr>
          <w:rFonts w:ascii="Arial" w:hAnsi="Arial" w:cs="Arial"/>
          <w:b/>
          <w:bCs/>
          <w:color w:val="0D0D0D" w:themeColor="text1" w:themeTint="F2"/>
          <w:sz w:val="22"/>
          <w:szCs w:val="22"/>
          <w:lang w:val="en-US"/>
        </w:rPr>
      </w:pPr>
    </w:p>
    <w:p w:rsidR="001A1806" w:rsidRDefault="001A1806" w:rsidP="00136CE9">
      <w:pPr>
        <w:pStyle w:val="NormalWeb"/>
        <w:numPr>
          <w:ilvl w:val="0"/>
          <w:numId w:val="4"/>
        </w:numPr>
        <w:spacing w:line="360" w:lineRule="auto"/>
        <w:jc w:val="both"/>
        <w:rPr>
          <w:rFonts w:ascii="Arial" w:hAnsi="Arial" w:cs="Arial"/>
          <w:b/>
          <w:bCs/>
          <w:color w:val="0D0D0D" w:themeColor="text1" w:themeTint="F2"/>
          <w:sz w:val="22"/>
          <w:szCs w:val="22"/>
          <w:lang w:val="en-US"/>
        </w:rPr>
      </w:pPr>
      <w:r w:rsidRPr="001A1806">
        <w:rPr>
          <w:rFonts w:ascii="Arial" w:hAnsi="Arial" w:cs="Arial"/>
          <w:b/>
          <w:bCs/>
          <w:color w:val="0D0D0D" w:themeColor="text1" w:themeTint="F2"/>
          <w:sz w:val="22"/>
          <w:szCs w:val="22"/>
          <w:lang w:val="en-US"/>
        </w:rPr>
        <w:t>References</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American Psychiatric Association (2022) Diagnostic and Statistical Manual of Mental Disorders. 5th ed. Text Revision. Washington, DC: APA.</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lastRenderedPageBreak/>
        <w:t>Bandelow, B. and Michaelis, S. (2022) ‘Epidemiology of anxiety disorders and treatment effectiveness’, Dialogues in Clinical Neuroscience, 24(1), pp. 15–28.</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Craske, M.G., Stein, M.B. and Eley, T.C. (2022) Anxiety Disorders: Theory, Research and Clinical Perspectives. New York: Oxford University Press.</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First, M.B., Reed, G.M. and Hyman, S.E. (2021) ‘The development of ICD-11 mental disorder classifications’, World Psychiatry, 20(1), pp. 40–48.</w:t>
      </w:r>
    </w:p>
    <w:p w:rsidR="001A1806"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Frances, A. (2022) Saving Normal: An Insider's Revolt Against Out-of-Control Psychiatric Diagnosis. New York: HarperCollins.</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 xml:space="preserve">Hofmann, S.G. and Gómez, A.F. (2021) ‘Cognitive </w:t>
      </w:r>
      <w:proofErr w:type="spellStart"/>
      <w:r w:rsidRPr="0015558B">
        <w:rPr>
          <w:rFonts w:ascii="Arial" w:hAnsi="Arial" w:cs="Arial"/>
          <w:i/>
          <w:iCs/>
          <w:color w:val="0D0D0D" w:themeColor="text1" w:themeTint="F2"/>
          <w:sz w:val="22"/>
          <w:szCs w:val="22"/>
          <w:lang w:val="en-US"/>
        </w:rPr>
        <w:t>behavioural</w:t>
      </w:r>
      <w:proofErr w:type="spellEnd"/>
      <w:r w:rsidRPr="0015558B">
        <w:rPr>
          <w:rFonts w:ascii="Arial" w:hAnsi="Arial" w:cs="Arial"/>
          <w:i/>
          <w:iCs/>
          <w:color w:val="0D0D0D" w:themeColor="text1" w:themeTint="F2"/>
          <w:sz w:val="22"/>
          <w:szCs w:val="22"/>
          <w:lang w:val="en-US"/>
        </w:rPr>
        <w:t xml:space="preserve"> therapy for anxiety disorders’, Psychiatric Clinics of North America, 44(4), pp. 567–582.</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Lewis-Fernández, R. et al. (2020) ‘Culture and psychiatric evaluation’, Psychiatric Clinics of North America, 43(4), pp. 679–695.</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NHS England (2024) Community Mental Health Framework for Adults and Older Adults. London: NHS England.</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 xml:space="preserve">NICE (2023) </w:t>
      </w:r>
      <w:proofErr w:type="spellStart"/>
      <w:r w:rsidRPr="0015558B">
        <w:rPr>
          <w:rFonts w:ascii="Arial" w:hAnsi="Arial" w:cs="Arial"/>
          <w:i/>
          <w:iCs/>
          <w:color w:val="0D0D0D" w:themeColor="text1" w:themeTint="F2"/>
          <w:sz w:val="22"/>
          <w:szCs w:val="22"/>
          <w:lang w:val="en-US"/>
        </w:rPr>
        <w:t>Generalised</w:t>
      </w:r>
      <w:proofErr w:type="spellEnd"/>
      <w:r w:rsidRPr="0015558B">
        <w:rPr>
          <w:rFonts w:ascii="Arial" w:hAnsi="Arial" w:cs="Arial"/>
          <w:i/>
          <w:iCs/>
          <w:color w:val="0D0D0D" w:themeColor="text1" w:themeTint="F2"/>
          <w:sz w:val="22"/>
          <w:szCs w:val="22"/>
          <w:lang w:val="en-US"/>
        </w:rPr>
        <w:t xml:space="preserve"> Anxiety Disorder and Panic Disorder in Adults: Management. London: National Institute for Health and Care Excellence.</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Reed, G.M. et al. (2019) ‘Innovations and changes in the ICD-11 classification of mental disorders’, World Psychiatry, 18(1), pp. 3–19.</w:t>
      </w:r>
    </w:p>
    <w:p w:rsid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 xml:space="preserve">Slade, M., </w:t>
      </w:r>
      <w:proofErr w:type="spellStart"/>
      <w:r w:rsidRPr="0015558B">
        <w:rPr>
          <w:rFonts w:ascii="Arial" w:hAnsi="Arial" w:cs="Arial"/>
          <w:i/>
          <w:iCs/>
          <w:color w:val="0D0D0D" w:themeColor="text1" w:themeTint="F2"/>
          <w:sz w:val="22"/>
          <w:szCs w:val="22"/>
          <w:lang w:val="en-US"/>
        </w:rPr>
        <w:t>Amering</w:t>
      </w:r>
      <w:proofErr w:type="spellEnd"/>
      <w:r w:rsidRPr="0015558B">
        <w:rPr>
          <w:rFonts w:ascii="Arial" w:hAnsi="Arial" w:cs="Arial"/>
          <w:i/>
          <w:iCs/>
          <w:color w:val="0D0D0D" w:themeColor="text1" w:themeTint="F2"/>
          <w:sz w:val="22"/>
          <w:szCs w:val="22"/>
          <w:lang w:val="en-US"/>
        </w:rPr>
        <w:t xml:space="preserve">, M. and </w:t>
      </w:r>
      <w:proofErr w:type="spellStart"/>
      <w:r w:rsidRPr="0015558B">
        <w:rPr>
          <w:rFonts w:ascii="Arial" w:hAnsi="Arial" w:cs="Arial"/>
          <w:i/>
          <w:iCs/>
          <w:color w:val="0D0D0D" w:themeColor="text1" w:themeTint="F2"/>
          <w:sz w:val="22"/>
          <w:szCs w:val="22"/>
          <w:lang w:val="en-US"/>
        </w:rPr>
        <w:t>Oades</w:t>
      </w:r>
      <w:proofErr w:type="spellEnd"/>
      <w:r w:rsidRPr="0015558B">
        <w:rPr>
          <w:rFonts w:ascii="Arial" w:hAnsi="Arial" w:cs="Arial"/>
          <w:i/>
          <w:iCs/>
          <w:color w:val="0D0D0D" w:themeColor="text1" w:themeTint="F2"/>
          <w:sz w:val="22"/>
          <w:szCs w:val="22"/>
          <w:lang w:val="en-US"/>
        </w:rPr>
        <w:t>, L. (2021) Recovery and Mental Health. Cambridge: Cambridge University Press.</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proofErr w:type="gramStart"/>
      <w:r w:rsidRPr="0015558B">
        <w:rPr>
          <w:rFonts w:ascii="Arial" w:hAnsi="Arial" w:cs="Arial"/>
          <w:i/>
          <w:iCs/>
          <w:color w:val="0D0D0D" w:themeColor="text1" w:themeTint="F2"/>
          <w:sz w:val="22"/>
          <w:szCs w:val="22"/>
          <w:lang w:val="en-US"/>
        </w:rPr>
        <w:t>Stein, M.B. and Sareen, J. (2023) Anxiety Disorders and Related Conditions.</w:t>
      </w:r>
      <w:proofErr w:type="gramEnd"/>
      <w:r w:rsidRPr="0015558B">
        <w:rPr>
          <w:rFonts w:ascii="Arial" w:hAnsi="Arial" w:cs="Arial"/>
          <w:i/>
          <w:iCs/>
          <w:color w:val="0D0D0D" w:themeColor="text1" w:themeTint="F2"/>
          <w:sz w:val="22"/>
          <w:szCs w:val="22"/>
          <w:lang w:val="en-US"/>
        </w:rPr>
        <w:t xml:space="preserve"> Oxford: Oxford University Press.</w:t>
      </w:r>
    </w:p>
    <w:p w:rsidR="0015558B" w:rsidRPr="0015558B" w:rsidRDefault="0015558B" w:rsidP="0015558B">
      <w:pPr>
        <w:pStyle w:val="NormalWeb"/>
        <w:spacing w:line="360" w:lineRule="auto"/>
        <w:ind w:left="360"/>
        <w:jc w:val="both"/>
        <w:rPr>
          <w:rFonts w:ascii="Arial" w:hAnsi="Arial" w:cs="Arial"/>
          <w:i/>
          <w:iCs/>
          <w:color w:val="0D0D0D" w:themeColor="text1" w:themeTint="F2"/>
          <w:sz w:val="22"/>
          <w:szCs w:val="22"/>
          <w:lang w:val="en-US"/>
        </w:rPr>
      </w:pPr>
      <w:proofErr w:type="spellStart"/>
      <w:r w:rsidRPr="0015558B">
        <w:rPr>
          <w:rFonts w:ascii="Arial" w:hAnsi="Arial" w:cs="Arial"/>
          <w:i/>
          <w:iCs/>
          <w:color w:val="0D0D0D" w:themeColor="text1" w:themeTint="F2"/>
          <w:sz w:val="22"/>
          <w:szCs w:val="22"/>
          <w:lang w:val="en-US"/>
        </w:rPr>
        <w:t>Torous</w:t>
      </w:r>
      <w:proofErr w:type="spellEnd"/>
      <w:r w:rsidRPr="0015558B">
        <w:rPr>
          <w:rFonts w:ascii="Arial" w:hAnsi="Arial" w:cs="Arial"/>
          <w:i/>
          <w:iCs/>
          <w:color w:val="0D0D0D" w:themeColor="text1" w:themeTint="F2"/>
          <w:sz w:val="22"/>
          <w:szCs w:val="22"/>
          <w:lang w:val="en-US"/>
        </w:rPr>
        <w:t>, J. et al. (2023) ‘Digital mental health and future psychiatric practice’, The Lancet Psychiatry, 10(5), pp. 387–395.</w:t>
      </w:r>
    </w:p>
    <w:p w:rsidR="0015558B" w:rsidRPr="001A1806" w:rsidRDefault="0015558B" w:rsidP="0015558B">
      <w:pPr>
        <w:pStyle w:val="NormalWeb"/>
        <w:spacing w:line="360" w:lineRule="auto"/>
        <w:ind w:left="360"/>
        <w:jc w:val="both"/>
        <w:rPr>
          <w:rFonts w:ascii="Arial" w:hAnsi="Arial" w:cs="Arial"/>
          <w:i/>
          <w:iCs/>
          <w:color w:val="0D0D0D" w:themeColor="text1" w:themeTint="F2"/>
          <w:sz w:val="22"/>
          <w:szCs w:val="22"/>
          <w:lang w:val="en-US"/>
        </w:rPr>
      </w:pPr>
      <w:r w:rsidRPr="0015558B">
        <w:rPr>
          <w:rFonts w:ascii="Arial" w:hAnsi="Arial" w:cs="Arial"/>
          <w:i/>
          <w:iCs/>
          <w:color w:val="0D0D0D" w:themeColor="text1" w:themeTint="F2"/>
          <w:sz w:val="22"/>
          <w:szCs w:val="22"/>
          <w:lang w:val="en-US"/>
        </w:rPr>
        <w:t xml:space="preserve">Walker, N. (2021) </w:t>
      </w:r>
      <w:proofErr w:type="spellStart"/>
      <w:r w:rsidRPr="0015558B">
        <w:rPr>
          <w:rFonts w:ascii="Arial" w:hAnsi="Arial" w:cs="Arial"/>
          <w:i/>
          <w:iCs/>
          <w:color w:val="0D0D0D" w:themeColor="text1" w:themeTint="F2"/>
          <w:sz w:val="22"/>
          <w:szCs w:val="22"/>
          <w:lang w:val="en-US"/>
        </w:rPr>
        <w:t>Neuroqueer</w:t>
      </w:r>
      <w:proofErr w:type="spellEnd"/>
      <w:r w:rsidRPr="0015558B">
        <w:rPr>
          <w:rFonts w:ascii="Arial" w:hAnsi="Arial" w:cs="Arial"/>
          <w:i/>
          <w:iCs/>
          <w:color w:val="0D0D0D" w:themeColor="text1" w:themeTint="F2"/>
          <w:sz w:val="22"/>
          <w:szCs w:val="22"/>
          <w:lang w:val="en-US"/>
        </w:rPr>
        <w:t xml:space="preserve"> Heresies. Fort Worth: Autonomous Press.</w:t>
      </w:r>
    </w:p>
    <w:sectPr w:rsidR="0015558B" w:rsidRPr="001A1806" w:rsidSect="00796DB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370" w:rsidRDefault="00B26370" w:rsidP="002A4CF1">
      <w:pPr>
        <w:spacing w:line="240" w:lineRule="auto"/>
      </w:pPr>
      <w:r>
        <w:separator/>
      </w:r>
    </w:p>
  </w:endnote>
  <w:endnote w:type="continuationSeparator" w:id="0">
    <w:p w:rsidR="00B26370" w:rsidRDefault="00B26370" w:rsidP="002A4CF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370" w:rsidRDefault="00B26370" w:rsidP="002A4CF1">
      <w:pPr>
        <w:spacing w:line="240" w:lineRule="auto"/>
      </w:pPr>
      <w:r>
        <w:separator/>
      </w:r>
    </w:p>
  </w:footnote>
  <w:footnote w:type="continuationSeparator" w:id="0">
    <w:p w:rsidR="00B26370" w:rsidRDefault="00B26370" w:rsidP="002A4CF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F05E8"/>
    <w:multiLevelType w:val="hybridMultilevel"/>
    <w:tmpl w:val="8008310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D03F74"/>
    <w:multiLevelType w:val="multilevel"/>
    <w:tmpl w:val="C390099A"/>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A31053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1E47466F"/>
    <w:multiLevelType w:val="multilevel"/>
    <w:tmpl w:val="B3623ECE"/>
    <w:lvl w:ilvl="0">
      <w:start w:val="6"/>
      <w:numFmt w:val="decimal"/>
      <w:lvlText w:val="%1."/>
      <w:lvlJc w:val="left"/>
      <w:pPr>
        <w:ind w:left="360" w:hanging="360"/>
      </w:pPr>
      <w:rPr>
        <w:rFonts w:hint="default"/>
      </w:rPr>
    </w:lvl>
    <w:lvl w:ilvl="1">
      <w:start w:val="1"/>
      <w:numFmt w:val="decimal"/>
      <w:lvlText w:val="%1.%2."/>
      <w:lvlJc w:val="left"/>
      <w:pPr>
        <w:ind w:left="2070" w:hanging="72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5130" w:hanging="108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4">
    <w:nsid w:val="1E543D87"/>
    <w:multiLevelType w:val="hybridMultilevel"/>
    <w:tmpl w:val="17CEB8C2"/>
    <w:lvl w:ilvl="0" w:tplc="8C22684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CC52A0"/>
    <w:multiLevelType w:val="hybridMultilevel"/>
    <w:tmpl w:val="BF46670A"/>
    <w:lvl w:ilvl="0" w:tplc="58B22C4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864BF7"/>
    <w:multiLevelType w:val="hybridMultilevel"/>
    <w:tmpl w:val="B764FB82"/>
    <w:lvl w:ilvl="0" w:tplc="0552719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497527C"/>
    <w:multiLevelType w:val="hybridMultilevel"/>
    <w:tmpl w:val="8D848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A53402"/>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BB37593"/>
    <w:multiLevelType w:val="multilevel"/>
    <w:tmpl w:val="BD308728"/>
    <w:lvl w:ilvl="0">
      <w:start w:val="4"/>
      <w:numFmt w:val="decimal"/>
      <w:lvlText w:val="%1."/>
      <w:lvlJc w:val="left"/>
      <w:pPr>
        <w:ind w:left="716" w:hanging="432"/>
      </w:pPr>
      <w:rPr>
        <w:rFonts w:hint="default"/>
      </w:rPr>
    </w:lvl>
    <w:lvl w:ilvl="1">
      <w:start w:val="1"/>
      <w:numFmt w:val="decimal"/>
      <w:pStyle w:val="Heading2"/>
      <w:lvlText w:val="%1.%2"/>
      <w:lvlJc w:val="left"/>
      <w:pPr>
        <w:ind w:left="860" w:hanging="576"/>
      </w:pPr>
      <w:rPr>
        <w:rFonts w:hint="default"/>
      </w:rPr>
    </w:lvl>
    <w:lvl w:ilvl="2">
      <w:start w:val="1"/>
      <w:numFmt w:val="decimal"/>
      <w:pStyle w:val="Heading3"/>
      <w:lvlText w:val="%1.%2.%3"/>
      <w:lvlJc w:val="left"/>
      <w:pPr>
        <w:ind w:left="1004" w:hanging="720"/>
      </w:pPr>
      <w:rPr>
        <w:rFonts w:hint="default"/>
      </w:rPr>
    </w:lvl>
    <w:lvl w:ilvl="3">
      <w:start w:val="1"/>
      <w:numFmt w:val="decimal"/>
      <w:pStyle w:val="Heading4"/>
      <w:lvlText w:val="%1.%2.%3.%4"/>
      <w:lvlJc w:val="left"/>
      <w:pPr>
        <w:ind w:left="1148" w:hanging="864"/>
      </w:pPr>
      <w:rPr>
        <w:rFonts w:hint="default"/>
      </w:rPr>
    </w:lvl>
    <w:lvl w:ilvl="4">
      <w:start w:val="1"/>
      <w:numFmt w:val="decimal"/>
      <w:pStyle w:val="Heading5"/>
      <w:lvlText w:val="%1.%2.%3.%4.%5"/>
      <w:lvlJc w:val="left"/>
      <w:pPr>
        <w:ind w:left="1292" w:hanging="1008"/>
      </w:pPr>
      <w:rPr>
        <w:rFonts w:hint="default"/>
      </w:rPr>
    </w:lvl>
    <w:lvl w:ilvl="5">
      <w:start w:val="1"/>
      <w:numFmt w:val="decimal"/>
      <w:pStyle w:val="Heading6"/>
      <w:lvlText w:val="%1.%2.%3.%4.%5.%6"/>
      <w:lvlJc w:val="left"/>
      <w:pPr>
        <w:ind w:left="1436" w:hanging="1152"/>
      </w:pPr>
      <w:rPr>
        <w:rFonts w:hint="default"/>
      </w:rPr>
    </w:lvl>
    <w:lvl w:ilvl="6">
      <w:start w:val="1"/>
      <w:numFmt w:val="decimal"/>
      <w:pStyle w:val="Heading7"/>
      <w:lvlText w:val="%1.%2.%3.%4.%5.%6.%7"/>
      <w:lvlJc w:val="left"/>
      <w:pPr>
        <w:ind w:left="1580" w:hanging="1296"/>
      </w:pPr>
      <w:rPr>
        <w:rFonts w:hint="default"/>
      </w:rPr>
    </w:lvl>
    <w:lvl w:ilvl="7">
      <w:start w:val="1"/>
      <w:numFmt w:val="decimal"/>
      <w:pStyle w:val="Heading8"/>
      <w:lvlText w:val="%1.%2.%3.%4.%5.%6.%7.%8"/>
      <w:lvlJc w:val="left"/>
      <w:pPr>
        <w:ind w:left="1724" w:hanging="1440"/>
      </w:pPr>
      <w:rPr>
        <w:rFonts w:hint="default"/>
      </w:rPr>
    </w:lvl>
    <w:lvl w:ilvl="8">
      <w:start w:val="1"/>
      <w:numFmt w:val="decimal"/>
      <w:pStyle w:val="Heading9"/>
      <w:lvlText w:val="%1.%2.%3.%4.%5.%6.%7.%8.%9"/>
      <w:lvlJc w:val="left"/>
      <w:pPr>
        <w:ind w:left="1868" w:hanging="1584"/>
      </w:pPr>
      <w:rPr>
        <w:rFonts w:hint="default"/>
      </w:rPr>
    </w:lvl>
  </w:abstractNum>
  <w:abstractNum w:abstractNumId="10">
    <w:nsid w:val="421C64B1"/>
    <w:multiLevelType w:val="multilevel"/>
    <w:tmpl w:val="41F6D8B2"/>
    <w:lvl w:ilvl="0">
      <w:start w:val="1"/>
      <w:numFmt w:val="decimal"/>
      <w:lvlText w:val="%1."/>
      <w:lvlJc w:val="left"/>
      <w:pPr>
        <w:ind w:left="644" w:hanging="360"/>
      </w:p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1">
    <w:nsid w:val="45517A83"/>
    <w:multiLevelType w:val="hybridMultilevel"/>
    <w:tmpl w:val="5E3204C6"/>
    <w:lvl w:ilvl="0" w:tplc="270074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7243FF"/>
    <w:multiLevelType w:val="hybridMultilevel"/>
    <w:tmpl w:val="BCF22C0C"/>
    <w:lvl w:ilvl="0" w:tplc="F1D65C2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82352F"/>
    <w:multiLevelType w:val="multilevel"/>
    <w:tmpl w:val="859668CE"/>
    <w:lvl w:ilvl="0">
      <w:start w:val="6"/>
      <w:numFmt w:val="decimal"/>
      <w:lvlText w:val="%1."/>
      <w:lvlJc w:val="left"/>
      <w:pPr>
        <w:ind w:left="1350" w:hanging="360"/>
      </w:pPr>
      <w:rPr>
        <w:rFonts w:hint="default"/>
      </w:rPr>
    </w:lvl>
    <w:lvl w:ilvl="1">
      <w:start w:val="1"/>
      <w:numFmt w:val="decimal"/>
      <w:isLgl/>
      <w:lvlText w:val="%1.%2"/>
      <w:lvlJc w:val="left"/>
      <w:pPr>
        <w:ind w:left="1710" w:hanging="360"/>
      </w:pPr>
      <w:rPr>
        <w:rFonts w:hint="default"/>
      </w:rPr>
    </w:lvl>
    <w:lvl w:ilvl="2">
      <w:start w:val="1"/>
      <w:numFmt w:val="decimal"/>
      <w:isLgl/>
      <w:lvlText w:val="%1.%2.%3"/>
      <w:lvlJc w:val="left"/>
      <w:pPr>
        <w:ind w:left="2430" w:hanging="720"/>
      </w:pPr>
      <w:rPr>
        <w:rFonts w:hint="default"/>
      </w:rPr>
    </w:lvl>
    <w:lvl w:ilvl="3">
      <w:start w:val="1"/>
      <w:numFmt w:val="decimal"/>
      <w:isLgl/>
      <w:lvlText w:val="%1.%2.%3.%4"/>
      <w:lvlJc w:val="left"/>
      <w:pPr>
        <w:ind w:left="2790" w:hanging="720"/>
      </w:pPr>
      <w:rPr>
        <w:rFonts w:hint="default"/>
      </w:rPr>
    </w:lvl>
    <w:lvl w:ilvl="4">
      <w:start w:val="1"/>
      <w:numFmt w:val="decimal"/>
      <w:isLgl/>
      <w:lvlText w:val="%1.%2.%3.%4.%5"/>
      <w:lvlJc w:val="left"/>
      <w:pPr>
        <w:ind w:left="3510" w:hanging="1080"/>
      </w:pPr>
      <w:rPr>
        <w:rFonts w:hint="default"/>
      </w:rPr>
    </w:lvl>
    <w:lvl w:ilvl="5">
      <w:start w:val="1"/>
      <w:numFmt w:val="decimal"/>
      <w:isLgl/>
      <w:lvlText w:val="%1.%2.%3.%4.%5.%6"/>
      <w:lvlJc w:val="left"/>
      <w:pPr>
        <w:ind w:left="3870"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4950" w:hanging="1440"/>
      </w:pPr>
      <w:rPr>
        <w:rFonts w:hint="default"/>
      </w:rPr>
    </w:lvl>
    <w:lvl w:ilvl="8">
      <w:start w:val="1"/>
      <w:numFmt w:val="decimal"/>
      <w:isLgl/>
      <w:lvlText w:val="%1.%2.%3.%4.%5.%6.%7.%8.%9"/>
      <w:lvlJc w:val="left"/>
      <w:pPr>
        <w:ind w:left="5670" w:hanging="1800"/>
      </w:pPr>
      <w:rPr>
        <w:rFonts w:hint="default"/>
      </w:rPr>
    </w:lvl>
  </w:abstractNum>
  <w:abstractNum w:abstractNumId="14">
    <w:nsid w:val="5A7637FD"/>
    <w:multiLevelType w:val="multilevel"/>
    <w:tmpl w:val="0409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5">
    <w:nsid w:val="5D9E4F17"/>
    <w:multiLevelType w:val="hybridMultilevel"/>
    <w:tmpl w:val="B36E0532"/>
    <w:lvl w:ilvl="0" w:tplc="C4F2F9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0E85095"/>
    <w:multiLevelType w:val="multilevel"/>
    <w:tmpl w:val="43F688E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74146B39"/>
    <w:multiLevelType w:val="multilevel"/>
    <w:tmpl w:val="0409001F"/>
    <w:lvl w:ilvl="0">
      <w:start w:val="1"/>
      <w:numFmt w:val="decimal"/>
      <w:lvlText w:val="%1."/>
      <w:lvlJc w:val="left"/>
      <w:pPr>
        <w:ind w:left="1260" w:hanging="360"/>
      </w:pPr>
    </w:lvl>
    <w:lvl w:ilvl="1">
      <w:start w:val="1"/>
      <w:numFmt w:val="decimal"/>
      <w:lvlText w:val="%1.%2."/>
      <w:lvlJc w:val="left"/>
      <w:pPr>
        <w:ind w:left="1692" w:hanging="432"/>
      </w:pPr>
    </w:lvl>
    <w:lvl w:ilvl="2">
      <w:start w:val="1"/>
      <w:numFmt w:val="decimal"/>
      <w:lvlText w:val="%1.%2.%3."/>
      <w:lvlJc w:val="left"/>
      <w:pPr>
        <w:ind w:left="2124" w:hanging="504"/>
      </w:pPr>
    </w:lvl>
    <w:lvl w:ilvl="3">
      <w:start w:val="1"/>
      <w:numFmt w:val="decimal"/>
      <w:lvlText w:val="%1.%2.%3.%4."/>
      <w:lvlJc w:val="left"/>
      <w:pPr>
        <w:ind w:left="2628" w:hanging="648"/>
      </w:pPr>
    </w:lvl>
    <w:lvl w:ilvl="4">
      <w:start w:val="1"/>
      <w:numFmt w:val="decimal"/>
      <w:lvlText w:val="%1.%2.%3.%4.%5."/>
      <w:lvlJc w:val="left"/>
      <w:pPr>
        <w:ind w:left="3132" w:hanging="792"/>
      </w:pPr>
    </w:lvl>
    <w:lvl w:ilvl="5">
      <w:start w:val="1"/>
      <w:numFmt w:val="decimal"/>
      <w:lvlText w:val="%1.%2.%3.%4.%5.%6."/>
      <w:lvlJc w:val="left"/>
      <w:pPr>
        <w:ind w:left="3636" w:hanging="936"/>
      </w:pPr>
    </w:lvl>
    <w:lvl w:ilvl="6">
      <w:start w:val="1"/>
      <w:numFmt w:val="decimal"/>
      <w:lvlText w:val="%1.%2.%3.%4.%5.%6.%7."/>
      <w:lvlJc w:val="left"/>
      <w:pPr>
        <w:ind w:left="4140" w:hanging="1080"/>
      </w:pPr>
    </w:lvl>
    <w:lvl w:ilvl="7">
      <w:start w:val="1"/>
      <w:numFmt w:val="decimal"/>
      <w:lvlText w:val="%1.%2.%3.%4.%5.%6.%7.%8."/>
      <w:lvlJc w:val="left"/>
      <w:pPr>
        <w:ind w:left="4644" w:hanging="1224"/>
      </w:pPr>
    </w:lvl>
    <w:lvl w:ilvl="8">
      <w:start w:val="1"/>
      <w:numFmt w:val="decimal"/>
      <w:lvlText w:val="%1.%2.%3.%4.%5.%6.%7.%8.%9."/>
      <w:lvlJc w:val="left"/>
      <w:pPr>
        <w:ind w:left="5220" w:hanging="1440"/>
      </w:pPr>
    </w:lvl>
  </w:abstractNum>
  <w:abstractNum w:abstractNumId="18">
    <w:nsid w:val="74C577B5"/>
    <w:multiLevelType w:val="hybridMultilevel"/>
    <w:tmpl w:val="508A29C0"/>
    <w:lvl w:ilvl="0" w:tplc="4D288C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120745"/>
    <w:multiLevelType w:val="hybridMultilevel"/>
    <w:tmpl w:val="2B526996"/>
    <w:lvl w:ilvl="0" w:tplc="84C2A510">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0"/>
  </w:num>
  <w:num w:numId="3">
    <w:abstractNumId w:val="9"/>
  </w:num>
  <w:num w:numId="4">
    <w:abstractNumId w:val="1"/>
  </w:num>
  <w:num w:numId="5">
    <w:abstractNumId w:val="17"/>
  </w:num>
  <w:num w:numId="6">
    <w:abstractNumId w:val="13"/>
  </w:num>
  <w:num w:numId="7">
    <w:abstractNumId w:val="7"/>
  </w:num>
  <w:num w:numId="8">
    <w:abstractNumId w:val="15"/>
  </w:num>
  <w:num w:numId="9">
    <w:abstractNumId w:val="18"/>
  </w:num>
  <w:num w:numId="10">
    <w:abstractNumId w:val="11"/>
  </w:num>
  <w:num w:numId="11">
    <w:abstractNumId w:val="19"/>
  </w:num>
  <w:num w:numId="12">
    <w:abstractNumId w:val="6"/>
  </w:num>
  <w:num w:numId="13">
    <w:abstractNumId w:val="4"/>
  </w:num>
  <w:num w:numId="14">
    <w:abstractNumId w:val="5"/>
  </w:num>
  <w:num w:numId="15">
    <w:abstractNumId w:val="12"/>
  </w:num>
  <w:num w:numId="16">
    <w:abstractNumId w:val="16"/>
  </w:num>
  <w:num w:numId="17">
    <w:abstractNumId w:val="3"/>
  </w:num>
  <w:num w:numId="18">
    <w:abstractNumId w:val="14"/>
  </w:num>
  <w:num w:numId="19">
    <w:abstractNumId w:val="2"/>
  </w:num>
  <w:num w:numId="20">
    <w:abstractNumId w:val="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56E3A"/>
    <w:rsid w:val="000022E5"/>
    <w:rsid w:val="00004BE0"/>
    <w:rsid w:val="00060B1C"/>
    <w:rsid w:val="00073A29"/>
    <w:rsid w:val="000B0D0E"/>
    <w:rsid w:val="000B483C"/>
    <w:rsid w:val="00131A2B"/>
    <w:rsid w:val="00136CE9"/>
    <w:rsid w:val="0015558B"/>
    <w:rsid w:val="00160650"/>
    <w:rsid w:val="00171DFD"/>
    <w:rsid w:val="00176F16"/>
    <w:rsid w:val="001A1806"/>
    <w:rsid w:val="001F3F63"/>
    <w:rsid w:val="002125C1"/>
    <w:rsid w:val="002233B7"/>
    <w:rsid w:val="002259F2"/>
    <w:rsid w:val="00226871"/>
    <w:rsid w:val="00244321"/>
    <w:rsid w:val="002447A1"/>
    <w:rsid w:val="00246F72"/>
    <w:rsid w:val="0026380C"/>
    <w:rsid w:val="002649C3"/>
    <w:rsid w:val="002923BB"/>
    <w:rsid w:val="002923CB"/>
    <w:rsid w:val="002A03BE"/>
    <w:rsid w:val="002A2142"/>
    <w:rsid w:val="002A4CF1"/>
    <w:rsid w:val="002E2051"/>
    <w:rsid w:val="002F296E"/>
    <w:rsid w:val="00303F93"/>
    <w:rsid w:val="00323EE5"/>
    <w:rsid w:val="00330C42"/>
    <w:rsid w:val="00332990"/>
    <w:rsid w:val="00345847"/>
    <w:rsid w:val="00353B22"/>
    <w:rsid w:val="0036664C"/>
    <w:rsid w:val="00371DD0"/>
    <w:rsid w:val="003922B6"/>
    <w:rsid w:val="0039586A"/>
    <w:rsid w:val="003C1C4B"/>
    <w:rsid w:val="003D3D9D"/>
    <w:rsid w:val="0042122C"/>
    <w:rsid w:val="00436BD2"/>
    <w:rsid w:val="004A677F"/>
    <w:rsid w:val="004F58A6"/>
    <w:rsid w:val="00503F5C"/>
    <w:rsid w:val="005133C8"/>
    <w:rsid w:val="00515F5E"/>
    <w:rsid w:val="00526286"/>
    <w:rsid w:val="00565137"/>
    <w:rsid w:val="005653DA"/>
    <w:rsid w:val="005B392D"/>
    <w:rsid w:val="005D6BD5"/>
    <w:rsid w:val="00625B4B"/>
    <w:rsid w:val="00664EDB"/>
    <w:rsid w:val="006722A9"/>
    <w:rsid w:val="00680C66"/>
    <w:rsid w:val="006822F2"/>
    <w:rsid w:val="006A7861"/>
    <w:rsid w:val="006B21BB"/>
    <w:rsid w:val="006E04A2"/>
    <w:rsid w:val="006F34DA"/>
    <w:rsid w:val="007104B9"/>
    <w:rsid w:val="007446ED"/>
    <w:rsid w:val="007614FB"/>
    <w:rsid w:val="0077056F"/>
    <w:rsid w:val="007721D8"/>
    <w:rsid w:val="00773FF4"/>
    <w:rsid w:val="00774EF0"/>
    <w:rsid w:val="00777CC9"/>
    <w:rsid w:val="007909F6"/>
    <w:rsid w:val="00796DBC"/>
    <w:rsid w:val="007D5684"/>
    <w:rsid w:val="00800BA3"/>
    <w:rsid w:val="00850BF0"/>
    <w:rsid w:val="00864267"/>
    <w:rsid w:val="00881AD2"/>
    <w:rsid w:val="00883347"/>
    <w:rsid w:val="008879AE"/>
    <w:rsid w:val="008C6F18"/>
    <w:rsid w:val="0092577E"/>
    <w:rsid w:val="00954184"/>
    <w:rsid w:val="00957565"/>
    <w:rsid w:val="00963E4D"/>
    <w:rsid w:val="00964E2A"/>
    <w:rsid w:val="009754AF"/>
    <w:rsid w:val="0098316E"/>
    <w:rsid w:val="009972A8"/>
    <w:rsid w:val="009B037C"/>
    <w:rsid w:val="009B70CE"/>
    <w:rsid w:val="009D27A5"/>
    <w:rsid w:val="00A000AC"/>
    <w:rsid w:val="00A35437"/>
    <w:rsid w:val="00A54459"/>
    <w:rsid w:val="00A97E29"/>
    <w:rsid w:val="00A97EB5"/>
    <w:rsid w:val="00AC086B"/>
    <w:rsid w:val="00AD3FD4"/>
    <w:rsid w:val="00AE2F13"/>
    <w:rsid w:val="00B06559"/>
    <w:rsid w:val="00B26370"/>
    <w:rsid w:val="00B30B29"/>
    <w:rsid w:val="00B36563"/>
    <w:rsid w:val="00B468A4"/>
    <w:rsid w:val="00B52F17"/>
    <w:rsid w:val="00B534F8"/>
    <w:rsid w:val="00B85083"/>
    <w:rsid w:val="00B871C6"/>
    <w:rsid w:val="00BC4AB1"/>
    <w:rsid w:val="00BE5077"/>
    <w:rsid w:val="00BF002E"/>
    <w:rsid w:val="00C52F98"/>
    <w:rsid w:val="00D038B4"/>
    <w:rsid w:val="00D13120"/>
    <w:rsid w:val="00D35B71"/>
    <w:rsid w:val="00D55415"/>
    <w:rsid w:val="00D752C6"/>
    <w:rsid w:val="00D80975"/>
    <w:rsid w:val="00D9098E"/>
    <w:rsid w:val="00D955BB"/>
    <w:rsid w:val="00DA5967"/>
    <w:rsid w:val="00DC1862"/>
    <w:rsid w:val="00DD18A0"/>
    <w:rsid w:val="00DF5476"/>
    <w:rsid w:val="00E0033E"/>
    <w:rsid w:val="00E05B59"/>
    <w:rsid w:val="00E413B4"/>
    <w:rsid w:val="00E7435E"/>
    <w:rsid w:val="00E91BD1"/>
    <w:rsid w:val="00EC0D60"/>
    <w:rsid w:val="00ED069C"/>
    <w:rsid w:val="00EE760F"/>
    <w:rsid w:val="00F0678C"/>
    <w:rsid w:val="00F1545F"/>
    <w:rsid w:val="00F32A94"/>
    <w:rsid w:val="00F411F3"/>
    <w:rsid w:val="00F56E3A"/>
    <w:rsid w:val="00F96B87"/>
    <w:rsid w:val="00FB2F37"/>
    <w:rsid w:val="00FC3115"/>
    <w:rsid w:val="00FE24CF"/>
    <w:rsid w:val="00FE7F2D"/>
    <w:rsid w:val="00FF512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6E3A"/>
    <w:pPr>
      <w:spacing w:after="0"/>
    </w:pPr>
    <w:rPr>
      <w:rFonts w:ascii="Arial" w:eastAsia="Arial" w:hAnsi="Arial" w:cs="Arial"/>
      <w:lang w:eastAsia="en-IN"/>
    </w:rPr>
  </w:style>
  <w:style w:type="paragraph" w:styleId="Heading1">
    <w:name w:val="heading 1"/>
    <w:basedOn w:val="Normal"/>
    <w:next w:val="Normal"/>
    <w:link w:val="Heading1Char"/>
    <w:uiPriority w:val="9"/>
    <w:qFormat/>
    <w:rsid w:val="00DA596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411F3"/>
    <w:pPr>
      <w:numPr>
        <w:ilvl w:val="1"/>
        <w:numId w:val="3"/>
      </w:num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C3115"/>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55415"/>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D55415"/>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D55415"/>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55415"/>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55415"/>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55415"/>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411F3"/>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F411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411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1F3"/>
    <w:rPr>
      <w:rFonts w:ascii="Tahoma" w:eastAsia="Arial" w:hAnsi="Tahoma" w:cs="Tahoma"/>
      <w:sz w:val="16"/>
      <w:szCs w:val="16"/>
      <w:lang w:eastAsia="en-IN"/>
    </w:rPr>
  </w:style>
  <w:style w:type="character" w:styleId="Strong">
    <w:name w:val="Strong"/>
    <w:basedOn w:val="DefaultParagraphFont"/>
    <w:uiPriority w:val="22"/>
    <w:qFormat/>
    <w:rsid w:val="00F411F3"/>
    <w:rPr>
      <w:b/>
      <w:bCs/>
    </w:rPr>
  </w:style>
  <w:style w:type="paragraph" w:styleId="ListParagraph">
    <w:name w:val="List Paragraph"/>
    <w:basedOn w:val="Normal"/>
    <w:uiPriority w:val="34"/>
    <w:qFormat/>
    <w:rsid w:val="00FC3115"/>
    <w:pPr>
      <w:ind w:left="720"/>
      <w:contextualSpacing/>
    </w:pPr>
  </w:style>
  <w:style w:type="character" w:customStyle="1" w:styleId="Heading3Char">
    <w:name w:val="Heading 3 Char"/>
    <w:basedOn w:val="DefaultParagraphFont"/>
    <w:link w:val="Heading3"/>
    <w:uiPriority w:val="9"/>
    <w:rsid w:val="00FC3115"/>
    <w:rPr>
      <w:rFonts w:asciiTheme="majorHAnsi" w:eastAsiaTheme="majorEastAsia" w:hAnsiTheme="majorHAnsi" w:cstheme="majorBidi"/>
      <w:b/>
      <w:bCs/>
      <w:color w:val="4F81BD" w:themeColor="accent1"/>
      <w:lang w:eastAsia="en-IN"/>
    </w:rPr>
  </w:style>
  <w:style w:type="character" w:styleId="Emphasis">
    <w:name w:val="Emphasis"/>
    <w:basedOn w:val="DefaultParagraphFont"/>
    <w:uiPriority w:val="20"/>
    <w:qFormat/>
    <w:rsid w:val="007721D8"/>
    <w:rPr>
      <w:i/>
      <w:iCs/>
    </w:rPr>
  </w:style>
  <w:style w:type="character" w:styleId="Hyperlink">
    <w:name w:val="Hyperlink"/>
    <w:basedOn w:val="DefaultParagraphFont"/>
    <w:uiPriority w:val="99"/>
    <w:unhideWhenUsed/>
    <w:rsid w:val="007721D8"/>
    <w:rPr>
      <w:color w:val="0000FF"/>
      <w:u w:val="single"/>
    </w:rPr>
  </w:style>
  <w:style w:type="paragraph" w:styleId="Title">
    <w:name w:val="Title"/>
    <w:basedOn w:val="Normal"/>
    <w:next w:val="Normal"/>
    <w:link w:val="TitleChar"/>
    <w:uiPriority w:val="10"/>
    <w:qFormat/>
    <w:rsid w:val="00565137"/>
    <w:pPr>
      <w:keepNext/>
      <w:keepLines/>
      <w:spacing w:after="60"/>
    </w:pPr>
    <w:rPr>
      <w:sz w:val="52"/>
      <w:szCs w:val="52"/>
    </w:rPr>
  </w:style>
  <w:style w:type="character" w:customStyle="1" w:styleId="TitleChar">
    <w:name w:val="Title Char"/>
    <w:basedOn w:val="DefaultParagraphFont"/>
    <w:link w:val="Title"/>
    <w:uiPriority w:val="10"/>
    <w:rsid w:val="00565137"/>
    <w:rPr>
      <w:rFonts w:ascii="Arial" w:eastAsia="Arial" w:hAnsi="Arial" w:cs="Arial"/>
      <w:sz w:val="52"/>
      <w:szCs w:val="52"/>
      <w:lang w:eastAsia="en-IN"/>
    </w:rPr>
  </w:style>
  <w:style w:type="character" w:customStyle="1" w:styleId="Heading1Char">
    <w:name w:val="Heading 1 Char"/>
    <w:basedOn w:val="DefaultParagraphFont"/>
    <w:link w:val="Heading1"/>
    <w:uiPriority w:val="9"/>
    <w:rsid w:val="00DA5967"/>
    <w:rPr>
      <w:rFonts w:asciiTheme="majorHAnsi" w:eastAsiaTheme="majorEastAsia" w:hAnsiTheme="majorHAnsi" w:cstheme="majorBidi"/>
      <w:b/>
      <w:bCs/>
      <w:color w:val="365F91" w:themeColor="accent1" w:themeShade="BF"/>
      <w:sz w:val="28"/>
      <w:szCs w:val="28"/>
      <w:lang w:eastAsia="en-IN"/>
    </w:rPr>
  </w:style>
  <w:style w:type="paragraph" w:styleId="TOCHeading">
    <w:name w:val="TOC Heading"/>
    <w:basedOn w:val="Heading1"/>
    <w:next w:val="Normal"/>
    <w:uiPriority w:val="39"/>
    <w:semiHidden/>
    <w:unhideWhenUsed/>
    <w:qFormat/>
    <w:rsid w:val="00DA5967"/>
    <w:pPr>
      <w:outlineLvl w:val="9"/>
    </w:pPr>
    <w:rPr>
      <w:lang w:val="en-US" w:eastAsia="en-US"/>
    </w:rPr>
  </w:style>
  <w:style w:type="paragraph" w:styleId="TOC2">
    <w:name w:val="toc 2"/>
    <w:basedOn w:val="Normal"/>
    <w:next w:val="Normal"/>
    <w:autoRedefine/>
    <w:uiPriority w:val="39"/>
    <w:unhideWhenUsed/>
    <w:rsid w:val="00DA5967"/>
    <w:pPr>
      <w:spacing w:after="100"/>
      <w:ind w:left="220"/>
    </w:pPr>
  </w:style>
  <w:style w:type="paragraph" w:styleId="TOC3">
    <w:name w:val="toc 3"/>
    <w:basedOn w:val="Normal"/>
    <w:next w:val="Normal"/>
    <w:autoRedefine/>
    <w:uiPriority w:val="39"/>
    <w:unhideWhenUsed/>
    <w:rsid w:val="00DA5967"/>
    <w:pPr>
      <w:spacing w:after="100"/>
      <w:ind w:left="440"/>
    </w:pPr>
  </w:style>
  <w:style w:type="numbering" w:customStyle="1" w:styleId="Style1">
    <w:name w:val="Style1"/>
    <w:uiPriority w:val="99"/>
    <w:rsid w:val="00D55415"/>
    <w:pPr>
      <w:numPr>
        <w:numId w:val="1"/>
      </w:numPr>
    </w:pPr>
  </w:style>
  <w:style w:type="character" w:customStyle="1" w:styleId="Heading4Char">
    <w:name w:val="Heading 4 Char"/>
    <w:basedOn w:val="DefaultParagraphFont"/>
    <w:link w:val="Heading4"/>
    <w:uiPriority w:val="9"/>
    <w:rsid w:val="00D55415"/>
    <w:rPr>
      <w:rFonts w:asciiTheme="majorHAnsi" w:eastAsiaTheme="majorEastAsia" w:hAnsiTheme="majorHAnsi" w:cstheme="majorBidi"/>
      <w:b/>
      <w:bCs/>
      <w:i/>
      <w:iCs/>
      <w:color w:val="4F81BD" w:themeColor="accent1"/>
      <w:lang w:eastAsia="en-IN"/>
    </w:rPr>
  </w:style>
  <w:style w:type="character" w:customStyle="1" w:styleId="Heading5Char">
    <w:name w:val="Heading 5 Char"/>
    <w:basedOn w:val="DefaultParagraphFont"/>
    <w:link w:val="Heading5"/>
    <w:uiPriority w:val="9"/>
    <w:rsid w:val="00D55415"/>
    <w:rPr>
      <w:rFonts w:asciiTheme="majorHAnsi" w:eastAsiaTheme="majorEastAsia" w:hAnsiTheme="majorHAnsi" w:cstheme="majorBidi"/>
      <w:color w:val="243F60" w:themeColor="accent1" w:themeShade="7F"/>
      <w:lang w:eastAsia="en-IN"/>
    </w:rPr>
  </w:style>
  <w:style w:type="character" w:customStyle="1" w:styleId="Heading6Char">
    <w:name w:val="Heading 6 Char"/>
    <w:basedOn w:val="DefaultParagraphFont"/>
    <w:link w:val="Heading6"/>
    <w:uiPriority w:val="9"/>
    <w:rsid w:val="00D55415"/>
    <w:rPr>
      <w:rFonts w:asciiTheme="majorHAnsi" w:eastAsiaTheme="majorEastAsia" w:hAnsiTheme="majorHAnsi" w:cstheme="majorBidi"/>
      <w:i/>
      <w:iCs/>
      <w:color w:val="243F60" w:themeColor="accent1" w:themeShade="7F"/>
      <w:lang w:eastAsia="en-IN"/>
    </w:rPr>
  </w:style>
  <w:style w:type="character" w:customStyle="1" w:styleId="Heading7Char">
    <w:name w:val="Heading 7 Char"/>
    <w:basedOn w:val="DefaultParagraphFont"/>
    <w:link w:val="Heading7"/>
    <w:uiPriority w:val="9"/>
    <w:semiHidden/>
    <w:rsid w:val="00D55415"/>
    <w:rPr>
      <w:rFonts w:asciiTheme="majorHAnsi" w:eastAsiaTheme="majorEastAsia" w:hAnsiTheme="majorHAnsi" w:cstheme="majorBidi"/>
      <w:i/>
      <w:iCs/>
      <w:color w:val="404040" w:themeColor="text1" w:themeTint="BF"/>
      <w:lang w:eastAsia="en-IN"/>
    </w:rPr>
  </w:style>
  <w:style w:type="character" w:customStyle="1" w:styleId="Heading8Char">
    <w:name w:val="Heading 8 Char"/>
    <w:basedOn w:val="DefaultParagraphFont"/>
    <w:link w:val="Heading8"/>
    <w:uiPriority w:val="9"/>
    <w:semiHidden/>
    <w:rsid w:val="00D55415"/>
    <w:rPr>
      <w:rFonts w:asciiTheme="majorHAnsi" w:eastAsiaTheme="majorEastAsia" w:hAnsiTheme="majorHAnsi" w:cstheme="majorBidi"/>
      <w:color w:val="404040" w:themeColor="text1" w:themeTint="BF"/>
      <w:sz w:val="20"/>
      <w:szCs w:val="20"/>
      <w:lang w:eastAsia="en-IN"/>
    </w:rPr>
  </w:style>
  <w:style w:type="character" w:customStyle="1" w:styleId="Heading9Char">
    <w:name w:val="Heading 9 Char"/>
    <w:basedOn w:val="DefaultParagraphFont"/>
    <w:link w:val="Heading9"/>
    <w:uiPriority w:val="9"/>
    <w:semiHidden/>
    <w:rsid w:val="00D55415"/>
    <w:rPr>
      <w:rFonts w:asciiTheme="majorHAnsi" w:eastAsiaTheme="majorEastAsia" w:hAnsiTheme="majorHAnsi" w:cstheme="majorBidi"/>
      <w:i/>
      <w:iCs/>
      <w:color w:val="404040" w:themeColor="text1" w:themeTint="BF"/>
      <w:sz w:val="20"/>
      <w:szCs w:val="20"/>
      <w:lang w:eastAsia="en-IN"/>
    </w:rPr>
  </w:style>
  <w:style w:type="paragraph" w:styleId="Header">
    <w:name w:val="header"/>
    <w:basedOn w:val="Normal"/>
    <w:link w:val="HeaderChar"/>
    <w:uiPriority w:val="99"/>
    <w:unhideWhenUsed/>
    <w:rsid w:val="002A4CF1"/>
    <w:pPr>
      <w:tabs>
        <w:tab w:val="center" w:pos="4513"/>
        <w:tab w:val="right" w:pos="9026"/>
      </w:tabs>
      <w:spacing w:line="240" w:lineRule="auto"/>
    </w:pPr>
  </w:style>
  <w:style w:type="character" w:customStyle="1" w:styleId="HeaderChar">
    <w:name w:val="Header Char"/>
    <w:basedOn w:val="DefaultParagraphFont"/>
    <w:link w:val="Header"/>
    <w:uiPriority w:val="99"/>
    <w:rsid w:val="002A4CF1"/>
    <w:rPr>
      <w:rFonts w:ascii="Arial" w:eastAsia="Arial" w:hAnsi="Arial" w:cs="Arial"/>
      <w:lang w:eastAsia="en-IN"/>
    </w:rPr>
  </w:style>
  <w:style w:type="paragraph" w:styleId="Footer">
    <w:name w:val="footer"/>
    <w:basedOn w:val="Normal"/>
    <w:link w:val="FooterChar"/>
    <w:uiPriority w:val="99"/>
    <w:unhideWhenUsed/>
    <w:rsid w:val="002A4CF1"/>
    <w:pPr>
      <w:tabs>
        <w:tab w:val="center" w:pos="4513"/>
        <w:tab w:val="right" w:pos="9026"/>
      </w:tabs>
      <w:spacing w:line="240" w:lineRule="auto"/>
    </w:pPr>
  </w:style>
  <w:style w:type="character" w:customStyle="1" w:styleId="FooterChar">
    <w:name w:val="Footer Char"/>
    <w:basedOn w:val="DefaultParagraphFont"/>
    <w:link w:val="Footer"/>
    <w:uiPriority w:val="99"/>
    <w:rsid w:val="002A4CF1"/>
    <w:rPr>
      <w:rFonts w:ascii="Arial" w:eastAsia="Arial" w:hAnsi="Arial" w:cs="Arial"/>
      <w:lang w:eastAsia="en-IN"/>
    </w:rPr>
  </w:style>
  <w:style w:type="table" w:styleId="TableGrid">
    <w:name w:val="Table Grid"/>
    <w:basedOn w:val="TableNormal"/>
    <w:uiPriority w:val="59"/>
    <w:rsid w:val="0024432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MediumGrid2-Accent1">
    <w:name w:val="Medium Grid 2 Accent 1"/>
    <w:basedOn w:val="TableNormal"/>
    <w:uiPriority w:val="68"/>
    <w:rsid w:val="002923C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olorfulGrid-Accent1">
    <w:name w:val="Colorful Grid Accent 1"/>
    <w:basedOn w:val="TableNormal"/>
    <w:uiPriority w:val="73"/>
    <w:rsid w:val="002923CB"/>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customStyle="1" w:styleId="whitespace-normal">
    <w:name w:val="whitespace-normal"/>
    <w:basedOn w:val="DefaultParagraphFont"/>
    <w:rsid w:val="002923CB"/>
  </w:style>
  <w:style w:type="table" w:styleId="LightGrid-Accent5">
    <w:name w:val="Light Grid Accent 5"/>
    <w:basedOn w:val="TableNormal"/>
    <w:uiPriority w:val="62"/>
    <w:rsid w:val="00777CC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MediumGrid3-Accent5">
    <w:name w:val="Medium Grid 3 Accent 5"/>
    <w:basedOn w:val="TableNormal"/>
    <w:uiPriority w:val="69"/>
    <w:rsid w:val="00777CC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List-Accent5">
    <w:name w:val="Light List Accent 5"/>
    <w:basedOn w:val="TableNormal"/>
    <w:uiPriority w:val="61"/>
    <w:rsid w:val="00777CC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Grid-Accent4">
    <w:name w:val="Light Grid Accent 4"/>
    <w:basedOn w:val="TableNormal"/>
    <w:uiPriority w:val="62"/>
    <w:rsid w:val="00774EF0"/>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Shading-Accent5">
    <w:name w:val="Light Shading Accent 5"/>
    <w:basedOn w:val="TableNormal"/>
    <w:uiPriority w:val="60"/>
    <w:rsid w:val="00774EF0"/>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rsid w:val="00774EF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774EF0"/>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Shading-Accent2">
    <w:name w:val="Light Shading Accent 2"/>
    <w:basedOn w:val="TableNormal"/>
    <w:uiPriority w:val="60"/>
    <w:rsid w:val="00774EF0"/>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ColorfulList-Accent3">
    <w:name w:val="Colorful List Accent 3"/>
    <w:basedOn w:val="TableNormal"/>
    <w:uiPriority w:val="72"/>
    <w:rsid w:val="00774EF0"/>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MediumGrid3-Accent4">
    <w:name w:val="Medium Grid 3 Accent 4"/>
    <w:basedOn w:val="TableNormal"/>
    <w:uiPriority w:val="69"/>
    <w:rsid w:val="00774EF0"/>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s>
</file>

<file path=word/webSettings.xml><?xml version="1.0" encoding="utf-8"?>
<w:webSettings xmlns:r="http://schemas.openxmlformats.org/officeDocument/2006/relationships" xmlns:w="http://schemas.openxmlformats.org/wordprocessingml/2006/main">
  <w:divs>
    <w:div w:id="113640879">
      <w:bodyDiv w:val="1"/>
      <w:marLeft w:val="0"/>
      <w:marRight w:val="0"/>
      <w:marTop w:val="0"/>
      <w:marBottom w:val="0"/>
      <w:divBdr>
        <w:top w:val="none" w:sz="0" w:space="0" w:color="auto"/>
        <w:left w:val="none" w:sz="0" w:space="0" w:color="auto"/>
        <w:bottom w:val="none" w:sz="0" w:space="0" w:color="auto"/>
        <w:right w:val="none" w:sz="0" w:space="0" w:color="auto"/>
      </w:divBdr>
    </w:div>
    <w:div w:id="131753634">
      <w:bodyDiv w:val="1"/>
      <w:marLeft w:val="0"/>
      <w:marRight w:val="0"/>
      <w:marTop w:val="0"/>
      <w:marBottom w:val="0"/>
      <w:divBdr>
        <w:top w:val="none" w:sz="0" w:space="0" w:color="auto"/>
        <w:left w:val="none" w:sz="0" w:space="0" w:color="auto"/>
        <w:bottom w:val="none" w:sz="0" w:space="0" w:color="auto"/>
        <w:right w:val="none" w:sz="0" w:space="0" w:color="auto"/>
      </w:divBdr>
    </w:div>
    <w:div w:id="138420634">
      <w:bodyDiv w:val="1"/>
      <w:marLeft w:val="0"/>
      <w:marRight w:val="0"/>
      <w:marTop w:val="0"/>
      <w:marBottom w:val="0"/>
      <w:divBdr>
        <w:top w:val="none" w:sz="0" w:space="0" w:color="auto"/>
        <w:left w:val="none" w:sz="0" w:space="0" w:color="auto"/>
        <w:bottom w:val="none" w:sz="0" w:space="0" w:color="auto"/>
        <w:right w:val="none" w:sz="0" w:space="0" w:color="auto"/>
      </w:divBdr>
    </w:div>
    <w:div w:id="145166126">
      <w:bodyDiv w:val="1"/>
      <w:marLeft w:val="0"/>
      <w:marRight w:val="0"/>
      <w:marTop w:val="0"/>
      <w:marBottom w:val="0"/>
      <w:divBdr>
        <w:top w:val="none" w:sz="0" w:space="0" w:color="auto"/>
        <w:left w:val="none" w:sz="0" w:space="0" w:color="auto"/>
        <w:bottom w:val="none" w:sz="0" w:space="0" w:color="auto"/>
        <w:right w:val="none" w:sz="0" w:space="0" w:color="auto"/>
      </w:divBdr>
    </w:div>
    <w:div w:id="159195890">
      <w:bodyDiv w:val="1"/>
      <w:marLeft w:val="0"/>
      <w:marRight w:val="0"/>
      <w:marTop w:val="0"/>
      <w:marBottom w:val="0"/>
      <w:divBdr>
        <w:top w:val="none" w:sz="0" w:space="0" w:color="auto"/>
        <w:left w:val="none" w:sz="0" w:space="0" w:color="auto"/>
        <w:bottom w:val="none" w:sz="0" w:space="0" w:color="auto"/>
        <w:right w:val="none" w:sz="0" w:space="0" w:color="auto"/>
      </w:divBdr>
    </w:div>
    <w:div w:id="203757385">
      <w:bodyDiv w:val="1"/>
      <w:marLeft w:val="0"/>
      <w:marRight w:val="0"/>
      <w:marTop w:val="0"/>
      <w:marBottom w:val="0"/>
      <w:divBdr>
        <w:top w:val="none" w:sz="0" w:space="0" w:color="auto"/>
        <w:left w:val="none" w:sz="0" w:space="0" w:color="auto"/>
        <w:bottom w:val="none" w:sz="0" w:space="0" w:color="auto"/>
        <w:right w:val="none" w:sz="0" w:space="0" w:color="auto"/>
      </w:divBdr>
    </w:div>
    <w:div w:id="222567815">
      <w:bodyDiv w:val="1"/>
      <w:marLeft w:val="0"/>
      <w:marRight w:val="0"/>
      <w:marTop w:val="0"/>
      <w:marBottom w:val="0"/>
      <w:divBdr>
        <w:top w:val="none" w:sz="0" w:space="0" w:color="auto"/>
        <w:left w:val="none" w:sz="0" w:space="0" w:color="auto"/>
        <w:bottom w:val="none" w:sz="0" w:space="0" w:color="auto"/>
        <w:right w:val="none" w:sz="0" w:space="0" w:color="auto"/>
      </w:divBdr>
    </w:div>
    <w:div w:id="237519023">
      <w:bodyDiv w:val="1"/>
      <w:marLeft w:val="0"/>
      <w:marRight w:val="0"/>
      <w:marTop w:val="0"/>
      <w:marBottom w:val="0"/>
      <w:divBdr>
        <w:top w:val="none" w:sz="0" w:space="0" w:color="auto"/>
        <w:left w:val="none" w:sz="0" w:space="0" w:color="auto"/>
        <w:bottom w:val="none" w:sz="0" w:space="0" w:color="auto"/>
        <w:right w:val="none" w:sz="0" w:space="0" w:color="auto"/>
      </w:divBdr>
    </w:div>
    <w:div w:id="335151964">
      <w:bodyDiv w:val="1"/>
      <w:marLeft w:val="0"/>
      <w:marRight w:val="0"/>
      <w:marTop w:val="0"/>
      <w:marBottom w:val="0"/>
      <w:divBdr>
        <w:top w:val="none" w:sz="0" w:space="0" w:color="auto"/>
        <w:left w:val="none" w:sz="0" w:space="0" w:color="auto"/>
        <w:bottom w:val="none" w:sz="0" w:space="0" w:color="auto"/>
        <w:right w:val="none" w:sz="0" w:space="0" w:color="auto"/>
      </w:divBdr>
    </w:div>
    <w:div w:id="337853639">
      <w:bodyDiv w:val="1"/>
      <w:marLeft w:val="0"/>
      <w:marRight w:val="0"/>
      <w:marTop w:val="0"/>
      <w:marBottom w:val="0"/>
      <w:divBdr>
        <w:top w:val="none" w:sz="0" w:space="0" w:color="auto"/>
        <w:left w:val="none" w:sz="0" w:space="0" w:color="auto"/>
        <w:bottom w:val="none" w:sz="0" w:space="0" w:color="auto"/>
        <w:right w:val="none" w:sz="0" w:space="0" w:color="auto"/>
      </w:divBdr>
    </w:div>
    <w:div w:id="360522455">
      <w:bodyDiv w:val="1"/>
      <w:marLeft w:val="0"/>
      <w:marRight w:val="0"/>
      <w:marTop w:val="0"/>
      <w:marBottom w:val="0"/>
      <w:divBdr>
        <w:top w:val="none" w:sz="0" w:space="0" w:color="auto"/>
        <w:left w:val="none" w:sz="0" w:space="0" w:color="auto"/>
        <w:bottom w:val="none" w:sz="0" w:space="0" w:color="auto"/>
        <w:right w:val="none" w:sz="0" w:space="0" w:color="auto"/>
      </w:divBdr>
    </w:div>
    <w:div w:id="363795927">
      <w:bodyDiv w:val="1"/>
      <w:marLeft w:val="0"/>
      <w:marRight w:val="0"/>
      <w:marTop w:val="0"/>
      <w:marBottom w:val="0"/>
      <w:divBdr>
        <w:top w:val="none" w:sz="0" w:space="0" w:color="auto"/>
        <w:left w:val="none" w:sz="0" w:space="0" w:color="auto"/>
        <w:bottom w:val="none" w:sz="0" w:space="0" w:color="auto"/>
        <w:right w:val="none" w:sz="0" w:space="0" w:color="auto"/>
      </w:divBdr>
    </w:div>
    <w:div w:id="390033365">
      <w:bodyDiv w:val="1"/>
      <w:marLeft w:val="0"/>
      <w:marRight w:val="0"/>
      <w:marTop w:val="0"/>
      <w:marBottom w:val="0"/>
      <w:divBdr>
        <w:top w:val="none" w:sz="0" w:space="0" w:color="auto"/>
        <w:left w:val="none" w:sz="0" w:space="0" w:color="auto"/>
        <w:bottom w:val="none" w:sz="0" w:space="0" w:color="auto"/>
        <w:right w:val="none" w:sz="0" w:space="0" w:color="auto"/>
      </w:divBdr>
      <w:divsChild>
        <w:div w:id="1291328638">
          <w:marLeft w:val="0"/>
          <w:marRight w:val="0"/>
          <w:marTop w:val="0"/>
          <w:marBottom w:val="0"/>
          <w:divBdr>
            <w:top w:val="none" w:sz="0" w:space="0" w:color="auto"/>
            <w:left w:val="none" w:sz="0" w:space="0" w:color="auto"/>
            <w:bottom w:val="none" w:sz="0" w:space="0" w:color="auto"/>
            <w:right w:val="none" w:sz="0" w:space="0" w:color="auto"/>
          </w:divBdr>
          <w:divsChild>
            <w:div w:id="2127967147">
              <w:marLeft w:val="0"/>
              <w:marRight w:val="0"/>
              <w:marTop w:val="0"/>
              <w:marBottom w:val="0"/>
              <w:divBdr>
                <w:top w:val="none" w:sz="0" w:space="0" w:color="auto"/>
                <w:left w:val="none" w:sz="0" w:space="0" w:color="auto"/>
                <w:bottom w:val="none" w:sz="0" w:space="0" w:color="auto"/>
                <w:right w:val="none" w:sz="0" w:space="0" w:color="auto"/>
              </w:divBdr>
              <w:divsChild>
                <w:div w:id="1643776824">
                  <w:marLeft w:val="0"/>
                  <w:marRight w:val="0"/>
                  <w:marTop w:val="0"/>
                  <w:marBottom w:val="0"/>
                  <w:divBdr>
                    <w:top w:val="none" w:sz="0" w:space="0" w:color="auto"/>
                    <w:left w:val="none" w:sz="0" w:space="0" w:color="auto"/>
                    <w:bottom w:val="none" w:sz="0" w:space="0" w:color="auto"/>
                    <w:right w:val="none" w:sz="0" w:space="0" w:color="auto"/>
                  </w:divBdr>
                  <w:divsChild>
                    <w:div w:id="1671253177">
                      <w:marLeft w:val="0"/>
                      <w:marRight w:val="0"/>
                      <w:marTop w:val="0"/>
                      <w:marBottom w:val="0"/>
                      <w:divBdr>
                        <w:top w:val="none" w:sz="0" w:space="0" w:color="auto"/>
                        <w:left w:val="none" w:sz="0" w:space="0" w:color="auto"/>
                        <w:bottom w:val="none" w:sz="0" w:space="0" w:color="auto"/>
                        <w:right w:val="none" w:sz="0" w:space="0" w:color="auto"/>
                      </w:divBdr>
                      <w:divsChild>
                        <w:div w:id="1348946998">
                          <w:marLeft w:val="0"/>
                          <w:marRight w:val="0"/>
                          <w:marTop w:val="0"/>
                          <w:marBottom w:val="0"/>
                          <w:divBdr>
                            <w:top w:val="none" w:sz="0" w:space="0" w:color="auto"/>
                            <w:left w:val="none" w:sz="0" w:space="0" w:color="auto"/>
                            <w:bottom w:val="none" w:sz="0" w:space="0" w:color="auto"/>
                            <w:right w:val="none" w:sz="0" w:space="0" w:color="auto"/>
                          </w:divBdr>
                          <w:divsChild>
                            <w:div w:id="575359103">
                              <w:marLeft w:val="0"/>
                              <w:marRight w:val="0"/>
                              <w:marTop w:val="0"/>
                              <w:marBottom w:val="0"/>
                              <w:divBdr>
                                <w:top w:val="none" w:sz="0" w:space="0" w:color="auto"/>
                                <w:left w:val="none" w:sz="0" w:space="0" w:color="auto"/>
                                <w:bottom w:val="none" w:sz="0" w:space="0" w:color="auto"/>
                                <w:right w:val="none" w:sz="0" w:space="0" w:color="auto"/>
                              </w:divBdr>
                              <w:divsChild>
                                <w:div w:id="137234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6730467">
      <w:bodyDiv w:val="1"/>
      <w:marLeft w:val="0"/>
      <w:marRight w:val="0"/>
      <w:marTop w:val="0"/>
      <w:marBottom w:val="0"/>
      <w:divBdr>
        <w:top w:val="none" w:sz="0" w:space="0" w:color="auto"/>
        <w:left w:val="none" w:sz="0" w:space="0" w:color="auto"/>
        <w:bottom w:val="none" w:sz="0" w:space="0" w:color="auto"/>
        <w:right w:val="none" w:sz="0" w:space="0" w:color="auto"/>
      </w:divBdr>
    </w:div>
    <w:div w:id="453255371">
      <w:bodyDiv w:val="1"/>
      <w:marLeft w:val="0"/>
      <w:marRight w:val="0"/>
      <w:marTop w:val="0"/>
      <w:marBottom w:val="0"/>
      <w:divBdr>
        <w:top w:val="none" w:sz="0" w:space="0" w:color="auto"/>
        <w:left w:val="none" w:sz="0" w:space="0" w:color="auto"/>
        <w:bottom w:val="none" w:sz="0" w:space="0" w:color="auto"/>
        <w:right w:val="none" w:sz="0" w:space="0" w:color="auto"/>
      </w:divBdr>
    </w:div>
    <w:div w:id="479539045">
      <w:bodyDiv w:val="1"/>
      <w:marLeft w:val="0"/>
      <w:marRight w:val="0"/>
      <w:marTop w:val="0"/>
      <w:marBottom w:val="0"/>
      <w:divBdr>
        <w:top w:val="none" w:sz="0" w:space="0" w:color="auto"/>
        <w:left w:val="none" w:sz="0" w:space="0" w:color="auto"/>
        <w:bottom w:val="none" w:sz="0" w:space="0" w:color="auto"/>
        <w:right w:val="none" w:sz="0" w:space="0" w:color="auto"/>
      </w:divBdr>
    </w:div>
    <w:div w:id="481233352">
      <w:bodyDiv w:val="1"/>
      <w:marLeft w:val="0"/>
      <w:marRight w:val="0"/>
      <w:marTop w:val="0"/>
      <w:marBottom w:val="0"/>
      <w:divBdr>
        <w:top w:val="none" w:sz="0" w:space="0" w:color="auto"/>
        <w:left w:val="none" w:sz="0" w:space="0" w:color="auto"/>
        <w:bottom w:val="none" w:sz="0" w:space="0" w:color="auto"/>
        <w:right w:val="none" w:sz="0" w:space="0" w:color="auto"/>
      </w:divBdr>
    </w:div>
    <w:div w:id="508715887">
      <w:bodyDiv w:val="1"/>
      <w:marLeft w:val="0"/>
      <w:marRight w:val="0"/>
      <w:marTop w:val="0"/>
      <w:marBottom w:val="0"/>
      <w:divBdr>
        <w:top w:val="none" w:sz="0" w:space="0" w:color="auto"/>
        <w:left w:val="none" w:sz="0" w:space="0" w:color="auto"/>
        <w:bottom w:val="none" w:sz="0" w:space="0" w:color="auto"/>
        <w:right w:val="none" w:sz="0" w:space="0" w:color="auto"/>
      </w:divBdr>
    </w:div>
    <w:div w:id="509951779">
      <w:bodyDiv w:val="1"/>
      <w:marLeft w:val="0"/>
      <w:marRight w:val="0"/>
      <w:marTop w:val="0"/>
      <w:marBottom w:val="0"/>
      <w:divBdr>
        <w:top w:val="none" w:sz="0" w:space="0" w:color="auto"/>
        <w:left w:val="none" w:sz="0" w:space="0" w:color="auto"/>
        <w:bottom w:val="none" w:sz="0" w:space="0" w:color="auto"/>
        <w:right w:val="none" w:sz="0" w:space="0" w:color="auto"/>
      </w:divBdr>
    </w:div>
    <w:div w:id="591624185">
      <w:bodyDiv w:val="1"/>
      <w:marLeft w:val="0"/>
      <w:marRight w:val="0"/>
      <w:marTop w:val="0"/>
      <w:marBottom w:val="0"/>
      <w:divBdr>
        <w:top w:val="none" w:sz="0" w:space="0" w:color="auto"/>
        <w:left w:val="none" w:sz="0" w:space="0" w:color="auto"/>
        <w:bottom w:val="none" w:sz="0" w:space="0" w:color="auto"/>
        <w:right w:val="none" w:sz="0" w:space="0" w:color="auto"/>
      </w:divBdr>
    </w:div>
    <w:div w:id="607079298">
      <w:bodyDiv w:val="1"/>
      <w:marLeft w:val="0"/>
      <w:marRight w:val="0"/>
      <w:marTop w:val="0"/>
      <w:marBottom w:val="0"/>
      <w:divBdr>
        <w:top w:val="none" w:sz="0" w:space="0" w:color="auto"/>
        <w:left w:val="none" w:sz="0" w:space="0" w:color="auto"/>
        <w:bottom w:val="none" w:sz="0" w:space="0" w:color="auto"/>
        <w:right w:val="none" w:sz="0" w:space="0" w:color="auto"/>
      </w:divBdr>
    </w:div>
    <w:div w:id="622349221">
      <w:bodyDiv w:val="1"/>
      <w:marLeft w:val="0"/>
      <w:marRight w:val="0"/>
      <w:marTop w:val="0"/>
      <w:marBottom w:val="0"/>
      <w:divBdr>
        <w:top w:val="none" w:sz="0" w:space="0" w:color="auto"/>
        <w:left w:val="none" w:sz="0" w:space="0" w:color="auto"/>
        <w:bottom w:val="none" w:sz="0" w:space="0" w:color="auto"/>
        <w:right w:val="none" w:sz="0" w:space="0" w:color="auto"/>
      </w:divBdr>
    </w:div>
    <w:div w:id="629747349">
      <w:bodyDiv w:val="1"/>
      <w:marLeft w:val="0"/>
      <w:marRight w:val="0"/>
      <w:marTop w:val="0"/>
      <w:marBottom w:val="0"/>
      <w:divBdr>
        <w:top w:val="none" w:sz="0" w:space="0" w:color="auto"/>
        <w:left w:val="none" w:sz="0" w:space="0" w:color="auto"/>
        <w:bottom w:val="none" w:sz="0" w:space="0" w:color="auto"/>
        <w:right w:val="none" w:sz="0" w:space="0" w:color="auto"/>
      </w:divBdr>
    </w:div>
    <w:div w:id="647824292">
      <w:bodyDiv w:val="1"/>
      <w:marLeft w:val="0"/>
      <w:marRight w:val="0"/>
      <w:marTop w:val="0"/>
      <w:marBottom w:val="0"/>
      <w:divBdr>
        <w:top w:val="none" w:sz="0" w:space="0" w:color="auto"/>
        <w:left w:val="none" w:sz="0" w:space="0" w:color="auto"/>
        <w:bottom w:val="none" w:sz="0" w:space="0" w:color="auto"/>
        <w:right w:val="none" w:sz="0" w:space="0" w:color="auto"/>
      </w:divBdr>
    </w:div>
    <w:div w:id="693849853">
      <w:bodyDiv w:val="1"/>
      <w:marLeft w:val="0"/>
      <w:marRight w:val="0"/>
      <w:marTop w:val="0"/>
      <w:marBottom w:val="0"/>
      <w:divBdr>
        <w:top w:val="none" w:sz="0" w:space="0" w:color="auto"/>
        <w:left w:val="none" w:sz="0" w:space="0" w:color="auto"/>
        <w:bottom w:val="none" w:sz="0" w:space="0" w:color="auto"/>
        <w:right w:val="none" w:sz="0" w:space="0" w:color="auto"/>
      </w:divBdr>
    </w:div>
    <w:div w:id="696077744">
      <w:bodyDiv w:val="1"/>
      <w:marLeft w:val="0"/>
      <w:marRight w:val="0"/>
      <w:marTop w:val="0"/>
      <w:marBottom w:val="0"/>
      <w:divBdr>
        <w:top w:val="none" w:sz="0" w:space="0" w:color="auto"/>
        <w:left w:val="none" w:sz="0" w:space="0" w:color="auto"/>
        <w:bottom w:val="none" w:sz="0" w:space="0" w:color="auto"/>
        <w:right w:val="none" w:sz="0" w:space="0" w:color="auto"/>
      </w:divBdr>
    </w:div>
    <w:div w:id="704256761">
      <w:bodyDiv w:val="1"/>
      <w:marLeft w:val="0"/>
      <w:marRight w:val="0"/>
      <w:marTop w:val="0"/>
      <w:marBottom w:val="0"/>
      <w:divBdr>
        <w:top w:val="none" w:sz="0" w:space="0" w:color="auto"/>
        <w:left w:val="none" w:sz="0" w:space="0" w:color="auto"/>
        <w:bottom w:val="none" w:sz="0" w:space="0" w:color="auto"/>
        <w:right w:val="none" w:sz="0" w:space="0" w:color="auto"/>
      </w:divBdr>
    </w:div>
    <w:div w:id="712466489">
      <w:bodyDiv w:val="1"/>
      <w:marLeft w:val="0"/>
      <w:marRight w:val="0"/>
      <w:marTop w:val="0"/>
      <w:marBottom w:val="0"/>
      <w:divBdr>
        <w:top w:val="none" w:sz="0" w:space="0" w:color="auto"/>
        <w:left w:val="none" w:sz="0" w:space="0" w:color="auto"/>
        <w:bottom w:val="none" w:sz="0" w:space="0" w:color="auto"/>
        <w:right w:val="none" w:sz="0" w:space="0" w:color="auto"/>
      </w:divBdr>
    </w:div>
    <w:div w:id="734939776">
      <w:bodyDiv w:val="1"/>
      <w:marLeft w:val="0"/>
      <w:marRight w:val="0"/>
      <w:marTop w:val="0"/>
      <w:marBottom w:val="0"/>
      <w:divBdr>
        <w:top w:val="none" w:sz="0" w:space="0" w:color="auto"/>
        <w:left w:val="none" w:sz="0" w:space="0" w:color="auto"/>
        <w:bottom w:val="none" w:sz="0" w:space="0" w:color="auto"/>
        <w:right w:val="none" w:sz="0" w:space="0" w:color="auto"/>
      </w:divBdr>
    </w:div>
    <w:div w:id="788209563">
      <w:bodyDiv w:val="1"/>
      <w:marLeft w:val="0"/>
      <w:marRight w:val="0"/>
      <w:marTop w:val="0"/>
      <w:marBottom w:val="0"/>
      <w:divBdr>
        <w:top w:val="none" w:sz="0" w:space="0" w:color="auto"/>
        <w:left w:val="none" w:sz="0" w:space="0" w:color="auto"/>
        <w:bottom w:val="none" w:sz="0" w:space="0" w:color="auto"/>
        <w:right w:val="none" w:sz="0" w:space="0" w:color="auto"/>
      </w:divBdr>
    </w:div>
    <w:div w:id="801923018">
      <w:bodyDiv w:val="1"/>
      <w:marLeft w:val="0"/>
      <w:marRight w:val="0"/>
      <w:marTop w:val="0"/>
      <w:marBottom w:val="0"/>
      <w:divBdr>
        <w:top w:val="none" w:sz="0" w:space="0" w:color="auto"/>
        <w:left w:val="none" w:sz="0" w:space="0" w:color="auto"/>
        <w:bottom w:val="none" w:sz="0" w:space="0" w:color="auto"/>
        <w:right w:val="none" w:sz="0" w:space="0" w:color="auto"/>
      </w:divBdr>
    </w:div>
    <w:div w:id="818612543">
      <w:bodyDiv w:val="1"/>
      <w:marLeft w:val="0"/>
      <w:marRight w:val="0"/>
      <w:marTop w:val="0"/>
      <w:marBottom w:val="0"/>
      <w:divBdr>
        <w:top w:val="none" w:sz="0" w:space="0" w:color="auto"/>
        <w:left w:val="none" w:sz="0" w:space="0" w:color="auto"/>
        <w:bottom w:val="none" w:sz="0" w:space="0" w:color="auto"/>
        <w:right w:val="none" w:sz="0" w:space="0" w:color="auto"/>
      </w:divBdr>
    </w:div>
    <w:div w:id="833179134">
      <w:bodyDiv w:val="1"/>
      <w:marLeft w:val="0"/>
      <w:marRight w:val="0"/>
      <w:marTop w:val="0"/>
      <w:marBottom w:val="0"/>
      <w:divBdr>
        <w:top w:val="none" w:sz="0" w:space="0" w:color="auto"/>
        <w:left w:val="none" w:sz="0" w:space="0" w:color="auto"/>
        <w:bottom w:val="none" w:sz="0" w:space="0" w:color="auto"/>
        <w:right w:val="none" w:sz="0" w:space="0" w:color="auto"/>
      </w:divBdr>
    </w:div>
    <w:div w:id="892010630">
      <w:bodyDiv w:val="1"/>
      <w:marLeft w:val="0"/>
      <w:marRight w:val="0"/>
      <w:marTop w:val="0"/>
      <w:marBottom w:val="0"/>
      <w:divBdr>
        <w:top w:val="none" w:sz="0" w:space="0" w:color="auto"/>
        <w:left w:val="none" w:sz="0" w:space="0" w:color="auto"/>
        <w:bottom w:val="none" w:sz="0" w:space="0" w:color="auto"/>
        <w:right w:val="none" w:sz="0" w:space="0" w:color="auto"/>
      </w:divBdr>
    </w:div>
    <w:div w:id="915020002">
      <w:bodyDiv w:val="1"/>
      <w:marLeft w:val="0"/>
      <w:marRight w:val="0"/>
      <w:marTop w:val="0"/>
      <w:marBottom w:val="0"/>
      <w:divBdr>
        <w:top w:val="none" w:sz="0" w:space="0" w:color="auto"/>
        <w:left w:val="none" w:sz="0" w:space="0" w:color="auto"/>
        <w:bottom w:val="none" w:sz="0" w:space="0" w:color="auto"/>
        <w:right w:val="none" w:sz="0" w:space="0" w:color="auto"/>
      </w:divBdr>
    </w:div>
    <w:div w:id="921572458">
      <w:bodyDiv w:val="1"/>
      <w:marLeft w:val="0"/>
      <w:marRight w:val="0"/>
      <w:marTop w:val="0"/>
      <w:marBottom w:val="0"/>
      <w:divBdr>
        <w:top w:val="none" w:sz="0" w:space="0" w:color="auto"/>
        <w:left w:val="none" w:sz="0" w:space="0" w:color="auto"/>
        <w:bottom w:val="none" w:sz="0" w:space="0" w:color="auto"/>
        <w:right w:val="none" w:sz="0" w:space="0" w:color="auto"/>
      </w:divBdr>
    </w:div>
    <w:div w:id="927348397">
      <w:bodyDiv w:val="1"/>
      <w:marLeft w:val="0"/>
      <w:marRight w:val="0"/>
      <w:marTop w:val="0"/>
      <w:marBottom w:val="0"/>
      <w:divBdr>
        <w:top w:val="none" w:sz="0" w:space="0" w:color="auto"/>
        <w:left w:val="none" w:sz="0" w:space="0" w:color="auto"/>
        <w:bottom w:val="none" w:sz="0" w:space="0" w:color="auto"/>
        <w:right w:val="none" w:sz="0" w:space="0" w:color="auto"/>
      </w:divBdr>
    </w:div>
    <w:div w:id="932517868">
      <w:bodyDiv w:val="1"/>
      <w:marLeft w:val="0"/>
      <w:marRight w:val="0"/>
      <w:marTop w:val="0"/>
      <w:marBottom w:val="0"/>
      <w:divBdr>
        <w:top w:val="none" w:sz="0" w:space="0" w:color="auto"/>
        <w:left w:val="none" w:sz="0" w:space="0" w:color="auto"/>
        <w:bottom w:val="none" w:sz="0" w:space="0" w:color="auto"/>
        <w:right w:val="none" w:sz="0" w:space="0" w:color="auto"/>
      </w:divBdr>
    </w:div>
    <w:div w:id="976421747">
      <w:bodyDiv w:val="1"/>
      <w:marLeft w:val="0"/>
      <w:marRight w:val="0"/>
      <w:marTop w:val="0"/>
      <w:marBottom w:val="0"/>
      <w:divBdr>
        <w:top w:val="none" w:sz="0" w:space="0" w:color="auto"/>
        <w:left w:val="none" w:sz="0" w:space="0" w:color="auto"/>
        <w:bottom w:val="none" w:sz="0" w:space="0" w:color="auto"/>
        <w:right w:val="none" w:sz="0" w:space="0" w:color="auto"/>
      </w:divBdr>
    </w:div>
    <w:div w:id="984238213">
      <w:bodyDiv w:val="1"/>
      <w:marLeft w:val="0"/>
      <w:marRight w:val="0"/>
      <w:marTop w:val="0"/>
      <w:marBottom w:val="0"/>
      <w:divBdr>
        <w:top w:val="none" w:sz="0" w:space="0" w:color="auto"/>
        <w:left w:val="none" w:sz="0" w:space="0" w:color="auto"/>
        <w:bottom w:val="none" w:sz="0" w:space="0" w:color="auto"/>
        <w:right w:val="none" w:sz="0" w:space="0" w:color="auto"/>
      </w:divBdr>
    </w:div>
    <w:div w:id="1061947009">
      <w:bodyDiv w:val="1"/>
      <w:marLeft w:val="0"/>
      <w:marRight w:val="0"/>
      <w:marTop w:val="0"/>
      <w:marBottom w:val="0"/>
      <w:divBdr>
        <w:top w:val="none" w:sz="0" w:space="0" w:color="auto"/>
        <w:left w:val="none" w:sz="0" w:space="0" w:color="auto"/>
        <w:bottom w:val="none" w:sz="0" w:space="0" w:color="auto"/>
        <w:right w:val="none" w:sz="0" w:space="0" w:color="auto"/>
      </w:divBdr>
    </w:div>
    <w:div w:id="1065493405">
      <w:bodyDiv w:val="1"/>
      <w:marLeft w:val="0"/>
      <w:marRight w:val="0"/>
      <w:marTop w:val="0"/>
      <w:marBottom w:val="0"/>
      <w:divBdr>
        <w:top w:val="none" w:sz="0" w:space="0" w:color="auto"/>
        <w:left w:val="none" w:sz="0" w:space="0" w:color="auto"/>
        <w:bottom w:val="none" w:sz="0" w:space="0" w:color="auto"/>
        <w:right w:val="none" w:sz="0" w:space="0" w:color="auto"/>
      </w:divBdr>
    </w:div>
    <w:div w:id="1078290981">
      <w:bodyDiv w:val="1"/>
      <w:marLeft w:val="0"/>
      <w:marRight w:val="0"/>
      <w:marTop w:val="0"/>
      <w:marBottom w:val="0"/>
      <w:divBdr>
        <w:top w:val="none" w:sz="0" w:space="0" w:color="auto"/>
        <w:left w:val="none" w:sz="0" w:space="0" w:color="auto"/>
        <w:bottom w:val="none" w:sz="0" w:space="0" w:color="auto"/>
        <w:right w:val="none" w:sz="0" w:space="0" w:color="auto"/>
      </w:divBdr>
    </w:div>
    <w:div w:id="1080519491">
      <w:bodyDiv w:val="1"/>
      <w:marLeft w:val="0"/>
      <w:marRight w:val="0"/>
      <w:marTop w:val="0"/>
      <w:marBottom w:val="0"/>
      <w:divBdr>
        <w:top w:val="none" w:sz="0" w:space="0" w:color="auto"/>
        <w:left w:val="none" w:sz="0" w:space="0" w:color="auto"/>
        <w:bottom w:val="none" w:sz="0" w:space="0" w:color="auto"/>
        <w:right w:val="none" w:sz="0" w:space="0" w:color="auto"/>
      </w:divBdr>
    </w:div>
    <w:div w:id="1109617077">
      <w:bodyDiv w:val="1"/>
      <w:marLeft w:val="0"/>
      <w:marRight w:val="0"/>
      <w:marTop w:val="0"/>
      <w:marBottom w:val="0"/>
      <w:divBdr>
        <w:top w:val="none" w:sz="0" w:space="0" w:color="auto"/>
        <w:left w:val="none" w:sz="0" w:space="0" w:color="auto"/>
        <w:bottom w:val="none" w:sz="0" w:space="0" w:color="auto"/>
        <w:right w:val="none" w:sz="0" w:space="0" w:color="auto"/>
      </w:divBdr>
    </w:div>
    <w:div w:id="1145201807">
      <w:bodyDiv w:val="1"/>
      <w:marLeft w:val="0"/>
      <w:marRight w:val="0"/>
      <w:marTop w:val="0"/>
      <w:marBottom w:val="0"/>
      <w:divBdr>
        <w:top w:val="none" w:sz="0" w:space="0" w:color="auto"/>
        <w:left w:val="none" w:sz="0" w:space="0" w:color="auto"/>
        <w:bottom w:val="none" w:sz="0" w:space="0" w:color="auto"/>
        <w:right w:val="none" w:sz="0" w:space="0" w:color="auto"/>
      </w:divBdr>
    </w:div>
    <w:div w:id="1165586385">
      <w:bodyDiv w:val="1"/>
      <w:marLeft w:val="0"/>
      <w:marRight w:val="0"/>
      <w:marTop w:val="0"/>
      <w:marBottom w:val="0"/>
      <w:divBdr>
        <w:top w:val="none" w:sz="0" w:space="0" w:color="auto"/>
        <w:left w:val="none" w:sz="0" w:space="0" w:color="auto"/>
        <w:bottom w:val="none" w:sz="0" w:space="0" w:color="auto"/>
        <w:right w:val="none" w:sz="0" w:space="0" w:color="auto"/>
      </w:divBdr>
    </w:div>
    <w:div w:id="1206023454">
      <w:bodyDiv w:val="1"/>
      <w:marLeft w:val="0"/>
      <w:marRight w:val="0"/>
      <w:marTop w:val="0"/>
      <w:marBottom w:val="0"/>
      <w:divBdr>
        <w:top w:val="none" w:sz="0" w:space="0" w:color="auto"/>
        <w:left w:val="none" w:sz="0" w:space="0" w:color="auto"/>
        <w:bottom w:val="none" w:sz="0" w:space="0" w:color="auto"/>
        <w:right w:val="none" w:sz="0" w:space="0" w:color="auto"/>
      </w:divBdr>
    </w:div>
    <w:div w:id="1223492347">
      <w:bodyDiv w:val="1"/>
      <w:marLeft w:val="0"/>
      <w:marRight w:val="0"/>
      <w:marTop w:val="0"/>
      <w:marBottom w:val="0"/>
      <w:divBdr>
        <w:top w:val="none" w:sz="0" w:space="0" w:color="auto"/>
        <w:left w:val="none" w:sz="0" w:space="0" w:color="auto"/>
        <w:bottom w:val="none" w:sz="0" w:space="0" w:color="auto"/>
        <w:right w:val="none" w:sz="0" w:space="0" w:color="auto"/>
      </w:divBdr>
    </w:div>
    <w:div w:id="1245339592">
      <w:bodyDiv w:val="1"/>
      <w:marLeft w:val="0"/>
      <w:marRight w:val="0"/>
      <w:marTop w:val="0"/>
      <w:marBottom w:val="0"/>
      <w:divBdr>
        <w:top w:val="none" w:sz="0" w:space="0" w:color="auto"/>
        <w:left w:val="none" w:sz="0" w:space="0" w:color="auto"/>
        <w:bottom w:val="none" w:sz="0" w:space="0" w:color="auto"/>
        <w:right w:val="none" w:sz="0" w:space="0" w:color="auto"/>
      </w:divBdr>
    </w:div>
    <w:div w:id="1247302614">
      <w:bodyDiv w:val="1"/>
      <w:marLeft w:val="0"/>
      <w:marRight w:val="0"/>
      <w:marTop w:val="0"/>
      <w:marBottom w:val="0"/>
      <w:divBdr>
        <w:top w:val="none" w:sz="0" w:space="0" w:color="auto"/>
        <w:left w:val="none" w:sz="0" w:space="0" w:color="auto"/>
        <w:bottom w:val="none" w:sz="0" w:space="0" w:color="auto"/>
        <w:right w:val="none" w:sz="0" w:space="0" w:color="auto"/>
      </w:divBdr>
    </w:div>
    <w:div w:id="1312320742">
      <w:bodyDiv w:val="1"/>
      <w:marLeft w:val="0"/>
      <w:marRight w:val="0"/>
      <w:marTop w:val="0"/>
      <w:marBottom w:val="0"/>
      <w:divBdr>
        <w:top w:val="none" w:sz="0" w:space="0" w:color="auto"/>
        <w:left w:val="none" w:sz="0" w:space="0" w:color="auto"/>
        <w:bottom w:val="none" w:sz="0" w:space="0" w:color="auto"/>
        <w:right w:val="none" w:sz="0" w:space="0" w:color="auto"/>
      </w:divBdr>
      <w:divsChild>
        <w:div w:id="1552956199">
          <w:marLeft w:val="0"/>
          <w:marRight w:val="0"/>
          <w:marTop w:val="0"/>
          <w:marBottom w:val="0"/>
          <w:divBdr>
            <w:top w:val="none" w:sz="0" w:space="0" w:color="auto"/>
            <w:left w:val="none" w:sz="0" w:space="0" w:color="auto"/>
            <w:bottom w:val="none" w:sz="0" w:space="0" w:color="auto"/>
            <w:right w:val="none" w:sz="0" w:space="0" w:color="auto"/>
          </w:divBdr>
          <w:divsChild>
            <w:div w:id="1577206741">
              <w:marLeft w:val="0"/>
              <w:marRight w:val="0"/>
              <w:marTop w:val="0"/>
              <w:marBottom w:val="0"/>
              <w:divBdr>
                <w:top w:val="none" w:sz="0" w:space="0" w:color="auto"/>
                <w:left w:val="none" w:sz="0" w:space="0" w:color="auto"/>
                <w:bottom w:val="none" w:sz="0" w:space="0" w:color="auto"/>
                <w:right w:val="none" w:sz="0" w:space="0" w:color="auto"/>
              </w:divBdr>
              <w:divsChild>
                <w:div w:id="38936534">
                  <w:marLeft w:val="0"/>
                  <w:marRight w:val="0"/>
                  <w:marTop w:val="0"/>
                  <w:marBottom w:val="0"/>
                  <w:divBdr>
                    <w:top w:val="none" w:sz="0" w:space="0" w:color="auto"/>
                    <w:left w:val="none" w:sz="0" w:space="0" w:color="auto"/>
                    <w:bottom w:val="none" w:sz="0" w:space="0" w:color="auto"/>
                    <w:right w:val="none" w:sz="0" w:space="0" w:color="auto"/>
                  </w:divBdr>
                  <w:divsChild>
                    <w:div w:id="1974485614">
                      <w:marLeft w:val="0"/>
                      <w:marRight w:val="0"/>
                      <w:marTop w:val="0"/>
                      <w:marBottom w:val="0"/>
                      <w:divBdr>
                        <w:top w:val="none" w:sz="0" w:space="0" w:color="auto"/>
                        <w:left w:val="none" w:sz="0" w:space="0" w:color="auto"/>
                        <w:bottom w:val="none" w:sz="0" w:space="0" w:color="auto"/>
                        <w:right w:val="none" w:sz="0" w:space="0" w:color="auto"/>
                      </w:divBdr>
                      <w:divsChild>
                        <w:div w:id="1771923296">
                          <w:marLeft w:val="0"/>
                          <w:marRight w:val="0"/>
                          <w:marTop w:val="0"/>
                          <w:marBottom w:val="0"/>
                          <w:divBdr>
                            <w:top w:val="none" w:sz="0" w:space="0" w:color="auto"/>
                            <w:left w:val="none" w:sz="0" w:space="0" w:color="auto"/>
                            <w:bottom w:val="none" w:sz="0" w:space="0" w:color="auto"/>
                            <w:right w:val="none" w:sz="0" w:space="0" w:color="auto"/>
                          </w:divBdr>
                          <w:divsChild>
                            <w:div w:id="229192046">
                              <w:marLeft w:val="0"/>
                              <w:marRight w:val="0"/>
                              <w:marTop w:val="0"/>
                              <w:marBottom w:val="0"/>
                              <w:divBdr>
                                <w:top w:val="none" w:sz="0" w:space="0" w:color="auto"/>
                                <w:left w:val="none" w:sz="0" w:space="0" w:color="auto"/>
                                <w:bottom w:val="none" w:sz="0" w:space="0" w:color="auto"/>
                                <w:right w:val="none" w:sz="0" w:space="0" w:color="auto"/>
                              </w:divBdr>
                              <w:divsChild>
                                <w:div w:id="213937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093083">
      <w:bodyDiv w:val="1"/>
      <w:marLeft w:val="0"/>
      <w:marRight w:val="0"/>
      <w:marTop w:val="0"/>
      <w:marBottom w:val="0"/>
      <w:divBdr>
        <w:top w:val="none" w:sz="0" w:space="0" w:color="auto"/>
        <w:left w:val="none" w:sz="0" w:space="0" w:color="auto"/>
        <w:bottom w:val="none" w:sz="0" w:space="0" w:color="auto"/>
        <w:right w:val="none" w:sz="0" w:space="0" w:color="auto"/>
      </w:divBdr>
    </w:div>
    <w:div w:id="1354646746">
      <w:bodyDiv w:val="1"/>
      <w:marLeft w:val="0"/>
      <w:marRight w:val="0"/>
      <w:marTop w:val="0"/>
      <w:marBottom w:val="0"/>
      <w:divBdr>
        <w:top w:val="none" w:sz="0" w:space="0" w:color="auto"/>
        <w:left w:val="none" w:sz="0" w:space="0" w:color="auto"/>
        <w:bottom w:val="none" w:sz="0" w:space="0" w:color="auto"/>
        <w:right w:val="none" w:sz="0" w:space="0" w:color="auto"/>
      </w:divBdr>
      <w:divsChild>
        <w:div w:id="237329340">
          <w:marLeft w:val="0"/>
          <w:marRight w:val="0"/>
          <w:marTop w:val="0"/>
          <w:marBottom w:val="0"/>
          <w:divBdr>
            <w:top w:val="none" w:sz="0" w:space="0" w:color="auto"/>
            <w:left w:val="none" w:sz="0" w:space="0" w:color="auto"/>
            <w:bottom w:val="none" w:sz="0" w:space="0" w:color="auto"/>
            <w:right w:val="none" w:sz="0" w:space="0" w:color="auto"/>
          </w:divBdr>
          <w:divsChild>
            <w:div w:id="1386444645">
              <w:marLeft w:val="0"/>
              <w:marRight w:val="0"/>
              <w:marTop w:val="0"/>
              <w:marBottom w:val="0"/>
              <w:divBdr>
                <w:top w:val="none" w:sz="0" w:space="0" w:color="auto"/>
                <w:left w:val="none" w:sz="0" w:space="0" w:color="auto"/>
                <w:bottom w:val="none" w:sz="0" w:space="0" w:color="auto"/>
                <w:right w:val="none" w:sz="0" w:space="0" w:color="auto"/>
              </w:divBdr>
              <w:divsChild>
                <w:div w:id="1668091417">
                  <w:marLeft w:val="0"/>
                  <w:marRight w:val="0"/>
                  <w:marTop w:val="0"/>
                  <w:marBottom w:val="0"/>
                  <w:divBdr>
                    <w:top w:val="none" w:sz="0" w:space="0" w:color="auto"/>
                    <w:left w:val="none" w:sz="0" w:space="0" w:color="auto"/>
                    <w:bottom w:val="none" w:sz="0" w:space="0" w:color="auto"/>
                    <w:right w:val="none" w:sz="0" w:space="0" w:color="auto"/>
                  </w:divBdr>
                  <w:divsChild>
                    <w:div w:id="1058894368">
                      <w:marLeft w:val="0"/>
                      <w:marRight w:val="0"/>
                      <w:marTop w:val="0"/>
                      <w:marBottom w:val="0"/>
                      <w:divBdr>
                        <w:top w:val="none" w:sz="0" w:space="0" w:color="auto"/>
                        <w:left w:val="none" w:sz="0" w:space="0" w:color="auto"/>
                        <w:bottom w:val="none" w:sz="0" w:space="0" w:color="auto"/>
                        <w:right w:val="none" w:sz="0" w:space="0" w:color="auto"/>
                      </w:divBdr>
                      <w:divsChild>
                        <w:div w:id="1179393181">
                          <w:marLeft w:val="0"/>
                          <w:marRight w:val="0"/>
                          <w:marTop w:val="0"/>
                          <w:marBottom w:val="0"/>
                          <w:divBdr>
                            <w:top w:val="none" w:sz="0" w:space="0" w:color="auto"/>
                            <w:left w:val="none" w:sz="0" w:space="0" w:color="auto"/>
                            <w:bottom w:val="none" w:sz="0" w:space="0" w:color="auto"/>
                            <w:right w:val="none" w:sz="0" w:space="0" w:color="auto"/>
                          </w:divBdr>
                          <w:divsChild>
                            <w:div w:id="1730809295">
                              <w:marLeft w:val="0"/>
                              <w:marRight w:val="0"/>
                              <w:marTop w:val="0"/>
                              <w:marBottom w:val="0"/>
                              <w:divBdr>
                                <w:top w:val="none" w:sz="0" w:space="0" w:color="auto"/>
                                <w:left w:val="none" w:sz="0" w:space="0" w:color="auto"/>
                                <w:bottom w:val="none" w:sz="0" w:space="0" w:color="auto"/>
                                <w:right w:val="none" w:sz="0" w:space="0" w:color="auto"/>
                              </w:divBdr>
                              <w:divsChild>
                                <w:div w:id="161802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5886065">
      <w:bodyDiv w:val="1"/>
      <w:marLeft w:val="0"/>
      <w:marRight w:val="0"/>
      <w:marTop w:val="0"/>
      <w:marBottom w:val="0"/>
      <w:divBdr>
        <w:top w:val="none" w:sz="0" w:space="0" w:color="auto"/>
        <w:left w:val="none" w:sz="0" w:space="0" w:color="auto"/>
        <w:bottom w:val="none" w:sz="0" w:space="0" w:color="auto"/>
        <w:right w:val="none" w:sz="0" w:space="0" w:color="auto"/>
      </w:divBdr>
    </w:div>
    <w:div w:id="1436487131">
      <w:bodyDiv w:val="1"/>
      <w:marLeft w:val="0"/>
      <w:marRight w:val="0"/>
      <w:marTop w:val="0"/>
      <w:marBottom w:val="0"/>
      <w:divBdr>
        <w:top w:val="none" w:sz="0" w:space="0" w:color="auto"/>
        <w:left w:val="none" w:sz="0" w:space="0" w:color="auto"/>
        <w:bottom w:val="none" w:sz="0" w:space="0" w:color="auto"/>
        <w:right w:val="none" w:sz="0" w:space="0" w:color="auto"/>
      </w:divBdr>
    </w:div>
    <w:div w:id="1510679624">
      <w:bodyDiv w:val="1"/>
      <w:marLeft w:val="0"/>
      <w:marRight w:val="0"/>
      <w:marTop w:val="0"/>
      <w:marBottom w:val="0"/>
      <w:divBdr>
        <w:top w:val="none" w:sz="0" w:space="0" w:color="auto"/>
        <w:left w:val="none" w:sz="0" w:space="0" w:color="auto"/>
        <w:bottom w:val="none" w:sz="0" w:space="0" w:color="auto"/>
        <w:right w:val="none" w:sz="0" w:space="0" w:color="auto"/>
      </w:divBdr>
    </w:div>
    <w:div w:id="1511215049">
      <w:bodyDiv w:val="1"/>
      <w:marLeft w:val="0"/>
      <w:marRight w:val="0"/>
      <w:marTop w:val="0"/>
      <w:marBottom w:val="0"/>
      <w:divBdr>
        <w:top w:val="none" w:sz="0" w:space="0" w:color="auto"/>
        <w:left w:val="none" w:sz="0" w:space="0" w:color="auto"/>
        <w:bottom w:val="none" w:sz="0" w:space="0" w:color="auto"/>
        <w:right w:val="none" w:sz="0" w:space="0" w:color="auto"/>
      </w:divBdr>
    </w:div>
    <w:div w:id="1511331996">
      <w:bodyDiv w:val="1"/>
      <w:marLeft w:val="0"/>
      <w:marRight w:val="0"/>
      <w:marTop w:val="0"/>
      <w:marBottom w:val="0"/>
      <w:divBdr>
        <w:top w:val="none" w:sz="0" w:space="0" w:color="auto"/>
        <w:left w:val="none" w:sz="0" w:space="0" w:color="auto"/>
        <w:bottom w:val="none" w:sz="0" w:space="0" w:color="auto"/>
        <w:right w:val="none" w:sz="0" w:space="0" w:color="auto"/>
      </w:divBdr>
    </w:div>
    <w:div w:id="1556890133">
      <w:bodyDiv w:val="1"/>
      <w:marLeft w:val="0"/>
      <w:marRight w:val="0"/>
      <w:marTop w:val="0"/>
      <w:marBottom w:val="0"/>
      <w:divBdr>
        <w:top w:val="none" w:sz="0" w:space="0" w:color="auto"/>
        <w:left w:val="none" w:sz="0" w:space="0" w:color="auto"/>
        <w:bottom w:val="none" w:sz="0" w:space="0" w:color="auto"/>
        <w:right w:val="none" w:sz="0" w:space="0" w:color="auto"/>
      </w:divBdr>
    </w:div>
    <w:div w:id="1628662306">
      <w:bodyDiv w:val="1"/>
      <w:marLeft w:val="0"/>
      <w:marRight w:val="0"/>
      <w:marTop w:val="0"/>
      <w:marBottom w:val="0"/>
      <w:divBdr>
        <w:top w:val="none" w:sz="0" w:space="0" w:color="auto"/>
        <w:left w:val="none" w:sz="0" w:space="0" w:color="auto"/>
        <w:bottom w:val="none" w:sz="0" w:space="0" w:color="auto"/>
        <w:right w:val="none" w:sz="0" w:space="0" w:color="auto"/>
      </w:divBdr>
    </w:div>
    <w:div w:id="1761365291">
      <w:bodyDiv w:val="1"/>
      <w:marLeft w:val="0"/>
      <w:marRight w:val="0"/>
      <w:marTop w:val="0"/>
      <w:marBottom w:val="0"/>
      <w:divBdr>
        <w:top w:val="none" w:sz="0" w:space="0" w:color="auto"/>
        <w:left w:val="none" w:sz="0" w:space="0" w:color="auto"/>
        <w:bottom w:val="none" w:sz="0" w:space="0" w:color="auto"/>
        <w:right w:val="none" w:sz="0" w:space="0" w:color="auto"/>
      </w:divBdr>
    </w:div>
    <w:div w:id="1762947714">
      <w:bodyDiv w:val="1"/>
      <w:marLeft w:val="0"/>
      <w:marRight w:val="0"/>
      <w:marTop w:val="0"/>
      <w:marBottom w:val="0"/>
      <w:divBdr>
        <w:top w:val="none" w:sz="0" w:space="0" w:color="auto"/>
        <w:left w:val="none" w:sz="0" w:space="0" w:color="auto"/>
        <w:bottom w:val="none" w:sz="0" w:space="0" w:color="auto"/>
        <w:right w:val="none" w:sz="0" w:space="0" w:color="auto"/>
      </w:divBdr>
    </w:div>
    <w:div w:id="1809737144">
      <w:bodyDiv w:val="1"/>
      <w:marLeft w:val="0"/>
      <w:marRight w:val="0"/>
      <w:marTop w:val="0"/>
      <w:marBottom w:val="0"/>
      <w:divBdr>
        <w:top w:val="none" w:sz="0" w:space="0" w:color="auto"/>
        <w:left w:val="none" w:sz="0" w:space="0" w:color="auto"/>
        <w:bottom w:val="none" w:sz="0" w:space="0" w:color="auto"/>
        <w:right w:val="none" w:sz="0" w:space="0" w:color="auto"/>
      </w:divBdr>
    </w:div>
    <w:div w:id="1861119824">
      <w:bodyDiv w:val="1"/>
      <w:marLeft w:val="0"/>
      <w:marRight w:val="0"/>
      <w:marTop w:val="0"/>
      <w:marBottom w:val="0"/>
      <w:divBdr>
        <w:top w:val="none" w:sz="0" w:space="0" w:color="auto"/>
        <w:left w:val="none" w:sz="0" w:space="0" w:color="auto"/>
        <w:bottom w:val="none" w:sz="0" w:space="0" w:color="auto"/>
        <w:right w:val="none" w:sz="0" w:space="0" w:color="auto"/>
      </w:divBdr>
    </w:div>
    <w:div w:id="1868375387">
      <w:bodyDiv w:val="1"/>
      <w:marLeft w:val="0"/>
      <w:marRight w:val="0"/>
      <w:marTop w:val="0"/>
      <w:marBottom w:val="0"/>
      <w:divBdr>
        <w:top w:val="none" w:sz="0" w:space="0" w:color="auto"/>
        <w:left w:val="none" w:sz="0" w:space="0" w:color="auto"/>
        <w:bottom w:val="none" w:sz="0" w:space="0" w:color="auto"/>
        <w:right w:val="none" w:sz="0" w:space="0" w:color="auto"/>
      </w:divBdr>
    </w:div>
    <w:div w:id="1975863503">
      <w:bodyDiv w:val="1"/>
      <w:marLeft w:val="0"/>
      <w:marRight w:val="0"/>
      <w:marTop w:val="0"/>
      <w:marBottom w:val="0"/>
      <w:divBdr>
        <w:top w:val="none" w:sz="0" w:space="0" w:color="auto"/>
        <w:left w:val="none" w:sz="0" w:space="0" w:color="auto"/>
        <w:bottom w:val="none" w:sz="0" w:space="0" w:color="auto"/>
        <w:right w:val="none" w:sz="0" w:space="0" w:color="auto"/>
      </w:divBdr>
    </w:div>
    <w:div w:id="1983658364">
      <w:bodyDiv w:val="1"/>
      <w:marLeft w:val="0"/>
      <w:marRight w:val="0"/>
      <w:marTop w:val="0"/>
      <w:marBottom w:val="0"/>
      <w:divBdr>
        <w:top w:val="none" w:sz="0" w:space="0" w:color="auto"/>
        <w:left w:val="none" w:sz="0" w:space="0" w:color="auto"/>
        <w:bottom w:val="none" w:sz="0" w:space="0" w:color="auto"/>
        <w:right w:val="none" w:sz="0" w:space="0" w:color="auto"/>
      </w:divBdr>
    </w:div>
    <w:div w:id="2022393426">
      <w:bodyDiv w:val="1"/>
      <w:marLeft w:val="0"/>
      <w:marRight w:val="0"/>
      <w:marTop w:val="0"/>
      <w:marBottom w:val="0"/>
      <w:divBdr>
        <w:top w:val="none" w:sz="0" w:space="0" w:color="auto"/>
        <w:left w:val="none" w:sz="0" w:space="0" w:color="auto"/>
        <w:bottom w:val="none" w:sz="0" w:space="0" w:color="auto"/>
        <w:right w:val="none" w:sz="0" w:space="0" w:color="auto"/>
      </w:divBdr>
    </w:div>
    <w:div w:id="2051875995">
      <w:bodyDiv w:val="1"/>
      <w:marLeft w:val="0"/>
      <w:marRight w:val="0"/>
      <w:marTop w:val="0"/>
      <w:marBottom w:val="0"/>
      <w:divBdr>
        <w:top w:val="none" w:sz="0" w:space="0" w:color="auto"/>
        <w:left w:val="none" w:sz="0" w:space="0" w:color="auto"/>
        <w:bottom w:val="none" w:sz="0" w:space="0" w:color="auto"/>
        <w:right w:val="none" w:sz="0" w:space="0" w:color="auto"/>
      </w:divBdr>
    </w:div>
    <w:div w:id="2078674061">
      <w:bodyDiv w:val="1"/>
      <w:marLeft w:val="0"/>
      <w:marRight w:val="0"/>
      <w:marTop w:val="0"/>
      <w:marBottom w:val="0"/>
      <w:divBdr>
        <w:top w:val="none" w:sz="0" w:space="0" w:color="auto"/>
        <w:left w:val="none" w:sz="0" w:space="0" w:color="auto"/>
        <w:bottom w:val="none" w:sz="0" w:space="0" w:color="auto"/>
        <w:right w:val="none" w:sz="0" w:space="0" w:color="auto"/>
      </w:divBdr>
    </w:div>
    <w:div w:id="2088306926">
      <w:bodyDiv w:val="1"/>
      <w:marLeft w:val="0"/>
      <w:marRight w:val="0"/>
      <w:marTop w:val="0"/>
      <w:marBottom w:val="0"/>
      <w:divBdr>
        <w:top w:val="none" w:sz="0" w:space="0" w:color="auto"/>
        <w:left w:val="none" w:sz="0" w:space="0" w:color="auto"/>
        <w:bottom w:val="none" w:sz="0" w:space="0" w:color="auto"/>
        <w:right w:val="none" w:sz="0" w:space="0" w:color="auto"/>
      </w:divBdr>
    </w:div>
    <w:div w:id="2093315363">
      <w:bodyDiv w:val="1"/>
      <w:marLeft w:val="0"/>
      <w:marRight w:val="0"/>
      <w:marTop w:val="0"/>
      <w:marBottom w:val="0"/>
      <w:divBdr>
        <w:top w:val="none" w:sz="0" w:space="0" w:color="auto"/>
        <w:left w:val="none" w:sz="0" w:space="0" w:color="auto"/>
        <w:bottom w:val="none" w:sz="0" w:space="0" w:color="auto"/>
        <w:right w:val="none" w:sz="0" w:space="0" w:color="auto"/>
      </w:divBdr>
    </w:div>
    <w:div w:id="2108578858">
      <w:bodyDiv w:val="1"/>
      <w:marLeft w:val="0"/>
      <w:marRight w:val="0"/>
      <w:marTop w:val="0"/>
      <w:marBottom w:val="0"/>
      <w:divBdr>
        <w:top w:val="none" w:sz="0" w:space="0" w:color="auto"/>
        <w:left w:val="none" w:sz="0" w:space="0" w:color="auto"/>
        <w:bottom w:val="none" w:sz="0" w:space="0" w:color="auto"/>
        <w:right w:val="none" w:sz="0" w:space="0" w:color="auto"/>
      </w:divBdr>
    </w:div>
    <w:div w:id="21180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199D91-8866-43E1-B749-5D9B6FB3C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2026-06-23T15:41:00Z</dcterms:created>
  <dcterms:modified xsi:type="dcterms:W3CDTF">2026-07-01T20:34:00Z</dcterms:modified>
</cp:coreProperties>
</file>