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0C3AF1FE"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9C7E65">
              <w:rPr>
                <w:rFonts w:ascii="Times New Roman" w:hAnsi="Times New Roman" w:cs="Times New Roman"/>
                <w:b/>
                <w:color w:val="auto"/>
                <w:sz w:val="48"/>
              </w:rPr>
              <w:t xml:space="preserve"> Pauline Best</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21A1E88"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9C7E65">
              <w:rPr>
                <w:rFonts w:ascii="Times New Roman" w:hAnsi="Times New Roman" w:cs="Times New Roman"/>
                <w:b/>
                <w:color w:val="auto"/>
                <w:sz w:val="48"/>
              </w:rPr>
              <w:t xml:space="preserve">     Pauline.best@wrexham.gov.uk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759506D4" w14:textId="05E74B9D" w:rsidR="009C7E65" w:rsidRPr="005D3F07" w:rsidRDefault="00015B3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2522463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00CF7365" w14:textId="77777777" w:rsidR="00596B91" w:rsidRDefault="00596B91" w:rsidP="00596B91">
            <w:pPr>
              <w:rPr>
                <w:sz w:val="24"/>
                <w:szCs w:val="24"/>
              </w:rPr>
            </w:pPr>
            <w:r w:rsidRPr="00596B91">
              <w:rPr>
                <w:sz w:val="24"/>
                <w:szCs w:val="24"/>
              </w:rPr>
              <w:t>Citizen 2 could be described as an older person, as they are in later life and require support from both paid and unpaid carers to meet daily living needs. Whilst there is no specific age threshold for accessing social care services in Wales, Welsh policy commonly refers to older people as those aged 60 years and over, with support determined by assessed need rather than age alone (Older People’s Commissioner for Wales, 2024).</w:t>
            </w:r>
          </w:p>
          <w:p w14:paraId="0E95FF2D" w14:textId="77777777" w:rsidR="00596B91" w:rsidRPr="00596B91" w:rsidRDefault="00596B91" w:rsidP="00596B91">
            <w:pPr>
              <w:rPr>
                <w:sz w:val="24"/>
                <w:szCs w:val="24"/>
              </w:rPr>
            </w:pPr>
          </w:p>
          <w:p w14:paraId="318AA004" w14:textId="77777777" w:rsidR="00596B91" w:rsidRDefault="00596B91" w:rsidP="00596B91">
            <w:pPr>
              <w:rPr>
                <w:sz w:val="24"/>
                <w:szCs w:val="24"/>
              </w:rPr>
            </w:pPr>
            <w:r w:rsidRPr="00596B91">
              <w:rPr>
                <w:sz w:val="24"/>
                <w:szCs w:val="24"/>
              </w:rPr>
              <w:t>Citizen 2 has long term care and support needs and at the time of my assessment, was living in a care home in Wales, having full support from staff to help Citizen 2 meet all activities of daily living.</w:t>
            </w:r>
          </w:p>
          <w:p w14:paraId="448F4565" w14:textId="77777777" w:rsidR="00596B91" w:rsidRPr="00596B91" w:rsidRDefault="00596B91" w:rsidP="00596B91">
            <w:pPr>
              <w:rPr>
                <w:sz w:val="24"/>
                <w:szCs w:val="24"/>
              </w:rPr>
            </w:pPr>
          </w:p>
          <w:p w14:paraId="2E298762" w14:textId="77777777" w:rsidR="00596B91" w:rsidRPr="00596B91" w:rsidRDefault="00596B91" w:rsidP="00596B91">
            <w:pPr>
              <w:rPr>
                <w:sz w:val="24"/>
                <w:szCs w:val="24"/>
              </w:rPr>
            </w:pPr>
            <w:r w:rsidRPr="00596B91">
              <w:rPr>
                <w:sz w:val="24"/>
                <w:szCs w:val="24"/>
              </w:rPr>
              <w:t>Citizen 2 is supported by their offspring, who is also their closes family relative. Citizen’s 2’s offspring visits regularly and is in close and consistent contact with the care providers.</w:t>
            </w:r>
          </w:p>
          <w:p w14:paraId="0A3B75FC" w14:textId="77777777" w:rsidR="00596B91" w:rsidRDefault="00596B91" w:rsidP="00596B91">
            <w:pPr>
              <w:rPr>
                <w:sz w:val="24"/>
                <w:szCs w:val="24"/>
              </w:rPr>
            </w:pPr>
            <w:r w:rsidRPr="00596B91">
              <w:rPr>
                <w:sz w:val="24"/>
                <w:szCs w:val="24"/>
              </w:rPr>
              <w:t xml:space="preserve">Citizen 2 had been assessed as lacking mental capacity as they were unable to understand information relevant to making a decision on where to live, could not retain information long enough to make the decision, were unable to weigh the information to make the decision and could not communicate their decision by any means (Mental Capacity Act 2005). Citizen 2’s offspring had Lasting Power of Attorney for all matters concerning health and welfare. Citizen 2 is subject to </w:t>
            </w:r>
            <w:r w:rsidRPr="00E15A70">
              <w:rPr>
                <w:sz w:val="24"/>
                <w:szCs w:val="24"/>
              </w:rPr>
              <w:t>Deprivation of Liberty Safeguards (DoLS)</w:t>
            </w:r>
            <w:r w:rsidRPr="00596B91">
              <w:rPr>
                <w:sz w:val="24"/>
                <w:szCs w:val="24"/>
              </w:rPr>
              <w:t xml:space="preserve"> as they have been assessed as lacking the mental capacity to consent to the arrangements in place for their care and treatment, and the restrictions imposed have been authorised as being necessary </w:t>
            </w:r>
            <w:r w:rsidRPr="00596B91">
              <w:rPr>
                <w:sz w:val="24"/>
                <w:szCs w:val="24"/>
              </w:rPr>
              <w:lastRenderedPageBreak/>
              <w:t xml:space="preserve">and proportionate to prevent harm in accordance with the </w:t>
            </w:r>
            <w:r w:rsidRPr="005D1640">
              <w:rPr>
                <w:sz w:val="24"/>
                <w:szCs w:val="24"/>
              </w:rPr>
              <w:t>Mental Capacity Act 2005 and Deprivation of Liberty Safeguards legislation</w:t>
            </w:r>
            <w:r w:rsidRPr="00596B91">
              <w:rPr>
                <w:sz w:val="24"/>
                <w:szCs w:val="24"/>
              </w:rPr>
              <w:t xml:space="preserve"> (Mental Capacity Act 2005).</w:t>
            </w:r>
          </w:p>
          <w:p w14:paraId="44E49343" w14:textId="77777777" w:rsidR="003901DA" w:rsidRPr="00596B91" w:rsidRDefault="003901DA" w:rsidP="00596B91">
            <w:pPr>
              <w:rPr>
                <w:sz w:val="24"/>
                <w:szCs w:val="24"/>
              </w:rPr>
            </w:pPr>
          </w:p>
          <w:p w14:paraId="262A094C" w14:textId="77777777" w:rsidR="00596B91" w:rsidRDefault="00596B91" w:rsidP="00596B91">
            <w:pPr>
              <w:rPr>
                <w:sz w:val="24"/>
                <w:szCs w:val="24"/>
              </w:rPr>
            </w:pPr>
            <w:r w:rsidRPr="00596B91">
              <w:rPr>
                <w:sz w:val="24"/>
                <w:szCs w:val="24"/>
              </w:rPr>
              <w:t>Citizen 2 had been married for over 50 years and sadly lost their partner several years prior. Following the loss of their partner, Citizen 2 began to struggle with short term memory loss, difficulty with attending to daily living arrangements, experiencing disorientation and confusion, and struggling with behavioural and psychological changes, all commensurate with indicators of dementia (NHS 111 Wales, 2026).</w:t>
            </w:r>
          </w:p>
          <w:p w14:paraId="5BC54632" w14:textId="77777777" w:rsidR="003901DA" w:rsidRPr="00596B91" w:rsidRDefault="003901DA" w:rsidP="00596B91">
            <w:pPr>
              <w:rPr>
                <w:sz w:val="24"/>
                <w:szCs w:val="24"/>
              </w:rPr>
            </w:pPr>
          </w:p>
          <w:p w14:paraId="35B3620B" w14:textId="0F1BBC02" w:rsidR="00596B91" w:rsidRDefault="00596B91" w:rsidP="00596B91">
            <w:pPr>
              <w:rPr>
                <w:sz w:val="24"/>
                <w:szCs w:val="24"/>
              </w:rPr>
            </w:pPr>
            <w:r w:rsidRPr="00596B91">
              <w:rPr>
                <w:sz w:val="24"/>
                <w:szCs w:val="24"/>
              </w:rPr>
              <w:t>Concerns were raised by a care provider when it was discovered that Citizen 2 had potentially been subject to sexual abuse as defined by the Wales Safeguarding Procedures (</w:t>
            </w:r>
            <w:r w:rsidR="00201212">
              <w:rPr>
                <w:sz w:val="24"/>
                <w:szCs w:val="24"/>
              </w:rPr>
              <w:t>Social Care Wales, 2019</w:t>
            </w:r>
            <w:r w:rsidRPr="00596B91">
              <w:rPr>
                <w:sz w:val="24"/>
                <w:szCs w:val="24"/>
              </w:rPr>
              <w:t>). National safeguarding statistics indicate that older people are significantly more likely to be reported as adults at risk than younger adults, with Welsh data suggesting older people are almost three times more likely to be the subject of safeguarding concerns, a total of 14,500 reports being made to local authorities in the financial year 01/04/2023 – 31/04/2024 (</w:t>
            </w:r>
            <w:r w:rsidR="007B4FAA">
              <w:rPr>
                <w:sz w:val="24"/>
                <w:szCs w:val="24"/>
              </w:rPr>
              <w:t>National Independent Safeguarding Board, 2025</w:t>
            </w:r>
            <w:r w:rsidRPr="00596B91">
              <w:rPr>
                <w:sz w:val="24"/>
                <w:szCs w:val="24"/>
              </w:rPr>
              <w:t>). Of the 14,500 reports filed across Wales, 115 reports were in relation to sexual abuse across all genders (Stats Wales, 2026).</w:t>
            </w:r>
          </w:p>
          <w:p w14:paraId="7EDB0EAA" w14:textId="77777777" w:rsidR="008911F4" w:rsidRPr="00596B91" w:rsidRDefault="008911F4" w:rsidP="00596B91">
            <w:pPr>
              <w:rPr>
                <w:sz w:val="24"/>
                <w:szCs w:val="24"/>
              </w:rPr>
            </w:pPr>
          </w:p>
          <w:p w14:paraId="3DC50F62" w14:textId="77777777" w:rsidR="00596B91" w:rsidRDefault="00596B91" w:rsidP="00596B91">
            <w:pPr>
              <w:rPr>
                <w:sz w:val="24"/>
                <w:szCs w:val="24"/>
              </w:rPr>
            </w:pPr>
            <w:r w:rsidRPr="00596B91">
              <w:rPr>
                <w:sz w:val="24"/>
                <w:szCs w:val="24"/>
              </w:rPr>
              <w:t>Citizen 2 had been known to Adult Social Services for a number of years and had an allocated social worker from a team that supports the aging community, although no active social work involvement as Citizen 2’s care and support needs were being consistently met by the care provider and active social work involvement had ceased whilst awaiting an annual review of the care and support arrangements.</w:t>
            </w:r>
          </w:p>
          <w:p w14:paraId="62CDE923" w14:textId="77777777" w:rsidR="003901DA" w:rsidRPr="00596B91" w:rsidRDefault="003901DA" w:rsidP="00596B91">
            <w:pPr>
              <w:rPr>
                <w:sz w:val="24"/>
                <w:szCs w:val="24"/>
              </w:rPr>
            </w:pPr>
          </w:p>
          <w:p w14:paraId="4BEBFA6B" w14:textId="29293B04" w:rsidR="00596B91" w:rsidRDefault="00596B91" w:rsidP="00596B91">
            <w:pPr>
              <w:rPr>
                <w:sz w:val="24"/>
                <w:szCs w:val="24"/>
              </w:rPr>
            </w:pPr>
            <w:r w:rsidRPr="00596B91">
              <w:rPr>
                <w:sz w:val="24"/>
                <w:szCs w:val="24"/>
              </w:rPr>
              <w:t>Having had no prior knowledge or experience with Citizen 2, I took the opportunity to carefully review the safeguarding report received and gather all background information from the existing care and support records, case notes, previous assessments of care and support and mental capacity, as well as an immediate phone call to Citizen 2’s social work team to not only alert them to the safeguarding referral, but exchange information in preparation for my contact with Citizen 2. Information sharing and multi-agency collaboration are integral to safeguarding practice. The duty to cooperate established within Part 9 of the Social Services and Well-being (Wales) Act 2014 (Welsh Government, 2014), supports professionals to work together and exchange relevant information when protecting adults who may be experiencing, or are at risk of, abuse or neglect. Section 3, Part 1 of the Wales Safeguarding Procedures</w:t>
            </w:r>
            <w:r w:rsidR="006C6FD6">
              <w:rPr>
                <w:sz w:val="24"/>
                <w:szCs w:val="24"/>
              </w:rPr>
              <w:t xml:space="preserve"> (Social Care Wales, 2019)</w:t>
            </w:r>
            <w:r w:rsidRPr="00596B91">
              <w:rPr>
                <w:sz w:val="24"/>
                <w:szCs w:val="24"/>
              </w:rPr>
              <w:t xml:space="preserve">, highlights the duty to respond to a report about an adult who is at risk of abuse and neglect and the responsibility to ensure the person is safe. I actioned this by ringing the care provider and immediately </w:t>
            </w:r>
            <w:proofErr w:type="gramStart"/>
            <w:r w:rsidRPr="00596B91">
              <w:rPr>
                <w:sz w:val="24"/>
                <w:szCs w:val="24"/>
              </w:rPr>
              <w:t>making arrangements</w:t>
            </w:r>
            <w:proofErr w:type="gramEnd"/>
            <w:r w:rsidRPr="00596B91">
              <w:rPr>
                <w:sz w:val="24"/>
                <w:szCs w:val="24"/>
              </w:rPr>
              <w:t xml:space="preserve"> to visit, in person. I was assured by the care provider that Citizen 2 was safe, was not showing any signs of distress and the alleged perpetrator had been immediately removed from direct contact with Citizen 2.</w:t>
            </w:r>
          </w:p>
          <w:p w14:paraId="13375CC2" w14:textId="77777777" w:rsidR="003901DA" w:rsidRPr="00596B91" w:rsidRDefault="003901DA" w:rsidP="00596B91">
            <w:pPr>
              <w:rPr>
                <w:sz w:val="24"/>
                <w:szCs w:val="24"/>
              </w:rPr>
            </w:pPr>
          </w:p>
          <w:p w14:paraId="36F2B037" w14:textId="77777777" w:rsidR="00596B91" w:rsidRDefault="00596B91" w:rsidP="00596B91">
            <w:pPr>
              <w:rPr>
                <w:sz w:val="24"/>
                <w:szCs w:val="24"/>
              </w:rPr>
            </w:pPr>
            <w:r w:rsidRPr="00596B91">
              <w:rPr>
                <w:sz w:val="24"/>
                <w:szCs w:val="24"/>
              </w:rPr>
              <w:t xml:space="preserve">Prior to attending the home, I spoke with my mentor to outline my plans and duty to undertake enquiries (S.126 SSWBA, 2014), and we highlighted the benefits of using reflection in action. Reflection-in-action (Schön, 1983) refers to the ability to think critically and adapt practice whilst an intervention is taking place, rather than waiting until afterwards </w:t>
            </w:r>
            <w:r w:rsidRPr="00596B91">
              <w:rPr>
                <w:sz w:val="24"/>
                <w:szCs w:val="24"/>
              </w:rPr>
              <w:lastRenderedPageBreak/>
              <w:t>to reflect on what happened. In Adult Safeguarding, this is particularly important when undertaking enquiries involving an adult at risk of sexual abuse, as circumstances can change rapidly, the subject matter can cause distress during discussion and require immediate professional judgement to alter questioning or approach to make individuals feel comfortable.</w:t>
            </w:r>
          </w:p>
          <w:p w14:paraId="450DBA2D" w14:textId="77777777" w:rsidR="003901DA" w:rsidRPr="00596B91" w:rsidRDefault="003901DA" w:rsidP="00596B91">
            <w:pPr>
              <w:rPr>
                <w:sz w:val="24"/>
                <w:szCs w:val="24"/>
              </w:rPr>
            </w:pPr>
          </w:p>
          <w:p w14:paraId="175F038D" w14:textId="77777777" w:rsidR="00596B91" w:rsidRDefault="00596B91" w:rsidP="00596B91">
            <w:pPr>
              <w:rPr>
                <w:sz w:val="24"/>
                <w:szCs w:val="24"/>
              </w:rPr>
            </w:pPr>
            <w:r w:rsidRPr="00596B91">
              <w:rPr>
                <w:sz w:val="24"/>
                <w:szCs w:val="24"/>
              </w:rPr>
              <w:t>For example, during a safeguarding enquiry, I may have planned to interview an adult alongside a family member or carer. However, whilst speaking with them, I might observe that they become hesitant, avoid eye contact, or only provide brief responses when certain individuals are present. Using reflection-in-action, I would consciously consider what these observations might mean and whether the current environment is preventing the adult from speaking freely. I may then adapt my approach by arranging a private conversation, changing my questioning style, or allowing more time for the person to respond.</w:t>
            </w:r>
          </w:p>
          <w:p w14:paraId="79EC8455" w14:textId="77777777" w:rsidR="003901DA" w:rsidRPr="00596B91" w:rsidRDefault="003901DA" w:rsidP="00596B91">
            <w:pPr>
              <w:rPr>
                <w:sz w:val="24"/>
                <w:szCs w:val="24"/>
              </w:rPr>
            </w:pPr>
          </w:p>
          <w:p w14:paraId="3317FC55" w14:textId="77777777" w:rsidR="00596B91" w:rsidRDefault="00596B91" w:rsidP="00596B91">
            <w:pPr>
              <w:rPr>
                <w:sz w:val="24"/>
                <w:szCs w:val="24"/>
              </w:rPr>
            </w:pPr>
            <w:r w:rsidRPr="00596B91">
              <w:rPr>
                <w:sz w:val="24"/>
                <w:szCs w:val="24"/>
              </w:rPr>
              <w:t>Reflection-in-action also supports professional curiosity. If an adult's account appears inconsistent with information provided by others, I can critically consider possible explanations during the enquiry rather than accepting information at face value. This might include considering the impact of fear, trauma, coercion, communication difficulties, or power imbalances. By reflecting in the moment, I can gather further information, ask clarifying questions and adapt the enquiry accordingly.</w:t>
            </w:r>
          </w:p>
          <w:p w14:paraId="15D96FD5" w14:textId="77777777" w:rsidR="003901DA" w:rsidRPr="00596B91" w:rsidRDefault="003901DA" w:rsidP="00596B91">
            <w:pPr>
              <w:rPr>
                <w:sz w:val="24"/>
                <w:szCs w:val="24"/>
              </w:rPr>
            </w:pPr>
          </w:p>
          <w:p w14:paraId="3A3826FD" w14:textId="77777777" w:rsidR="00596B91" w:rsidRDefault="00596B91" w:rsidP="00596B91">
            <w:pPr>
              <w:rPr>
                <w:sz w:val="24"/>
                <w:szCs w:val="24"/>
              </w:rPr>
            </w:pPr>
            <w:r w:rsidRPr="00596B91">
              <w:rPr>
                <w:sz w:val="24"/>
                <w:szCs w:val="24"/>
              </w:rPr>
              <w:t>In cases involving sexual abuse, reflection-in-action is essential to ensure that practice remains person-centred and trauma-informed. For example, if I observe that my questioning is causing distress, I may alter my communication style, offer breaks, or seek specialist support. This helps ensure that the adult's dignity, well-being and emotional safety remain central throughout the safeguarding process. By remaining responsive to Citizen 2's emotional needs and communication preferences, I would promote an environment in which they felt safe, valued and able to participate in decisions affecting them, consistent with the principles of the Trauma-Informed Wales Framework (2022).</w:t>
            </w:r>
          </w:p>
          <w:p w14:paraId="1B064A47" w14:textId="77777777" w:rsidR="003901DA" w:rsidRPr="00596B91" w:rsidRDefault="003901DA" w:rsidP="00596B91">
            <w:pPr>
              <w:rPr>
                <w:sz w:val="24"/>
                <w:szCs w:val="24"/>
              </w:rPr>
            </w:pPr>
          </w:p>
          <w:p w14:paraId="173C9726" w14:textId="77777777" w:rsidR="00596B91" w:rsidRDefault="00596B91" w:rsidP="00596B91">
            <w:pPr>
              <w:rPr>
                <w:sz w:val="24"/>
                <w:szCs w:val="24"/>
              </w:rPr>
            </w:pPr>
            <w:r w:rsidRPr="00596B91">
              <w:rPr>
                <w:sz w:val="24"/>
                <w:szCs w:val="24"/>
              </w:rPr>
              <w:t>Reflection-in-action also helps social workers balance competing responsibilities. During safeguarding enquiries, I may need to consider the adult's right to autonomy alongside my duty to protect them from harm as well as their right to make unsafe decisions. By continually evaluating information as it emerges, I can make defensible decisions that are evidence-informed, proportionate and consistent with safeguarding principles.</w:t>
            </w:r>
          </w:p>
          <w:p w14:paraId="2B4E8018" w14:textId="77777777" w:rsidR="007A3A43" w:rsidRPr="00596B91" w:rsidRDefault="007A3A43" w:rsidP="00596B91">
            <w:pPr>
              <w:rPr>
                <w:sz w:val="24"/>
                <w:szCs w:val="24"/>
              </w:rPr>
            </w:pPr>
          </w:p>
          <w:p w14:paraId="0A7F3B1D" w14:textId="484E3F52" w:rsidR="00596B91" w:rsidRDefault="00596B91" w:rsidP="00596B91">
            <w:pPr>
              <w:rPr>
                <w:sz w:val="24"/>
                <w:szCs w:val="24"/>
              </w:rPr>
            </w:pPr>
            <w:r w:rsidRPr="00596B91">
              <w:rPr>
                <w:sz w:val="24"/>
                <w:szCs w:val="24"/>
              </w:rPr>
              <w:t xml:space="preserve">A person who lacks the mental capacity to consent to their care and treatment may also be vulnerable to making unsafe decisions regarding sexual activity if they are unable to fully understand, weigh or appreciate the risks associated with sexual relationships (Mental Capacity Act 2005). Difficulties arising from cognitive impairment, dementia, brain injury or learning disability may affect an individual's ability to recognise exploitation, identify coercive behaviour or protect themselves from harm. As a result, they may be at increased risk of sexual abuse and manipulation. Braye, Orr and Preston-Shoot (2015) highlight that safeguarding adults often involves balancing an individual's right to autonomy with the need to protect them from abuse, particularly where there are concerns regarding capacity, vulnerability and undue influence. From a social work perspective, this requires careful </w:t>
            </w:r>
            <w:r w:rsidRPr="00596B91">
              <w:rPr>
                <w:sz w:val="24"/>
                <w:szCs w:val="24"/>
              </w:rPr>
              <w:lastRenderedPageBreak/>
              <w:t xml:space="preserve">assessment, professional curiosity and multi-agency collaboration to ensure that any intervention promotes the individual's rights, dignity and well-being whilst reducing the risk of harm (Social Care Wales, </w:t>
            </w:r>
            <w:r w:rsidR="00C47BE6">
              <w:rPr>
                <w:sz w:val="24"/>
                <w:szCs w:val="24"/>
              </w:rPr>
              <w:t>2019</w:t>
            </w:r>
            <w:r w:rsidRPr="00596B91">
              <w:rPr>
                <w:sz w:val="24"/>
                <w:szCs w:val="24"/>
              </w:rPr>
              <w:t>). Where concerns arise regarding a person's capacity to consent to sexual activity, practitioners must ensure that safeguarding responses are person-centred, proportionate and informed by both legal and ethical considerations.</w:t>
            </w:r>
          </w:p>
          <w:p w14:paraId="55EAEC77" w14:textId="77777777" w:rsidR="007A3A43" w:rsidRPr="00596B91" w:rsidRDefault="007A3A43" w:rsidP="00596B91">
            <w:pPr>
              <w:rPr>
                <w:sz w:val="24"/>
                <w:szCs w:val="24"/>
              </w:rPr>
            </w:pPr>
          </w:p>
          <w:p w14:paraId="4E0B84C0" w14:textId="77777777" w:rsidR="00596B91" w:rsidRDefault="00596B91" w:rsidP="00596B91">
            <w:pPr>
              <w:rPr>
                <w:sz w:val="24"/>
                <w:szCs w:val="24"/>
              </w:rPr>
            </w:pPr>
            <w:r w:rsidRPr="00596B91">
              <w:rPr>
                <w:sz w:val="24"/>
                <w:szCs w:val="24"/>
              </w:rPr>
              <w:t>This highlights the importance of the assessment of individual’s needs, including those of a sexual nature when a citizen moves to a care home. After reading the details of the safeguarding report, I reflected on the nature of my enquiries and decided I needed to specifically ask whether the assessment of Citizen 2’s needs prior to moving to the care home, included their sexuality needs. Doing so would support the principles of the Equality Act 2010 and Human Rights Act 1998.</w:t>
            </w:r>
          </w:p>
          <w:p w14:paraId="7EE3CBEE" w14:textId="77777777" w:rsidR="007A3A43" w:rsidRPr="00596B91" w:rsidRDefault="007A3A43" w:rsidP="00596B91">
            <w:pPr>
              <w:rPr>
                <w:sz w:val="24"/>
                <w:szCs w:val="24"/>
              </w:rPr>
            </w:pPr>
          </w:p>
          <w:p w14:paraId="2AF0A2F3" w14:textId="77777777" w:rsidR="00596B91" w:rsidRDefault="00596B91" w:rsidP="00596B91">
            <w:pPr>
              <w:rPr>
                <w:sz w:val="24"/>
                <w:szCs w:val="24"/>
              </w:rPr>
            </w:pPr>
            <w:r w:rsidRPr="00596B91">
              <w:rPr>
                <w:sz w:val="24"/>
                <w:szCs w:val="24"/>
              </w:rPr>
              <w:t xml:space="preserve">Upon arriving at the care home, I spoke with the Care Home Manager to gain all relevant information and then arranged to speak with Citizen 2. </w:t>
            </w:r>
          </w:p>
          <w:p w14:paraId="75C9C786" w14:textId="77777777" w:rsidR="007A3A43" w:rsidRPr="00596B91" w:rsidRDefault="007A3A43" w:rsidP="00596B91">
            <w:pPr>
              <w:rPr>
                <w:sz w:val="24"/>
                <w:szCs w:val="24"/>
              </w:rPr>
            </w:pPr>
          </w:p>
          <w:p w14:paraId="6CA81F03" w14:textId="77777777" w:rsidR="00596B91" w:rsidRDefault="00596B91" w:rsidP="00596B91">
            <w:pPr>
              <w:rPr>
                <w:sz w:val="24"/>
                <w:szCs w:val="24"/>
              </w:rPr>
            </w:pPr>
            <w:r w:rsidRPr="00596B91">
              <w:rPr>
                <w:sz w:val="24"/>
                <w:szCs w:val="24"/>
              </w:rPr>
              <w:t>I began my conversation with Citizen 2 by introducing myself and explaining in simple terms the reason for my visit. I was mindful not to use social work jargon and kept my sentences brief and to the point. As Citizen 2 is living in a care home in Wales, I made the Active Offer of Welsh. Under the Welsh Language (Wales) Measure (2011), as a practicing social worker in Wales, I am required to adhere to this measure and ensure individuals I support are asked whether they prefer to have their assessment in Welsh rather than actively request it. Citizen 2 agreed that they would prefer to speak English.</w:t>
            </w:r>
          </w:p>
          <w:p w14:paraId="476FC1B8" w14:textId="77777777" w:rsidR="007A3A43" w:rsidRPr="00596B91" w:rsidRDefault="007A3A43" w:rsidP="00596B91">
            <w:pPr>
              <w:rPr>
                <w:sz w:val="24"/>
                <w:szCs w:val="24"/>
              </w:rPr>
            </w:pPr>
          </w:p>
          <w:p w14:paraId="08BAB506" w14:textId="5D157DE3" w:rsidR="00596B91" w:rsidRDefault="00596B91" w:rsidP="00596B91">
            <w:pPr>
              <w:rPr>
                <w:sz w:val="24"/>
                <w:szCs w:val="24"/>
              </w:rPr>
            </w:pPr>
            <w:r w:rsidRPr="00596B91">
              <w:rPr>
                <w:sz w:val="24"/>
                <w:szCs w:val="24"/>
              </w:rPr>
              <w:t>I discussed my role as a social worker and the nature of the safeguarding concerns, being mindful of respecting Citizen 2’s dignity and the environment in which the conversation was taking place. Due to the nature of the concerns, I had arranged for the discussion to take place in Citizen 2’s bedroom, where a sensitive conversation could be undertaken without the threat of others being privy to the details. Given the sensitive nature of the concerns, it was important to provide Citizen 2 with an opportunity to speak in private to ensure their views could be obtained without influence from others, consistent with person-centred safeguarding practice (Wales Safeguarding Procedures, 20</w:t>
            </w:r>
            <w:r w:rsidR="007639A2">
              <w:rPr>
                <w:sz w:val="24"/>
                <w:szCs w:val="24"/>
              </w:rPr>
              <w:t>19</w:t>
            </w:r>
            <w:r w:rsidRPr="00596B91">
              <w:rPr>
                <w:sz w:val="24"/>
                <w:szCs w:val="24"/>
              </w:rPr>
              <w:t>)</w:t>
            </w:r>
            <w:r w:rsidR="007A3A43">
              <w:rPr>
                <w:sz w:val="24"/>
                <w:szCs w:val="24"/>
              </w:rPr>
              <w:t>.</w:t>
            </w:r>
          </w:p>
          <w:p w14:paraId="68DD2142" w14:textId="77777777" w:rsidR="007A3A43" w:rsidRPr="00596B91" w:rsidRDefault="007A3A43" w:rsidP="00596B91">
            <w:pPr>
              <w:rPr>
                <w:sz w:val="24"/>
                <w:szCs w:val="24"/>
              </w:rPr>
            </w:pPr>
          </w:p>
          <w:p w14:paraId="7DBF4F43" w14:textId="3B90FDF1" w:rsidR="00596B91" w:rsidRDefault="00596B91" w:rsidP="00596B91">
            <w:pPr>
              <w:rPr>
                <w:sz w:val="24"/>
                <w:szCs w:val="24"/>
              </w:rPr>
            </w:pPr>
            <w:r w:rsidRPr="00596B91">
              <w:rPr>
                <w:sz w:val="24"/>
                <w:szCs w:val="24"/>
              </w:rPr>
              <w:t xml:space="preserve">Being mindful of the sensitive nature of the concerns and the fact that Citizen 2 was noted to experience difficulties with both short and long-term memory, I was aware that disclosing excessive information regarding the concerns could cause unnecessary distress, particularly if Citizen 2 had no recollection of the alleged incident. During the conversation, I utilised Schön's (1983) reflection-in-action by continuously evaluating Citizen 2's responses, emotional presentation and level of understanding. As the discussion progressed, I recognised that direct questioning about the alleged incident appeared to cause confusion and was unlikely to elicit reliable information. In response, I adapted my approach, moving away from detailed questions about the specific allegation and instead focusing on Citizen 2's general understanding of relationships, personal boundaries, consent and their current well-being. This enabled me to remain person-centred and trauma-informed, gathering relevant information whilst minimising the potential for distress. Using reflection-in-action allowed me to adjust my communication in real time, ensuring that the enquiry remained </w:t>
            </w:r>
            <w:r w:rsidRPr="00596B91">
              <w:rPr>
                <w:sz w:val="24"/>
                <w:szCs w:val="24"/>
              </w:rPr>
              <w:lastRenderedPageBreak/>
              <w:t>sensitive to Citizen 2's cognitive needs and consistent with the principles of dignity, respect and well-being in accordance with the Social Care Wales Code of Professional Practice (Social Care Wales, 20</w:t>
            </w:r>
            <w:r w:rsidR="00DF684D">
              <w:rPr>
                <w:sz w:val="24"/>
                <w:szCs w:val="24"/>
              </w:rPr>
              <w:t>17</w:t>
            </w:r>
            <w:r w:rsidRPr="00596B91">
              <w:rPr>
                <w:sz w:val="24"/>
                <w:szCs w:val="24"/>
              </w:rPr>
              <w:t>).</w:t>
            </w:r>
          </w:p>
          <w:p w14:paraId="171773B0" w14:textId="77777777" w:rsidR="00CD7BF7" w:rsidRPr="00596B91" w:rsidRDefault="00CD7BF7" w:rsidP="00596B91">
            <w:pPr>
              <w:rPr>
                <w:sz w:val="24"/>
                <w:szCs w:val="24"/>
              </w:rPr>
            </w:pPr>
          </w:p>
          <w:p w14:paraId="2F50C45D" w14:textId="77777777" w:rsidR="00596B91" w:rsidRDefault="00596B91" w:rsidP="00596B91">
            <w:pPr>
              <w:rPr>
                <w:sz w:val="24"/>
                <w:szCs w:val="24"/>
              </w:rPr>
            </w:pPr>
            <w:r w:rsidRPr="00596B91">
              <w:rPr>
                <w:sz w:val="24"/>
                <w:szCs w:val="24"/>
              </w:rPr>
              <w:t>As Citizen 2 had been assessed as lacking the mental capacity to consent to their care and treatment and was living with advanced dementia, it was necessary to consult with the individual holding Lasting Power of Attorney (LPA) for Health and Welfare. I sought the views of Citizen 2 about speaking to their offspring and Citizen 2 implied agreement by stating “oh yes, they know everything.” This ensured that any decisions regarding care, support and safeguarding were informed by knowledge of Citizen 2's wishes, values and preferences. Consultation with the attorney supports best-interest decision-making in accordance with the Mental Capacity Act 2005, which requires decision-makers to consider the person's past and present wishes, feelings, beliefs and values and to consult those involved in their care and welfare when making decisions on behalf of somebody who lacks capacity (Mental Capacity Act 2005). This helped ensure that interventions remained person-centred, proportionate and focused on promoting Citizen 2's well-being, dignity and safety.</w:t>
            </w:r>
          </w:p>
          <w:p w14:paraId="079B5634" w14:textId="77777777" w:rsidR="00CD7BF7" w:rsidRPr="00596B91" w:rsidRDefault="00CD7BF7" w:rsidP="00596B91">
            <w:pPr>
              <w:rPr>
                <w:sz w:val="24"/>
                <w:szCs w:val="24"/>
              </w:rPr>
            </w:pPr>
          </w:p>
          <w:p w14:paraId="4889E38D" w14:textId="77777777" w:rsidR="00596B91" w:rsidRDefault="00596B91" w:rsidP="00596B91">
            <w:pPr>
              <w:rPr>
                <w:sz w:val="24"/>
                <w:szCs w:val="24"/>
              </w:rPr>
            </w:pPr>
            <w:r w:rsidRPr="00596B91">
              <w:rPr>
                <w:sz w:val="24"/>
                <w:szCs w:val="24"/>
              </w:rPr>
              <w:t>I explained again to Citizen 2 that I would be contacting their offspring and asked if there was anything else Citizen 2 wanted to share whilst I was there. Citizen 2 was looking forward to a scheduled activity and wished me farewell.</w:t>
            </w:r>
          </w:p>
          <w:p w14:paraId="4E7E6AC4" w14:textId="77777777" w:rsidR="00CD7BF7" w:rsidRPr="00596B91" w:rsidRDefault="00CD7BF7" w:rsidP="00596B91">
            <w:pPr>
              <w:rPr>
                <w:sz w:val="24"/>
                <w:szCs w:val="24"/>
              </w:rPr>
            </w:pPr>
          </w:p>
          <w:p w14:paraId="6CEB61CD" w14:textId="77777777" w:rsidR="00596B91" w:rsidRDefault="00596B91" w:rsidP="00596B91">
            <w:pPr>
              <w:rPr>
                <w:sz w:val="24"/>
                <w:szCs w:val="24"/>
              </w:rPr>
            </w:pPr>
            <w:r w:rsidRPr="00596B91">
              <w:rPr>
                <w:sz w:val="24"/>
                <w:szCs w:val="24"/>
              </w:rPr>
              <w:t xml:space="preserve">Before returning to my office, I spoke to the Care Home Manager again to ascertain whether Citizen 2’s offspring had been informed of the incident. The Care Home Manager confirmed that the offspring had immediately been informed and was shaken and disturbed by the incident. </w:t>
            </w:r>
          </w:p>
          <w:p w14:paraId="4C1047A1" w14:textId="77777777" w:rsidR="00CD7BF7" w:rsidRPr="00596B91" w:rsidRDefault="00CD7BF7" w:rsidP="00596B91">
            <w:pPr>
              <w:rPr>
                <w:sz w:val="24"/>
                <w:szCs w:val="24"/>
              </w:rPr>
            </w:pPr>
          </w:p>
          <w:p w14:paraId="1D13DD8D" w14:textId="77777777" w:rsidR="00596B91" w:rsidRPr="00596B91" w:rsidRDefault="00596B91" w:rsidP="00596B91">
            <w:pPr>
              <w:rPr>
                <w:sz w:val="24"/>
                <w:szCs w:val="24"/>
              </w:rPr>
            </w:pPr>
            <w:r w:rsidRPr="00596B91">
              <w:rPr>
                <w:sz w:val="24"/>
                <w:szCs w:val="24"/>
              </w:rPr>
              <w:t>Information shared by the care home manager regarding the emotional impact of the allegation on Citizen 2's offspring enabled me to prepare for the telephone conversation in a sensitive and informed manner. Effective information sharing between professionals supports a more holistic understanding of an individual's circumstances and promotes better outcomes through coordinated intervention, consistent with the duty to cooperate contained within the Social Services and Well-being (Wales) Act 2014. Understanding that the adult child was distressed by the concerns allowed me to adapt my communication style, provide reassurance where appropriate, and acknowledge the impact the allegation was having on them. This reflected the principles of trauma-informed practice, which emphasise creating environments where people feel safe, supported and able to participate in discussions affecting them (Trauma-Informed Wales Framework, 2022). By responding sensitively to the information shared, I was able to build rapport, encourage engagement and create an environment in which the family member felt able to discuss their concerns openly. This supported person-centred practice and effective information gathering, enabling Citizen 2's circumstances to be understood more fully and contributing to informed safeguarding decision-making (Braye, Orr and Preston-Shoot, 2015).</w:t>
            </w:r>
          </w:p>
          <w:p w14:paraId="1E27293D" w14:textId="77777777" w:rsidR="00596B91" w:rsidRPr="00596B91" w:rsidRDefault="00596B91" w:rsidP="00596B91">
            <w:pPr>
              <w:rPr>
                <w:sz w:val="24"/>
                <w:szCs w:val="24"/>
              </w:rPr>
            </w:pPr>
          </w:p>
          <w:p w14:paraId="5F65D9C8" w14:textId="622AAFEE" w:rsidR="00596B91" w:rsidRDefault="00596B91" w:rsidP="00596B91">
            <w:pPr>
              <w:rPr>
                <w:sz w:val="24"/>
                <w:szCs w:val="24"/>
              </w:rPr>
            </w:pPr>
            <w:r w:rsidRPr="00596B91">
              <w:rPr>
                <w:sz w:val="24"/>
                <w:szCs w:val="24"/>
              </w:rPr>
              <w:t xml:space="preserve">Whilst remaining sensitive to the nature of the safeguarding referral, I explained to Offspring 1, the nature of the enquiries I was undertaking under duties in accordance with Section 126 </w:t>
            </w:r>
            <w:r w:rsidRPr="00596B91">
              <w:rPr>
                <w:sz w:val="24"/>
                <w:szCs w:val="24"/>
              </w:rPr>
              <w:lastRenderedPageBreak/>
              <w:t>of the Social Services and Well-being (Wales) Act 2014. In line with Section 126, a safeguarding enquiry was being undertaken to establish the facts, evaluate risk and determine whether further action was required to protect Citizen 2 from abuse or neglect. I remained focused that enquiries should be person-centred, proportionate and normally completed within seven working days of the referral being received (Wales Safeguarding Procedures, 20</w:t>
            </w:r>
            <w:r w:rsidR="00F60FDD">
              <w:rPr>
                <w:sz w:val="24"/>
                <w:szCs w:val="24"/>
              </w:rPr>
              <w:t>19</w:t>
            </w:r>
            <w:r w:rsidRPr="00596B91">
              <w:rPr>
                <w:sz w:val="24"/>
                <w:szCs w:val="24"/>
              </w:rPr>
              <w:t>).</w:t>
            </w:r>
          </w:p>
          <w:p w14:paraId="2C07AB7B" w14:textId="77777777" w:rsidR="00CD7BF7" w:rsidRPr="00596B91" w:rsidRDefault="00CD7BF7" w:rsidP="00596B91">
            <w:pPr>
              <w:rPr>
                <w:sz w:val="24"/>
                <w:szCs w:val="24"/>
              </w:rPr>
            </w:pPr>
          </w:p>
          <w:p w14:paraId="6160B894" w14:textId="1FBBA9B0" w:rsidR="00596B91" w:rsidRPr="00596B91" w:rsidRDefault="00596B91" w:rsidP="00596B91">
            <w:pPr>
              <w:rPr>
                <w:sz w:val="24"/>
                <w:szCs w:val="24"/>
              </w:rPr>
            </w:pPr>
            <w:r w:rsidRPr="00596B91">
              <w:rPr>
                <w:sz w:val="24"/>
                <w:szCs w:val="24"/>
              </w:rPr>
              <w:t xml:space="preserve">In accordance with </w:t>
            </w:r>
            <w:r w:rsidRPr="00CD7BF7">
              <w:rPr>
                <w:sz w:val="24"/>
                <w:szCs w:val="24"/>
              </w:rPr>
              <w:t>Section 126 of the Social Services and Well-being (Wales) Act 2014,</w:t>
            </w:r>
            <w:r w:rsidRPr="00596B91">
              <w:rPr>
                <w:sz w:val="24"/>
                <w:szCs w:val="24"/>
              </w:rPr>
              <w:t xml:space="preserve"> a safeguarding enquiry was undertaken to establish the facts, evaluate risk and determine whether further action was required to protect Citizen 2 from abuse or neglect. Such enquiries should be person-centred, proportionate and normally completed within seven working days of the referral being received (Wales Safeguarding Procedures, 20</w:t>
            </w:r>
            <w:r w:rsidR="00BB6564">
              <w:rPr>
                <w:sz w:val="24"/>
                <w:szCs w:val="24"/>
              </w:rPr>
              <w:t>19</w:t>
            </w:r>
            <w:r w:rsidRPr="00596B91">
              <w:rPr>
                <w:sz w:val="24"/>
                <w:szCs w:val="24"/>
              </w:rPr>
              <w:t>)</w:t>
            </w:r>
          </w:p>
          <w:p w14:paraId="5695E752" w14:textId="77777777" w:rsidR="00596B91" w:rsidRDefault="00596B91" w:rsidP="00596B91">
            <w:pPr>
              <w:rPr>
                <w:sz w:val="24"/>
                <w:szCs w:val="24"/>
              </w:rPr>
            </w:pPr>
            <w:r w:rsidRPr="00596B91">
              <w:rPr>
                <w:sz w:val="24"/>
                <w:szCs w:val="24"/>
              </w:rPr>
              <w:t>Offspring 1 was already aware of the allegations and expressed their feelings of shock and disappointment as they expressed Citizen 2 as always being a very private person, who had only ever had one sexual partner to whom they were married to for over 50 years. We discussed the details contained in the adult safeguarding report and the conversations held with Citizen 2 after the incident had been discovered by care home staff. Citizen 2 had been heard to clearly and explicitly tell staff to “go away” and “leave us alone” when it was discovered Citizen 2 was in the bedroom of the alleged perpetrator. Offspring 1 added that Citizen 2 had shared during a recent visit to Offspring 1’s home that Citizen 2 had removed their wedding band as they did not feel the need to wear them anymore and they did not wish to be “told off” about it. Offspring 1 added that Citizen 2 had offered that they had a very good friend at the care home whom they loved spending time with and staff reported the couple were often seen holding hands and sitting next to each other in the communal day room.</w:t>
            </w:r>
          </w:p>
          <w:p w14:paraId="52127D36" w14:textId="77777777" w:rsidR="005B55C8" w:rsidRPr="00596B91" w:rsidRDefault="005B55C8" w:rsidP="00596B91">
            <w:pPr>
              <w:rPr>
                <w:sz w:val="24"/>
                <w:szCs w:val="24"/>
              </w:rPr>
            </w:pPr>
          </w:p>
          <w:p w14:paraId="4FD821A9" w14:textId="77777777" w:rsidR="00596B91" w:rsidRDefault="00596B91" w:rsidP="00596B91">
            <w:pPr>
              <w:rPr>
                <w:sz w:val="24"/>
                <w:szCs w:val="24"/>
              </w:rPr>
            </w:pPr>
            <w:r w:rsidRPr="00596B91">
              <w:rPr>
                <w:sz w:val="24"/>
                <w:szCs w:val="24"/>
              </w:rPr>
              <w:t xml:space="preserve">It was clear, throughout our conversation that Offspring 1 was struggling with the knowledge and possibility that Citizen 2 had actively sought sexual activity with an individual other than their spouse. Adopting a </w:t>
            </w:r>
            <w:r w:rsidRPr="005B55C8">
              <w:rPr>
                <w:sz w:val="24"/>
                <w:szCs w:val="24"/>
              </w:rPr>
              <w:t>Systems Theory perspective enabled me to consider not only the impact of the allegation on Citizen 2 but also the impact on their offspring and wider support network. Systems Theory recognises that individuals exist within a range of interconnected systems and that changes within one part of the system can influence all others (Payne, 2020). Information obtained directly from Citizen 2 provided insight into their understanding of relationships, personal boundaries and current well-being. Discussions with Offspring 1 helped me understand Citizen 2's life history, previous values, family relationships and the emotional impact that the allegation had upon those closest to them. Information from care home staff provided factual accounts of the incident, observations of Citizen 2's behaviour and details regarding the care home's response to managing risk. Collaboration with social workers enabled information sharing regarding Citizen 2's existing care and support needs, safeguarding history and professional assessment of risk, whilst consultation with the LPA for Health and Welfare ensured that decisions were informed by knowledge of Citizen 2's wishes, values and previously expressed preferences. By analysing information from these interconnected systems, I was able to develop a more holistic understanding of the concerns, evaluate both risk and protective factors, and make evidence-informed safeguarding decisions that promoted Citizen 2's well-being and safety.</w:t>
            </w:r>
          </w:p>
          <w:p w14:paraId="6A2FCAF0" w14:textId="77777777" w:rsidR="005B55C8" w:rsidRPr="005B55C8" w:rsidRDefault="005B55C8" w:rsidP="00596B91">
            <w:pPr>
              <w:rPr>
                <w:sz w:val="24"/>
                <w:szCs w:val="24"/>
              </w:rPr>
            </w:pPr>
          </w:p>
          <w:p w14:paraId="31902750" w14:textId="77777777" w:rsidR="00596B91" w:rsidRDefault="00596B91" w:rsidP="00596B91">
            <w:pPr>
              <w:rPr>
                <w:sz w:val="24"/>
                <w:szCs w:val="24"/>
              </w:rPr>
            </w:pPr>
            <w:r w:rsidRPr="005B55C8">
              <w:rPr>
                <w:sz w:val="24"/>
                <w:szCs w:val="24"/>
              </w:rPr>
              <w:lastRenderedPageBreak/>
              <w:t xml:space="preserve">It became clear that Offspring 1 was grieving for the loss of who Citizen 2 was prior to their diagnosis. We discussed how evidence from dementia research and practice guidance that some people living with dementia can experience behavioural and psychological changes, including a loss of social or sexual inhibitions (Dementia UK, 2023). </w:t>
            </w:r>
          </w:p>
          <w:p w14:paraId="1AA7EC00" w14:textId="77777777" w:rsidR="005B55C8" w:rsidRPr="005B55C8" w:rsidRDefault="005B55C8" w:rsidP="00596B91">
            <w:pPr>
              <w:rPr>
                <w:sz w:val="24"/>
                <w:szCs w:val="24"/>
              </w:rPr>
            </w:pPr>
          </w:p>
          <w:p w14:paraId="0240F684" w14:textId="134F4B7C" w:rsidR="00596B91" w:rsidRDefault="00596B91" w:rsidP="00596B91">
            <w:pPr>
              <w:rPr>
                <w:sz w:val="24"/>
                <w:szCs w:val="24"/>
              </w:rPr>
            </w:pPr>
            <w:r w:rsidRPr="005B55C8">
              <w:rPr>
                <w:sz w:val="24"/>
                <w:szCs w:val="24"/>
              </w:rPr>
              <w:t>Research indicates that dementia can affect an individual's behaviour, judgement and ability to recognise socially appropriate boundaries. As dementia progresses, some individuals may experience a loss of inhibitions, which can result in sexually inappropriate comments, behaviours or actions that are inconsistent with their previous behaviour. These changes are not necessarily deliberate and may arise from changes in brain functioning, difficulties understanding social cues, impaired judgement or confusion regarding relationships and personal boundaries. Loss of sexual inhibition has been identified as being particularly associated with some forms of dementia, including frontotemporal dementia (FTD) (Dementia UK, 2023).</w:t>
            </w:r>
          </w:p>
          <w:p w14:paraId="4C9ECA47" w14:textId="77777777" w:rsidR="005B55C8" w:rsidRPr="005B55C8" w:rsidRDefault="005B55C8" w:rsidP="00596B91">
            <w:pPr>
              <w:rPr>
                <w:sz w:val="24"/>
                <w:szCs w:val="24"/>
              </w:rPr>
            </w:pPr>
          </w:p>
          <w:p w14:paraId="113DE040" w14:textId="5BAFFB8D" w:rsidR="00596B91" w:rsidRPr="005B55C8" w:rsidRDefault="00596B91" w:rsidP="00596B91">
            <w:pPr>
              <w:rPr>
                <w:sz w:val="24"/>
                <w:szCs w:val="24"/>
              </w:rPr>
            </w:pPr>
            <w:r w:rsidRPr="005B55C8">
              <w:rPr>
                <w:sz w:val="24"/>
                <w:szCs w:val="24"/>
              </w:rPr>
              <w:t>Upon ending my conversation with Offspring 1, I engaged in a conversation with my line manager, providing an update on all enquiries in line with the principles of the Wales Safeguarding Procedures (Wales Safeguarding Procedures 20</w:t>
            </w:r>
            <w:r w:rsidR="00CC25BE">
              <w:rPr>
                <w:sz w:val="24"/>
                <w:szCs w:val="24"/>
              </w:rPr>
              <w:t>19</w:t>
            </w:r>
            <w:r w:rsidRPr="005B55C8">
              <w:rPr>
                <w:sz w:val="24"/>
                <w:szCs w:val="24"/>
              </w:rPr>
              <w:t>). The Wales Safeguarding Procedures state that such enquiries should normally be completed within seven working days of receipt of the report, ensuring that concerns regarding abuse or neglect are addressed promptly and proportionately (Wales Safeguarding Procedures, 20</w:t>
            </w:r>
            <w:r w:rsidR="00CC25BE">
              <w:rPr>
                <w:sz w:val="24"/>
                <w:szCs w:val="24"/>
              </w:rPr>
              <w:t>19</w:t>
            </w:r>
            <w:r w:rsidRPr="005B55C8">
              <w:rPr>
                <w:sz w:val="24"/>
                <w:szCs w:val="24"/>
              </w:rPr>
              <w:t>)</w:t>
            </w:r>
          </w:p>
          <w:p w14:paraId="0DD0B6DF" w14:textId="77777777" w:rsidR="00596B91" w:rsidRDefault="00596B91" w:rsidP="00596B91">
            <w:pPr>
              <w:rPr>
                <w:sz w:val="24"/>
                <w:szCs w:val="24"/>
              </w:rPr>
            </w:pPr>
            <w:r w:rsidRPr="005B55C8">
              <w:rPr>
                <w:sz w:val="24"/>
                <w:szCs w:val="24"/>
              </w:rPr>
              <w:t>I was advised to speak again to the Care Home Manager to obtain more information about the alleged perpetrator and whether there had been any previous incident reported and specifically, what had been done to prevent future occurrences.</w:t>
            </w:r>
          </w:p>
          <w:p w14:paraId="07804D3F" w14:textId="77777777" w:rsidR="005B55C8" w:rsidRPr="005B55C8" w:rsidRDefault="005B55C8" w:rsidP="00596B91">
            <w:pPr>
              <w:rPr>
                <w:sz w:val="24"/>
                <w:szCs w:val="24"/>
              </w:rPr>
            </w:pPr>
          </w:p>
          <w:p w14:paraId="1B04354C" w14:textId="77777777" w:rsidR="00596B91" w:rsidRDefault="00596B91" w:rsidP="00596B91">
            <w:pPr>
              <w:rPr>
                <w:sz w:val="24"/>
                <w:szCs w:val="24"/>
              </w:rPr>
            </w:pPr>
            <w:r w:rsidRPr="005B55C8">
              <w:rPr>
                <w:sz w:val="24"/>
                <w:szCs w:val="24"/>
              </w:rPr>
              <w:t xml:space="preserve">Following this conversation, it was agreed a risk management plan would be </w:t>
            </w:r>
            <w:proofErr w:type="gramStart"/>
            <w:r w:rsidRPr="005B55C8">
              <w:rPr>
                <w:sz w:val="24"/>
                <w:szCs w:val="24"/>
              </w:rPr>
              <w:t>created</w:t>
            </w:r>
            <w:proofErr w:type="gramEnd"/>
            <w:r w:rsidRPr="005B55C8">
              <w:rPr>
                <w:sz w:val="24"/>
                <w:szCs w:val="24"/>
              </w:rPr>
              <w:t xml:space="preserve"> and the alleged perpetrator would be subject to increase monitoring every 15 minutes to minimise risk. In addition, contact was made with Citizen 2 and the alleged perpetrator’s social work teams to request an immediate review of their care and support plans in line with the Act (Welsh Government, 2014). </w:t>
            </w:r>
          </w:p>
          <w:p w14:paraId="496154FB" w14:textId="77777777" w:rsidR="005B55C8" w:rsidRPr="005B55C8" w:rsidRDefault="005B55C8" w:rsidP="00596B91">
            <w:pPr>
              <w:rPr>
                <w:sz w:val="24"/>
                <w:szCs w:val="24"/>
              </w:rPr>
            </w:pPr>
          </w:p>
          <w:p w14:paraId="0B7D6580" w14:textId="77777777" w:rsidR="00596B91" w:rsidRDefault="00596B91" w:rsidP="00596B91">
            <w:pPr>
              <w:rPr>
                <w:sz w:val="24"/>
                <w:szCs w:val="24"/>
              </w:rPr>
            </w:pPr>
            <w:r w:rsidRPr="005B55C8">
              <w:rPr>
                <w:sz w:val="24"/>
                <w:szCs w:val="24"/>
              </w:rPr>
              <w:t>When considering the circumstances of the alleged incident, it was important to explore whether Citizen 2 understood the nature of the relationship and was able to provide informed consent. Capacity to engage in sexual relations requires careful consideration of an individual's understanding, choice and vulnerability to exploitation (Codling, Pritchard-Jones and Clough, 2026). Discussion with Citizen 2’s social work practitioner resulted in my recommendation to conduct a Mental Capacity Assessment regarding consent to sexual activity (Mental Capacity Act, 2005).</w:t>
            </w:r>
          </w:p>
          <w:p w14:paraId="1C09430C" w14:textId="77777777" w:rsidR="005B55C8" w:rsidRPr="005B55C8" w:rsidRDefault="005B55C8" w:rsidP="00596B91">
            <w:pPr>
              <w:rPr>
                <w:sz w:val="24"/>
                <w:szCs w:val="24"/>
              </w:rPr>
            </w:pPr>
          </w:p>
          <w:p w14:paraId="64AB9E83" w14:textId="3B154F19" w:rsidR="00596B91" w:rsidRDefault="00596B91" w:rsidP="00596B91">
            <w:pPr>
              <w:rPr>
                <w:sz w:val="24"/>
                <w:szCs w:val="24"/>
              </w:rPr>
            </w:pPr>
            <w:r w:rsidRPr="005B55C8">
              <w:rPr>
                <w:sz w:val="24"/>
                <w:szCs w:val="24"/>
              </w:rPr>
              <w:t>On completion of the safeguarding enquiry, Citizen 2 was determined to be an adult no longer at risk of abuse or neglect. Whilst concerns regarding potential sexual abuse had been thoroughly explored, enquiries undertaken under Section 126 of the Social Services and Well-being (Wales) Act 2014 did not identify sufficient evidence to substantiate that sexual abuse had occurred. Consideration was given to issues of consent; however, due to uncertainty regarding the circumstances of the incident, no definitive conclusions could be reached. In accordance with the Wales Safeguarding Procedures</w:t>
            </w:r>
            <w:r w:rsidR="00B6370B">
              <w:rPr>
                <w:sz w:val="24"/>
                <w:szCs w:val="24"/>
              </w:rPr>
              <w:t xml:space="preserve"> (Social Care Wales, </w:t>
            </w:r>
            <w:r w:rsidR="00B6370B">
              <w:rPr>
                <w:sz w:val="24"/>
                <w:szCs w:val="24"/>
              </w:rPr>
              <w:lastRenderedPageBreak/>
              <w:t>2019)</w:t>
            </w:r>
            <w:r w:rsidRPr="005B55C8">
              <w:rPr>
                <w:sz w:val="24"/>
                <w:szCs w:val="24"/>
              </w:rPr>
              <w:t>, enquiries focused on establishing the facts, evaluating risk and determining whether further safeguarding action was required. As a multi-agency risk management plan had been implemented to address identified concerns and mitigate the risk of future occurrences, no ongoing risk of abuse or neglect was identified. It was therefore concluded that Citizen 2 no longer met the threshold of an adult at risk and that safeguarding intervention could be closed with appropriate monitoring arrangements remaining in place (Wales Safeguarding Procedures, 20</w:t>
            </w:r>
            <w:r w:rsidR="009D3E75">
              <w:rPr>
                <w:sz w:val="24"/>
                <w:szCs w:val="24"/>
              </w:rPr>
              <w:t>19</w:t>
            </w:r>
            <w:r w:rsidRPr="005B55C8">
              <w:rPr>
                <w:sz w:val="24"/>
                <w:szCs w:val="24"/>
              </w:rPr>
              <w:t xml:space="preserve">). </w:t>
            </w:r>
          </w:p>
          <w:p w14:paraId="730F99DB" w14:textId="77777777" w:rsidR="009D3E75" w:rsidRPr="005B55C8" w:rsidRDefault="009D3E75" w:rsidP="00596B91">
            <w:pPr>
              <w:rPr>
                <w:sz w:val="24"/>
                <w:szCs w:val="24"/>
              </w:rPr>
            </w:pPr>
          </w:p>
          <w:p w14:paraId="26ECFE94" w14:textId="55033548" w:rsidR="00596B91" w:rsidRDefault="00596B91" w:rsidP="00596B91">
            <w:pPr>
              <w:rPr>
                <w:sz w:val="24"/>
                <w:szCs w:val="24"/>
              </w:rPr>
            </w:pPr>
            <w:r w:rsidRPr="005B55C8">
              <w:rPr>
                <w:sz w:val="24"/>
                <w:szCs w:val="24"/>
              </w:rPr>
              <w:t>The safeguarding enquiry highlighted the need to balance Citizen 2's rights, autonomy and self-determination with the duty to protect them from harm. This is consistent with the principles of the United Nations Convention on the Rights of Persons with Disabilities (</w:t>
            </w:r>
            <w:r w:rsidR="00BF51A4">
              <w:rPr>
                <w:sz w:val="24"/>
                <w:szCs w:val="24"/>
              </w:rPr>
              <w:t>United Nations 2006</w:t>
            </w:r>
            <w:r w:rsidRPr="005B55C8">
              <w:rPr>
                <w:sz w:val="24"/>
                <w:szCs w:val="24"/>
              </w:rPr>
              <w:t xml:space="preserve">), which promotes that people with disabilities, including cognitive impairments, should have their rights, dignity, autonomy and participation upheld whilst being protected from abuse. </w:t>
            </w:r>
          </w:p>
          <w:p w14:paraId="6F5D8683" w14:textId="77777777" w:rsidR="005B55C8" w:rsidRPr="005B55C8" w:rsidRDefault="005B55C8" w:rsidP="00596B91">
            <w:pPr>
              <w:rPr>
                <w:sz w:val="24"/>
                <w:szCs w:val="24"/>
              </w:rPr>
            </w:pPr>
          </w:p>
          <w:p w14:paraId="6CEF3853" w14:textId="60DF9C45" w:rsidR="00596B91" w:rsidRDefault="00596B91" w:rsidP="00596B91">
            <w:pPr>
              <w:rPr>
                <w:sz w:val="24"/>
                <w:szCs w:val="24"/>
              </w:rPr>
            </w:pPr>
            <w:r w:rsidRPr="005B55C8">
              <w:rPr>
                <w:sz w:val="24"/>
                <w:szCs w:val="24"/>
              </w:rPr>
              <w:t xml:space="preserve">I was confident that the safeguarding enquiry was also informed by wider human rights principles. Article 8 of the European Convention on Human Rights </w:t>
            </w:r>
            <w:r w:rsidR="000B5069">
              <w:rPr>
                <w:sz w:val="24"/>
                <w:szCs w:val="24"/>
              </w:rPr>
              <w:t xml:space="preserve">(Council of Europe, 1950) </w:t>
            </w:r>
            <w:r w:rsidRPr="005B55C8">
              <w:rPr>
                <w:sz w:val="24"/>
                <w:szCs w:val="24"/>
              </w:rPr>
              <w:t>supports an individual's right to respect for private and family life, whilst safeguarding legislation places duties on professionals to intervene where there is a risk of abuse or neglect. This demonstrates how safeguarding practice in Wales is influenced not only by Welsh legislation but also by wider UK and international human rights frameworks.</w:t>
            </w:r>
          </w:p>
          <w:p w14:paraId="423CC808" w14:textId="77777777" w:rsidR="005B55C8" w:rsidRPr="005B55C8" w:rsidRDefault="005B55C8" w:rsidP="00596B91">
            <w:pPr>
              <w:rPr>
                <w:sz w:val="24"/>
                <w:szCs w:val="24"/>
              </w:rPr>
            </w:pPr>
          </w:p>
          <w:p w14:paraId="3050A9B6" w14:textId="68C78FB6" w:rsidR="00596B91" w:rsidRPr="005B55C8" w:rsidRDefault="00596B91" w:rsidP="00596B91">
            <w:pPr>
              <w:rPr>
                <w:sz w:val="24"/>
                <w:szCs w:val="24"/>
              </w:rPr>
            </w:pPr>
            <w:r w:rsidRPr="005B55C8">
              <w:rPr>
                <w:sz w:val="24"/>
                <w:szCs w:val="24"/>
              </w:rPr>
              <w:t>Whilst the enquiry concluded that sexual abuse could not be evidenced and that Citizen 2 no longer met the threshold of an adult at risk, the process reinforced that safeguarding practice often involves working with uncertainty rather than achieving definitive answers. In line with the Wales Safeguarding Procedures, safeguarding enquiries require practitioners to gather, review and evaluate information to determine risk and identify proportionate actions. This highlights the importance of professional judgement in situations where evidence is incomplete, conflicting or open to interpretation (Wales Safeguarding Procedures, 20</w:t>
            </w:r>
            <w:r w:rsidR="00805E95">
              <w:rPr>
                <w:sz w:val="24"/>
                <w:szCs w:val="24"/>
              </w:rPr>
              <w:t>19</w:t>
            </w:r>
            <w:r w:rsidRPr="005B55C8">
              <w:rPr>
                <w:sz w:val="24"/>
                <w:szCs w:val="24"/>
              </w:rPr>
              <w:t>).</w:t>
            </w:r>
          </w:p>
          <w:p w14:paraId="218B71C7" w14:textId="77777777" w:rsidR="00596B91" w:rsidRDefault="00596B91" w:rsidP="00596B91">
            <w:pPr>
              <w:rPr>
                <w:sz w:val="24"/>
                <w:szCs w:val="24"/>
              </w:rPr>
            </w:pPr>
            <w:r w:rsidRPr="005B55C8">
              <w:rPr>
                <w:sz w:val="24"/>
                <w:szCs w:val="24"/>
              </w:rPr>
              <w:t xml:space="preserve">Critically reflecting on my practice, I recognise that I adapted my communication effectively to meet Citizen 2's cognitive and emotional needs and used reflection-in-action to modify my approach when direct questioning appeared to cause confusion. However, the enquiry also highlighted the challenges of establishing the voice of a person living with advanced dementia whilst balancing information provided by family members and professionals. </w:t>
            </w:r>
          </w:p>
          <w:p w14:paraId="6296B36B" w14:textId="77777777" w:rsidR="00CC4B77" w:rsidRPr="005B55C8" w:rsidRDefault="00CC4B77" w:rsidP="00596B91">
            <w:pPr>
              <w:rPr>
                <w:sz w:val="24"/>
                <w:szCs w:val="24"/>
              </w:rPr>
            </w:pPr>
          </w:p>
          <w:p w14:paraId="7D989DC8" w14:textId="77777777" w:rsidR="00596B91" w:rsidRDefault="00596B91" w:rsidP="00596B91">
            <w:pPr>
              <w:rPr>
                <w:sz w:val="24"/>
                <w:szCs w:val="24"/>
              </w:rPr>
            </w:pPr>
            <w:r w:rsidRPr="005B55C8">
              <w:rPr>
                <w:sz w:val="24"/>
                <w:szCs w:val="24"/>
              </w:rPr>
              <w:t>The enquiry enhanced my understanding of the impact safeguarding concerns can have on family members and the importance of recognising their support needs alongside those of the adult at risk. Whilst information sharing and partnership working ultimately contributed to a positive outcome, the case reinforced the need to remain aware of how assumptions, historical information and organisational narratives can influence professional judgement. Going forward, I will continue to use reflective practice, supervision and research-informed learning to strengthen my confidence when managing complex safeguarding concerns involving capacity, consent, sexuality and risk. This experience has reinforced that effective safeguarding is not solely about determining whether abuse occurred, but about ensuring that risks are appropriately assessed, protective measures are proportionate, and the rights, dignity and well-being of the individual remain central throughout the process.</w:t>
            </w:r>
          </w:p>
          <w:p w14:paraId="76807337" w14:textId="77777777" w:rsidR="00CC4B77" w:rsidRPr="005B55C8" w:rsidRDefault="00CC4B77" w:rsidP="00596B91">
            <w:pPr>
              <w:rPr>
                <w:sz w:val="24"/>
                <w:szCs w:val="24"/>
              </w:rPr>
            </w:pPr>
          </w:p>
          <w:p w14:paraId="62E9EE3A" w14:textId="2FA1AACC" w:rsidR="00596B91" w:rsidRDefault="00596B91" w:rsidP="00596B91">
            <w:pPr>
              <w:rPr>
                <w:sz w:val="24"/>
                <w:szCs w:val="24"/>
              </w:rPr>
            </w:pPr>
            <w:r w:rsidRPr="005B55C8">
              <w:rPr>
                <w:sz w:val="24"/>
                <w:szCs w:val="24"/>
              </w:rPr>
              <w:t xml:space="preserve">Additionally, the enquiry was informed by wider human rights frameworks, including Article 8 of the European Convention on Human Rights </w:t>
            </w:r>
            <w:r w:rsidR="000242B5">
              <w:rPr>
                <w:sz w:val="24"/>
                <w:szCs w:val="24"/>
              </w:rPr>
              <w:t xml:space="preserve">(Council of Europe, 1950) </w:t>
            </w:r>
            <w:r w:rsidRPr="005B55C8">
              <w:rPr>
                <w:sz w:val="24"/>
                <w:szCs w:val="24"/>
              </w:rPr>
              <w:t>and the United Nations Convention on the Rights of Persons with Disabilities (</w:t>
            </w:r>
            <w:r w:rsidR="000242B5">
              <w:rPr>
                <w:sz w:val="24"/>
                <w:szCs w:val="24"/>
              </w:rPr>
              <w:t>United Nations, 2006</w:t>
            </w:r>
            <w:r w:rsidRPr="005B55C8">
              <w:rPr>
                <w:sz w:val="24"/>
                <w:szCs w:val="24"/>
              </w:rPr>
              <w:t>), which promote dignity, participation, autonomy and freedom from exploitation, violence and abuse. These principles supported a person-centred approach and informed professional judgement when balancing Citizen 2's right to private and family life with the duty to protect them from harm (Welsh Government, 2014).</w:t>
            </w:r>
          </w:p>
          <w:p w14:paraId="45FA2B3C" w14:textId="77777777" w:rsidR="00CC4B77" w:rsidRPr="005B55C8" w:rsidRDefault="00CC4B77" w:rsidP="00596B91">
            <w:pPr>
              <w:rPr>
                <w:sz w:val="24"/>
                <w:szCs w:val="24"/>
              </w:rPr>
            </w:pPr>
          </w:p>
          <w:p w14:paraId="4365088D" w14:textId="26519CE6" w:rsidR="00596B91" w:rsidRDefault="00596B91" w:rsidP="00596B91">
            <w:pPr>
              <w:rPr>
                <w:sz w:val="24"/>
                <w:szCs w:val="24"/>
              </w:rPr>
            </w:pPr>
            <w:r w:rsidRPr="005B55C8">
              <w:rPr>
                <w:sz w:val="24"/>
                <w:szCs w:val="24"/>
              </w:rPr>
              <w:t>In future, I would seek an earlier opportunity to speak with Citizen 2 independently before receiving extensive information from others. This is important because safeguarding enquiries should remain person-centred and seek to ensure that the adult's voice, wishes and experiences are heard directly wherever possible (Wales Safeguarding Procedures, 20</w:t>
            </w:r>
            <w:r w:rsidR="000242B5">
              <w:rPr>
                <w:sz w:val="24"/>
                <w:szCs w:val="24"/>
              </w:rPr>
              <w:t>19</w:t>
            </w:r>
            <w:r w:rsidRPr="005B55C8">
              <w:rPr>
                <w:sz w:val="24"/>
                <w:szCs w:val="24"/>
              </w:rPr>
              <w:t>). Speaking with Citizen 2 at an earlier stage may have enabled me to gain a clearer understanding of their perspective before it was influenced by the accounts of family members or professionals. It would also have better supported professional curiosity and reduced the risk of unconscious bias affecting my interpretation of the situation. The Wales Safeguarding Procedures emphasise the importance of ensuring that adults are involved in safeguarding processes and that enquiries remain focused on their views, wishes and outcomes (Wales Safeguarding Procedures, 20</w:t>
            </w:r>
            <w:r w:rsidR="000242B5">
              <w:rPr>
                <w:sz w:val="24"/>
                <w:szCs w:val="24"/>
              </w:rPr>
              <w:t>19</w:t>
            </w:r>
            <w:r w:rsidRPr="005B55C8">
              <w:rPr>
                <w:sz w:val="24"/>
                <w:szCs w:val="24"/>
              </w:rPr>
              <w:t>). Furthermore, undertaking an independent conversation can help identify issues such as coercion, undue influence or differing accounts of events that may not emerge when others are present. By hearing Citizen 2's views directly at the earliest opportunity, I would have been better placed to promote voice, choice and control, whilst ensuring that any subsequent safeguarding assessment was informed by their experiences as well as the perspectives of others (Wales Safeguarding Procedures, 20</w:t>
            </w:r>
            <w:r w:rsidR="00792C82">
              <w:rPr>
                <w:sz w:val="24"/>
                <w:szCs w:val="24"/>
              </w:rPr>
              <w:t>19</w:t>
            </w:r>
            <w:r w:rsidRPr="005B55C8">
              <w:rPr>
                <w:sz w:val="24"/>
                <w:szCs w:val="24"/>
              </w:rPr>
              <w:t>, Section 3, Part 1).</w:t>
            </w:r>
          </w:p>
          <w:p w14:paraId="6848BB76" w14:textId="77777777" w:rsidR="00CC4B77" w:rsidRPr="005B55C8" w:rsidRDefault="00CC4B77" w:rsidP="00596B91">
            <w:pPr>
              <w:rPr>
                <w:sz w:val="24"/>
                <w:szCs w:val="24"/>
              </w:rPr>
            </w:pPr>
          </w:p>
          <w:p w14:paraId="1605EF21" w14:textId="77777777" w:rsidR="00596B91" w:rsidRPr="005B55C8" w:rsidRDefault="00596B91" w:rsidP="00596B91">
            <w:pPr>
              <w:rPr>
                <w:sz w:val="24"/>
                <w:szCs w:val="24"/>
              </w:rPr>
            </w:pPr>
            <w:r w:rsidRPr="005B55C8">
              <w:rPr>
                <w:sz w:val="24"/>
                <w:szCs w:val="24"/>
              </w:rPr>
              <w:t>This experience has strengthened my confidence in managing complex safeguarding situations and highlighted the importance of ongoing reflective practice, supervision and evidence-informed decision-making when working with adults at risk.</w:t>
            </w:r>
          </w:p>
          <w:p w14:paraId="0976CB8C" w14:textId="77777777" w:rsidR="00596B91" w:rsidRPr="005B55C8" w:rsidRDefault="00596B91" w:rsidP="00596B91">
            <w:pPr>
              <w:rPr>
                <w:sz w:val="24"/>
                <w:szCs w:val="24"/>
              </w:rPr>
            </w:pPr>
          </w:p>
          <w:p w14:paraId="7CB379A9" w14:textId="77777777" w:rsidR="00596B91" w:rsidRPr="00596B91" w:rsidRDefault="00596B91" w:rsidP="00596B91">
            <w:pPr>
              <w:rPr>
                <w:b/>
                <w:bCs/>
                <w:sz w:val="24"/>
                <w:szCs w:val="24"/>
              </w:rPr>
            </w:pPr>
            <w:r w:rsidRPr="00596B91">
              <w:rPr>
                <w:b/>
                <w:bCs/>
                <w:sz w:val="24"/>
                <w:szCs w:val="24"/>
              </w:rPr>
              <w:t>Word count: 3811</w:t>
            </w:r>
          </w:p>
          <w:p w14:paraId="0C4F3CD6" w14:textId="77777777" w:rsidR="00596B91" w:rsidRPr="00596B91" w:rsidRDefault="00596B91" w:rsidP="00596B91">
            <w:pPr>
              <w:rPr>
                <w:sz w:val="24"/>
                <w:szCs w:val="24"/>
              </w:rPr>
            </w:pPr>
          </w:p>
          <w:p w14:paraId="12DC2F24" w14:textId="24094196" w:rsidR="00D3203C" w:rsidRPr="00596B91" w:rsidRDefault="00D3203C" w:rsidP="00FF7EBB">
            <w:pPr>
              <w:jc w:val="both"/>
              <w:rPr>
                <w:iCs/>
                <w:sz w:val="24"/>
                <w:szCs w:val="24"/>
              </w:rPr>
            </w:pPr>
          </w:p>
          <w:p w14:paraId="1225D23D" w14:textId="4FFF3138" w:rsidR="00D3203C" w:rsidRPr="00CC4B77" w:rsidRDefault="00D3203C" w:rsidP="00FF7EBB">
            <w:pPr>
              <w:jc w:val="both"/>
              <w:rPr>
                <w:iCs/>
                <w:sz w:val="24"/>
                <w:szCs w:val="24"/>
              </w:rPr>
            </w:pPr>
          </w:p>
          <w:p w14:paraId="0C1020FE" w14:textId="61CE561C" w:rsidR="00D3203C" w:rsidRPr="00596B91"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9F2823" w14:textId="77777777" w:rsidR="00ED6CBF" w:rsidRDefault="00ED6CBF">
      <w:r>
        <w:separator/>
      </w:r>
    </w:p>
  </w:endnote>
  <w:endnote w:type="continuationSeparator" w:id="0">
    <w:p w14:paraId="46F6CB6B" w14:textId="77777777" w:rsidR="00ED6CBF" w:rsidRDefault="00ED6C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15D1DC" w14:textId="77777777" w:rsidR="00ED6CBF" w:rsidRDefault="00ED6CBF">
      <w:r>
        <w:separator/>
      </w:r>
    </w:p>
  </w:footnote>
  <w:footnote w:type="continuationSeparator" w:id="0">
    <w:p w14:paraId="7D6BFCBD" w14:textId="77777777" w:rsidR="00ED6CBF" w:rsidRDefault="00ED6CB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15B33"/>
    <w:rsid w:val="0002073F"/>
    <w:rsid w:val="00020EEC"/>
    <w:rsid w:val="000242B5"/>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5069"/>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3E71"/>
    <w:rsid w:val="001C4DB8"/>
    <w:rsid w:val="001C50B8"/>
    <w:rsid w:val="001D229F"/>
    <w:rsid w:val="001E2EB6"/>
    <w:rsid w:val="001F4552"/>
    <w:rsid w:val="0020121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01DA"/>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95C"/>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96B91"/>
    <w:rsid w:val="005A1B4C"/>
    <w:rsid w:val="005A545C"/>
    <w:rsid w:val="005B271A"/>
    <w:rsid w:val="005B3A2D"/>
    <w:rsid w:val="005B55C8"/>
    <w:rsid w:val="005C1567"/>
    <w:rsid w:val="005C28D3"/>
    <w:rsid w:val="005C6CE5"/>
    <w:rsid w:val="005D1640"/>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C6FD6"/>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9A2"/>
    <w:rsid w:val="00763B2D"/>
    <w:rsid w:val="00764C84"/>
    <w:rsid w:val="007710AD"/>
    <w:rsid w:val="00772924"/>
    <w:rsid w:val="0078112D"/>
    <w:rsid w:val="007872F2"/>
    <w:rsid w:val="007873F9"/>
    <w:rsid w:val="007908E0"/>
    <w:rsid w:val="00792C82"/>
    <w:rsid w:val="00793EB3"/>
    <w:rsid w:val="00794205"/>
    <w:rsid w:val="0079422A"/>
    <w:rsid w:val="007A1F6A"/>
    <w:rsid w:val="007A3A43"/>
    <w:rsid w:val="007A628F"/>
    <w:rsid w:val="007B0DE3"/>
    <w:rsid w:val="007B1BFD"/>
    <w:rsid w:val="007B4FAA"/>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05E95"/>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11F4"/>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C7E65"/>
    <w:rsid w:val="009D3E75"/>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58F9"/>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24F0"/>
    <w:rsid w:val="00AC3A0E"/>
    <w:rsid w:val="00AC4A04"/>
    <w:rsid w:val="00AC5679"/>
    <w:rsid w:val="00AD188D"/>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370B"/>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564"/>
    <w:rsid w:val="00BB6638"/>
    <w:rsid w:val="00BB7FD2"/>
    <w:rsid w:val="00BC04FA"/>
    <w:rsid w:val="00BC1C22"/>
    <w:rsid w:val="00BC460B"/>
    <w:rsid w:val="00BC4ED3"/>
    <w:rsid w:val="00BC5725"/>
    <w:rsid w:val="00BD30B1"/>
    <w:rsid w:val="00BE0F7B"/>
    <w:rsid w:val="00BE10C2"/>
    <w:rsid w:val="00BF0D6C"/>
    <w:rsid w:val="00BF51A4"/>
    <w:rsid w:val="00C01D14"/>
    <w:rsid w:val="00C01D97"/>
    <w:rsid w:val="00C025B4"/>
    <w:rsid w:val="00C029EC"/>
    <w:rsid w:val="00C161FD"/>
    <w:rsid w:val="00C17C9F"/>
    <w:rsid w:val="00C21AE2"/>
    <w:rsid w:val="00C23F17"/>
    <w:rsid w:val="00C246F2"/>
    <w:rsid w:val="00C26D0D"/>
    <w:rsid w:val="00C27C95"/>
    <w:rsid w:val="00C300D2"/>
    <w:rsid w:val="00C3270F"/>
    <w:rsid w:val="00C3278B"/>
    <w:rsid w:val="00C33375"/>
    <w:rsid w:val="00C34C23"/>
    <w:rsid w:val="00C368FA"/>
    <w:rsid w:val="00C42005"/>
    <w:rsid w:val="00C4664D"/>
    <w:rsid w:val="00C472AA"/>
    <w:rsid w:val="00C47BE6"/>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25BE"/>
    <w:rsid w:val="00CC4B77"/>
    <w:rsid w:val="00CC7226"/>
    <w:rsid w:val="00CD0735"/>
    <w:rsid w:val="00CD45E3"/>
    <w:rsid w:val="00CD4771"/>
    <w:rsid w:val="00CD5089"/>
    <w:rsid w:val="00CD5D3F"/>
    <w:rsid w:val="00CD7BF7"/>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684D"/>
    <w:rsid w:val="00DF7899"/>
    <w:rsid w:val="00E0524C"/>
    <w:rsid w:val="00E15751"/>
    <w:rsid w:val="00E15A70"/>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D6CBF"/>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0FDD"/>
    <w:rsid w:val="00F66272"/>
    <w:rsid w:val="00F709C0"/>
    <w:rsid w:val="00F81FEC"/>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10</Pages>
  <Words>4443</Words>
  <Characters>25328</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29712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Pauline Best</cp:lastModifiedBy>
  <cp:revision>23</cp:revision>
  <cp:lastPrinted>2020-02-11T19:20:00Z</cp:lastPrinted>
  <dcterms:created xsi:type="dcterms:W3CDTF">2026-10-07T02:26:00Z</dcterms:created>
  <dcterms:modified xsi:type="dcterms:W3CDTF">2026-10-07T08:54:00Z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