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Heading"/>
      </w:pPr>
      <w:r>
        <w:rPr>
          <w:rtl w:val="0"/>
          <w:lang w:val="en-US"/>
        </w:rPr>
        <w:t>PHP2Shell: Student Exercise</w:t>
      </w:r>
    </w:p>
    <w:p>
      <w:pPr>
        <w:pStyle w:val="Heading 2"/>
      </w:pPr>
      <w:r>
        <w:rPr>
          <w:rtl w:val="0"/>
          <w:lang w:val="en-US"/>
        </w:rPr>
        <w:t>About this exercise</w:t>
      </w:r>
    </w:p>
    <w:p>
      <w:pPr>
        <w:pStyle w:val="Body"/>
      </w:pPr>
      <w:r>
        <w:rPr>
          <w:rtl w:val="0"/>
          <w:lang w:val="en-US"/>
        </w:rPr>
        <w:t>You are the executive team of Corran Travel Group, a fictional multinational caught up in a real cyber security event. You will identify and prioritise risks, respond as the incident develops, design the structure an organisation needs to manage incidents like this across several countries, and brief the board.</w:t>
      </w:r>
    </w:p>
    <w:tbl>
      <w:tblPr>
        <w:tblW w:w="9359"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803"/>
        <w:gridCol w:w="6556"/>
      </w:tblGrid>
      <w:tr>
        <w:tblPrEx>
          <w:shd w:val="clear" w:color="auto" w:fill="4f81bd"/>
        </w:tblPrEx>
        <w:trPr>
          <w:trHeight w:val="221" w:hRule="atLeast"/>
          <w:tblHeader/>
        </w:trPr>
        <w:tc>
          <w:tcPr>
            <w:tcW w:type="dxa" w:w="280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shd w:val="nil" w:color="auto" w:fill="auto"/>
                <w:rtl w:val="0"/>
                <w:lang w:val="en-US"/>
              </w:rPr>
              <w:t>Time</w:t>
            </w:r>
          </w:p>
        </w:tc>
        <w:tc>
          <w:tcPr>
            <w:tcW w:type="dxa" w:w="65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shd w:val="nil" w:color="auto" w:fill="auto"/>
                <w:rtl w:val="0"/>
                <w:lang w:val="en-US"/>
              </w:rPr>
              <w:t>Activity</w:t>
            </w:r>
          </w:p>
        </w:tc>
      </w:tr>
      <w:tr>
        <w:tblPrEx>
          <w:shd w:val="clear" w:color="auto" w:fill="ced7e7"/>
        </w:tblPrEx>
        <w:trPr>
          <w:trHeight w:val="221" w:hRule="atLeast"/>
        </w:trPr>
        <w:tc>
          <w:tcPr>
            <w:tcW w:type="dxa" w:w="280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shd w:val="nil" w:color="auto" w:fill="auto"/>
                <w:rtl w:val="0"/>
                <w:lang w:val="en-US"/>
              </w:rPr>
              <w:t>0 to 10 minutes</w:t>
            </w:r>
          </w:p>
        </w:tc>
        <w:tc>
          <w:tcPr>
            <w:tcW w:type="dxa" w:w="65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shd w:val="nil" w:color="auto" w:fill="auto"/>
                <w:rtl w:val="0"/>
                <w:lang w:val="en-US"/>
              </w:rPr>
              <w:t>Introduction, case brief and roles</w:t>
            </w:r>
          </w:p>
        </w:tc>
      </w:tr>
      <w:tr>
        <w:tblPrEx>
          <w:shd w:val="clear" w:color="auto" w:fill="ced7e7"/>
        </w:tblPrEx>
        <w:trPr>
          <w:trHeight w:val="221" w:hRule="atLeast"/>
        </w:trPr>
        <w:tc>
          <w:tcPr>
            <w:tcW w:type="dxa" w:w="280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shd w:val="nil" w:color="auto" w:fill="auto"/>
                <w:rtl w:val="0"/>
                <w:lang w:val="en-US"/>
              </w:rPr>
              <w:t>10 to 30 minutes</w:t>
            </w:r>
          </w:p>
        </w:tc>
        <w:tc>
          <w:tcPr>
            <w:tcW w:type="dxa" w:w="65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shd w:val="nil" w:color="auto" w:fill="auto"/>
                <w:rtl w:val="0"/>
                <w:lang w:val="en-US"/>
              </w:rPr>
              <w:t>Task 1: identify and prioritise risks</w:t>
            </w:r>
          </w:p>
        </w:tc>
      </w:tr>
      <w:tr>
        <w:tblPrEx>
          <w:shd w:val="clear" w:color="auto" w:fill="ced7e7"/>
        </w:tblPrEx>
        <w:trPr>
          <w:trHeight w:val="221" w:hRule="atLeast"/>
        </w:trPr>
        <w:tc>
          <w:tcPr>
            <w:tcW w:type="dxa" w:w="280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shd w:val="nil" w:color="auto" w:fill="auto"/>
                <w:rtl w:val="0"/>
                <w:lang w:val="en-US"/>
              </w:rPr>
              <w:t>30 to 60 minutes</w:t>
            </w:r>
          </w:p>
        </w:tc>
        <w:tc>
          <w:tcPr>
            <w:tcW w:type="dxa" w:w="65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shd w:val="nil" w:color="auto" w:fill="auto"/>
                <w:rtl w:val="0"/>
                <w:lang w:val="en-US"/>
              </w:rPr>
              <w:t>Task 2: respond to three updates</w:t>
            </w:r>
          </w:p>
        </w:tc>
      </w:tr>
      <w:tr>
        <w:tblPrEx>
          <w:shd w:val="clear" w:color="auto" w:fill="ced7e7"/>
        </w:tblPrEx>
        <w:trPr>
          <w:trHeight w:val="221" w:hRule="atLeast"/>
        </w:trPr>
        <w:tc>
          <w:tcPr>
            <w:tcW w:type="dxa" w:w="280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shd w:val="nil" w:color="auto" w:fill="auto"/>
                <w:rtl w:val="0"/>
                <w:lang w:val="en-US"/>
              </w:rPr>
              <w:t>60 to 85 minutes</w:t>
            </w:r>
          </w:p>
        </w:tc>
        <w:tc>
          <w:tcPr>
            <w:tcW w:type="dxa" w:w="65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shd w:val="nil" w:color="auto" w:fill="auto"/>
                <w:rtl w:val="0"/>
                <w:lang w:val="en-US"/>
              </w:rPr>
              <w:t>Task 3: design the incident response structure</w:t>
            </w:r>
          </w:p>
        </w:tc>
      </w:tr>
      <w:tr>
        <w:tblPrEx>
          <w:shd w:val="clear" w:color="auto" w:fill="ced7e7"/>
        </w:tblPrEx>
        <w:trPr>
          <w:trHeight w:val="221" w:hRule="atLeast"/>
        </w:trPr>
        <w:tc>
          <w:tcPr>
            <w:tcW w:type="dxa" w:w="280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shd w:val="nil" w:color="auto" w:fill="auto"/>
                <w:rtl w:val="0"/>
                <w:lang w:val="en-US"/>
              </w:rPr>
              <w:t>85 to 95 minutes</w:t>
            </w:r>
          </w:p>
        </w:tc>
        <w:tc>
          <w:tcPr>
            <w:tcW w:type="dxa" w:w="65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shd w:val="nil" w:color="auto" w:fill="auto"/>
                <w:rtl w:val="0"/>
                <w:lang w:val="en-US"/>
              </w:rPr>
              <w:t>Task 4: brief the board</w:t>
            </w:r>
          </w:p>
        </w:tc>
      </w:tr>
      <w:tr>
        <w:tblPrEx>
          <w:shd w:val="clear" w:color="auto" w:fill="ced7e7"/>
        </w:tblPrEx>
        <w:trPr>
          <w:trHeight w:val="221" w:hRule="atLeast"/>
        </w:trPr>
        <w:tc>
          <w:tcPr>
            <w:tcW w:type="dxa" w:w="280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shd w:val="nil" w:color="auto" w:fill="auto"/>
                <w:rtl w:val="0"/>
                <w:lang w:val="en-US"/>
              </w:rPr>
              <w:t>95 to 115 minutes</w:t>
            </w:r>
          </w:p>
        </w:tc>
        <w:tc>
          <w:tcPr>
            <w:tcW w:type="dxa" w:w="65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shd w:val="nil" w:color="auto" w:fill="auto"/>
                <w:rtl w:val="0"/>
                <w:lang w:val="en-US"/>
              </w:rPr>
              <w:t>Discussion</w:t>
            </w:r>
          </w:p>
        </w:tc>
      </w:tr>
    </w:tbl>
    <w:p>
      <w:pPr>
        <w:pStyle w:val="Body"/>
        <w:widowControl w:val="0"/>
        <w:spacing w:line="240" w:lineRule="auto"/>
      </w:pPr>
    </w:p>
    <w:p>
      <w:pPr>
        <w:pStyle w:val="Body"/>
      </w:pPr>
      <w:r>
        <w:rPr>
          <w:rtl w:val="0"/>
          <w:lang w:val="en-US"/>
        </w:rPr>
        <w:t>No technical knowledge is needed. A glossary is included in the case brief.</w:t>
      </w:r>
    </w:p>
    <w:p>
      <w:pPr>
        <w:pStyle w:val="Heading 2"/>
      </w:pPr>
      <w:r>
        <w:rPr>
          <w:rtl w:val="0"/>
          <w:lang w:val="nl-NL"/>
        </w:rPr>
        <w:t>Case brief</w:t>
      </w:r>
    </w:p>
    <w:p>
      <w:pPr>
        <w:pStyle w:val="Heading 3"/>
      </w:pPr>
      <w:r>
        <w:rPr>
          <w:rtl w:val="0"/>
          <w:lang w:val="en-US"/>
        </w:rPr>
        <w:t>The real event</w:t>
      </w:r>
    </w:p>
    <w:p>
      <w:pPr>
        <w:pStyle w:val="Body"/>
      </w:pPr>
      <w:r>
        <w:rPr>
          <w:rtl w:val="0"/>
          <w:lang w:val="en-US"/>
        </w:rPr>
        <w:t>PHP is a programming language that runs a large share of websites and web applications (Google Cloud, 2026). On 21 October 2026, PHP released fixes for two critical vulnerabilities known as PHP2Shell (CISA, 2026). They allow an attacker to take control of a web server without logging in, and CISA (2026) states they affect all PHP installations serving web requests. Details became public before the fixes were released (University of Washington IT, 2026), and Tenable (2026) reports exploitation attempts from 17 October. Official fixes cover only recent versions of PHP.</w:t>
      </w:r>
    </w:p>
    <w:p>
      <w:pPr>
        <w:pStyle w:val="Body"/>
      </w:pPr>
      <w:r>
        <w:rPr>
          <w:rtl w:val="0"/>
          <w:lang w:val="en-US"/>
        </w:rPr>
        <w:t>As background reading, there are three articles on Moodle from The Guardian (UK)  The Washington Post (US) and BBC World News (UK).</w:t>
      </w:r>
    </w:p>
    <w:p>
      <w:pPr>
        <w:pStyle w:val="Heading 3"/>
      </w:pPr>
      <w:r>
        <w:rPr>
          <w:rtl w:val="0"/>
          <w:lang w:val="en-US"/>
        </w:rPr>
        <w:t>The company: Corran Travel Group plc (fictional)</w:t>
      </w:r>
    </w:p>
    <w:p>
      <w:pPr>
        <w:pStyle w:val="Body"/>
      </w:pPr>
      <w:r>
        <w:rPr>
          <w:rtl w:val="0"/>
          <w:lang w:val="en-US"/>
        </w:rPr>
        <w:t xml:space="preserve">Corran is a London-listed online travel company with 9,000 staff and annual revenue of </w:t>
      </w:r>
      <w:r>
        <w:rPr>
          <w:rtl w:val="0"/>
        </w:rPr>
        <w:t>£</w:t>
      </w:r>
      <w:r>
        <w:rPr>
          <w:rtl w:val="0"/>
          <w:lang w:val="en-US"/>
        </w:rPr>
        <w:t>2.4 billion. It holds customer names, contact details and, for some bookings, passport numbers. The incident falls during October half-term, a peak booking period.</w:t>
      </w:r>
    </w:p>
    <w:tbl>
      <w:tblPr>
        <w:tblW w:w="936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904"/>
        <w:gridCol w:w="2536"/>
        <w:gridCol w:w="4920"/>
      </w:tblGrid>
      <w:tr>
        <w:tblPrEx>
          <w:shd w:val="clear" w:color="auto" w:fill="4f81bd"/>
        </w:tblPrEx>
        <w:trPr>
          <w:trHeight w:val="221" w:hRule="atLeast"/>
          <w:tblHeader/>
        </w:trPr>
        <w:tc>
          <w:tcPr>
            <w:tcW w:type="dxa" w:w="19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shd w:val="nil" w:color="auto" w:fill="auto"/>
                <w:rtl w:val="0"/>
                <w:lang w:val="en-US"/>
              </w:rPr>
              <w:t>Country</w:t>
            </w:r>
          </w:p>
        </w:tc>
        <w:tc>
          <w:tcPr>
            <w:tcW w:type="dxa" w:w="2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shd w:val="nil" w:color="auto" w:fill="auto"/>
                <w:rtl w:val="0"/>
                <w:lang w:val="en-US"/>
              </w:rPr>
              <w:t>Operation</w:t>
            </w:r>
          </w:p>
        </w:tc>
        <w:tc>
          <w:tcPr>
            <w:tcW w:type="dxa" w:w="49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shd w:val="nil" w:color="auto" w:fill="auto"/>
                <w:rtl w:val="0"/>
                <w:lang w:val="en-US"/>
              </w:rPr>
              <w:t>Technology position</w:t>
            </w:r>
          </w:p>
        </w:tc>
      </w:tr>
      <w:tr>
        <w:tblPrEx>
          <w:shd w:val="clear" w:color="auto" w:fill="ced7e7"/>
        </w:tblPrEx>
        <w:trPr>
          <w:trHeight w:val="498" w:hRule="atLeast"/>
        </w:trPr>
        <w:tc>
          <w:tcPr>
            <w:tcW w:type="dxa" w:w="19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shd w:val="nil" w:color="auto" w:fill="auto"/>
                <w:rtl w:val="0"/>
                <w:lang w:val="en-US"/>
              </w:rPr>
              <w:t>United Kingdom</w:t>
            </w:r>
          </w:p>
        </w:tc>
        <w:tc>
          <w:tcPr>
            <w:tcW w:type="dxa" w:w="2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shd w:val="nil" w:color="auto" w:fill="auto"/>
                <w:rtl w:val="0"/>
                <w:lang w:val="en-US"/>
              </w:rPr>
              <w:t>Headquarters and main booking platform</w:t>
            </w:r>
          </w:p>
        </w:tc>
        <w:tc>
          <w:tcPr>
            <w:tcW w:type="dxa" w:w="49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shd w:val="nil" w:color="auto" w:fill="auto"/>
                <w:rtl w:val="0"/>
                <w:lang w:val="en-US"/>
              </w:rPr>
              <w:t>Recent version of PHP, monitored by the group security team</w:t>
            </w:r>
          </w:p>
        </w:tc>
      </w:tr>
      <w:tr>
        <w:tblPrEx>
          <w:shd w:val="clear" w:color="auto" w:fill="ced7e7"/>
        </w:tblPrEx>
        <w:trPr>
          <w:trHeight w:val="498" w:hRule="atLeast"/>
        </w:trPr>
        <w:tc>
          <w:tcPr>
            <w:tcW w:type="dxa" w:w="19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shd w:val="nil" w:color="auto" w:fill="auto"/>
                <w:rtl w:val="0"/>
                <w:lang w:val="en-US"/>
              </w:rPr>
              <w:t>Ireland</w:t>
            </w:r>
          </w:p>
        </w:tc>
        <w:tc>
          <w:tcPr>
            <w:tcW w:type="dxa" w:w="2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shd w:val="nil" w:color="auto" w:fill="auto"/>
                <w:rtl w:val="0"/>
                <w:lang w:val="en-US"/>
              </w:rPr>
              <w:t>EU hub for European bookings</w:t>
            </w:r>
          </w:p>
        </w:tc>
        <w:tc>
          <w:tcPr>
            <w:tcW w:type="dxa" w:w="49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shd w:val="nil" w:color="auto" w:fill="auto"/>
                <w:rtl w:val="0"/>
                <w:lang w:val="en-US"/>
              </w:rPr>
              <w:t>Uses the main platform</w:t>
            </w:r>
          </w:p>
        </w:tc>
      </w:tr>
      <w:tr>
        <w:tblPrEx>
          <w:shd w:val="clear" w:color="auto" w:fill="ced7e7"/>
        </w:tblPrEx>
        <w:trPr>
          <w:trHeight w:val="775" w:hRule="atLeast"/>
        </w:trPr>
        <w:tc>
          <w:tcPr>
            <w:tcW w:type="dxa" w:w="19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shd w:val="nil" w:color="auto" w:fill="auto"/>
                <w:rtl w:val="0"/>
                <w:lang w:val="en-US"/>
              </w:rPr>
              <w:t>Brazil</w:t>
            </w:r>
          </w:p>
        </w:tc>
        <w:tc>
          <w:tcPr>
            <w:tcW w:type="dxa" w:w="2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shd w:val="nil" w:color="auto" w:fill="auto"/>
                <w:rtl w:val="0"/>
                <w:lang w:val="en-US"/>
              </w:rPr>
              <w:t>ViajaBem, acquired in 2024</w:t>
            </w:r>
          </w:p>
        </w:tc>
        <w:tc>
          <w:tcPr>
            <w:tcW w:type="dxa" w:w="49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shd w:val="nil" w:color="auto" w:fill="auto"/>
                <w:rtl w:val="0"/>
                <w:lang w:val="en-US"/>
              </w:rPr>
              <w:t>Separate booking site on PHP 7.4, run by a local IT supplier and not monitored by the group. Integration was deferred to 2027 to save costs</w:t>
            </w:r>
          </w:p>
        </w:tc>
      </w:tr>
    </w:tbl>
    <w:p>
      <w:pPr>
        <w:pStyle w:val="Body"/>
        <w:widowControl w:val="0"/>
        <w:spacing w:line="240" w:lineRule="auto"/>
      </w:pPr>
    </w:p>
    <w:p>
      <w:pPr>
        <w:pStyle w:val="Body"/>
      </w:pPr>
      <w:r>
        <w:rPr>
          <w:rtl w:val="0"/>
          <w:lang w:val="en-US"/>
        </w:rPr>
        <w:t>Corran's Chief Information Security Officer reports to the Chief Information Officer, not to the board.</w:t>
      </w:r>
    </w:p>
    <w:p>
      <w:pPr>
        <w:pStyle w:val="Heading 3"/>
      </w:pPr>
      <w:r>
        <w:rPr>
          <w:rtl w:val="0"/>
          <w:lang w:val="en-US"/>
        </w:rPr>
        <w:t>Glossary</w:t>
      </w:r>
    </w:p>
    <w:tbl>
      <w:tblPr>
        <w:tblW w:w="9359"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797"/>
        <w:gridCol w:w="6562"/>
      </w:tblGrid>
      <w:tr>
        <w:tblPrEx>
          <w:shd w:val="clear" w:color="auto" w:fill="4f81bd"/>
        </w:tblPrEx>
        <w:trPr>
          <w:trHeight w:val="221" w:hRule="atLeast"/>
          <w:tblHeader/>
        </w:trPr>
        <w:tc>
          <w:tcPr>
            <w:tcW w:type="dxa" w:w="279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shd w:val="nil" w:color="auto" w:fill="auto"/>
                <w:rtl w:val="0"/>
                <w:lang w:val="en-US"/>
              </w:rPr>
              <w:t>Term</w:t>
            </w:r>
          </w:p>
        </w:tc>
        <w:tc>
          <w:tcPr>
            <w:tcW w:type="dxa" w:w="6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shd w:val="nil" w:color="auto" w:fill="auto"/>
                <w:rtl w:val="0"/>
                <w:lang w:val="en-US"/>
              </w:rPr>
              <w:t>Meaning</w:t>
            </w:r>
          </w:p>
        </w:tc>
      </w:tr>
      <w:tr>
        <w:tblPrEx>
          <w:shd w:val="clear" w:color="auto" w:fill="ced7e7"/>
        </w:tblPrEx>
        <w:trPr>
          <w:trHeight w:val="221" w:hRule="atLeast"/>
        </w:trPr>
        <w:tc>
          <w:tcPr>
            <w:tcW w:type="dxa" w:w="279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shd w:val="nil" w:color="auto" w:fill="auto"/>
                <w:rtl w:val="0"/>
                <w:lang w:val="en-US"/>
              </w:rPr>
              <w:t>Web server</w:t>
            </w:r>
          </w:p>
        </w:tc>
        <w:tc>
          <w:tcPr>
            <w:tcW w:type="dxa" w:w="6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shd w:val="nil" w:color="auto" w:fill="auto"/>
                <w:rtl w:val="0"/>
                <w:lang w:val="en-US"/>
              </w:rPr>
              <w:t>The computer that stores a website and sends its pages to visitors</w:t>
            </w:r>
          </w:p>
        </w:tc>
      </w:tr>
      <w:tr>
        <w:tblPrEx>
          <w:shd w:val="clear" w:color="auto" w:fill="ced7e7"/>
        </w:tblPrEx>
        <w:trPr>
          <w:trHeight w:val="221" w:hRule="atLeast"/>
        </w:trPr>
        <w:tc>
          <w:tcPr>
            <w:tcW w:type="dxa" w:w="279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shd w:val="nil" w:color="auto" w:fill="auto"/>
                <w:rtl w:val="0"/>
                <w:lang w:val="en-US"/>
              </w:rPr>
              <w:t>Vulnerability</w:t>
            </w:r>
          </w:p>
        </w:tc>
        <w:tc>
          <w:tcPr>
            <w:tcW w:type="dxa" w:w="6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shd w:val="nil" w:color="auto" w:fill="auto"/>
                <w:rtl w:val="0"/>
                <w:lang w:val="en-US"/>
              </w:rPr>
              <w:t>A flaw in software that an attacker can use to get in or cause harm</w:t>
            </w:r>
          </w:p>
        </w:tc>
      </w:tr>
      <w:tr>
        <w:tblPrEx>
          <w:shd w:val="clear" w:color="auto" w:fill="ced7e7"/>
        </w:tblPrEx>
        <w:trPr>
          <w:trHeight w:val="498" w:hRule="atLeast"/>
        </w:trPr>
        <w:tc>
          <w:tcPr>
            <w:tcW w:type="dxa" w:w="279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shd w:val="nil" w:color="auto" w:fill="auto"/>
                <w:rtl w:val="0"/>
                <w:lang w:val="en-US"/>
              </w:rPr>
              <w:t>Patch</w:t>
            </w:r>
          </w:p>
        </w:tc>
        <w:tc>
          <w:tcPr>
            <w:tcW w:type="dxa" w:w="6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shd w:val="nil" w:color="auto" w:fill="auto"/>
                <w:rtl w:val="0"/>
                <w:lang w:val="en-US"/>
              </w:rPr>
              <w:t>A software update that fixes a flaw. Applying it can mean taking a system offline briefly</w:t>
            </w:r>
          </w:p>
        </w:tc>
      </w:tr>
      <w:tr>
        <w:tblPrEx>
          <w:shd w:val="clear" w:color="auto" w:fill="ced7e7"/>
        </w:tblPrEx>
        <w:trPr>
          <w:trHeight w:val="498" w:hRule="atLeast"/>
        </w:trPr>
        <w:tc>
          <w:tcPr>
            <w:tcW w:type="dxa" w:w="279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shd w:val="nil" w:color="auto" w:fill="auto"/>
                <w:rtl w:val="0"/>
                <w:lang w:val="en-US"/>
              </w:rPr>
              <w:t>Supported version</w:t>
            </w:r>
          </w:p>
        </w:tc>
        <w:tc>
          <w:tcPr>
            <w:tcW w:type="dxa" w:w="6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shd w:val="nil" w:color="auto" w:fill="auto"/>
                <w:rtl w:val="0"/>
                <w:lang w:val="en-US"/>
              </w:rPr>
              <w:t>A version of software that still receives fixes. PHP 7.4 stopped receiving official security fixes in November 2022</w:t>
            </w:r>
          </w:p>
        </w:tc>
      </w:tr>
      <w:tr>
        <w:tblPrEx>
          <w:shd w:val="clear" w:color="auto" w:fill="ced7e7"/>
        </w:tblPrEx>
        <w:trPr>
          <w:trHeight w:val="498" w:hRule="atLeast"/>
        </w:trPr>
        <w:tc>
          <w:tcPr>
            <w:tcW w:type="dxa" w:w="279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shd w:val="nil" w:color="auto" w:fill="auto"/>
                <w:rtl w:val="0"/>
                <w:lang w:val="en-US"/>
              </w:rPr>
              <w:t>Compromise</w:t>
            </w:r>
          </w:p>
        </w:tc>
        <w:tc>
          <w:tcPr>
            <w:tcW w:type="dxa" w:w="6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shd w:val="nil" w:color="auto" w:fill="auto"/>
                <w:rtl w:val="0"/>
                <w:lang w:val="en-US"/>
              </w:rPr>
              <w:t>An attacker has gained access to a system. Patching afterwards closes the flaw but does not remove an attacker who is already in</w:t>
            </w:r>
          </w:p>
        </w:tc>
      </w:tr>
      <w:tr>
        <w:tblPrEx>
          <w:shd w:val="clear" w:color="auto" w:fill="ced7e7"/>
        </w:tblPrEx>
        <w:trPr>
          <w:trHeight w:val="498" w:hRule="atLeast"/>
        </w:trPr>
        <w:tc>
          <w:tcPr>
            <w:tcW w:type="dxa" w:w="279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shd w:val="nil" w:color="auto" w:fill="auto"/>
                <w:rtl w:val="0"/>
                <w:lang w:val="en-US"/>
              </w:rPr>
              <w:t>Jurisdiction</w:t>
            </w:r>
          </w:p>
        </w:tc>
        <w:tc>
          <w:tcPr>
            <w:tcW w:type="dxa" w:w="6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shd w:val="nil" w:color="auto" w:fill="auto"/>
                <w:rtl w:val="0"/>
                <w:lang w:val="en-US"/>
              </w:rPr>
              <w:t>A country or region with its own laws and regulators. One incident can fall under several at once</w:t>
            </w:r>
          </w:p>
        </w:tc>
      </w:tr>
    </w:tbl>
    <w:p>
      <w:pPr>
        <w:pStyle w:val="Heading 3"/>
        <w:widowControl w:val="0"/>
        <w:spacing w:line="240" w:lineRule="auto"/>
      </w:pPr>
    </w:p>
    <w:p>
      <w:pPr>
        <w:pStyle w:val="Heading 2"/>
      </w:pPr>
      <w:r>
        <w:rPr>
          <w:rtl w:val="0"/>
          <w:lang w:val="en-US"/>
        </w:rPr>
        <w:t>Your role</w:t>
      </w:r>
    </w:p>
    <w:p>
      <w:pPr>
        <w:pStyle w:val="Body"/>
      </w:pPr>
      <w:r>
        <w:rPr>
          <w:rtl w:val="0"/>
          <w:lang w:val="en-US"/>
        </w:rPr>
        <w:t>Work in groups of four or five. Each member takes one role and argues from its perspective. In a group of four, the Chief Executive also covers communications.</w:t>
      </w:r>
    </w:p>
    <w:tbl>
      <w:tblPr>
        <w:tblW w:w="9359"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081"/>
        <w:gridCol w:w="5278"/>
      </w:tblGrid>
      <w:tr>
        <w:tblPrEx>
          <w:shd w:val="clear" w:color="auto" w:fill="4f81bd"/>
        </w:tblPrEx>
        <w:trPr>
          <w:trHeight w:val="221" w:hRule="atLeast"/>
          <w:tblHeader/>
        </w:trPr>
        <w:tc>
          <w:tcPr>
            <w:tcW w:type="dxa" w:w="40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shd w:val="nil" w:color="auto" w:fill="auto"/>
                <w:rtl w:val="0"/>
                <w:lang w:val="en-US"/>
              </w:rPr>
              <w:t>Role</w:t>
            </w:r>
          </w:p>
        </w:tc>
        <w:tc>
          <w:tcPr>
            <w:tcW w:type="dxa" w:w="527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shd w:val="nil" w:color="auto" w:fill="auto"/>
                <w:rtl w:val="0"/>
                <w:lang w:val="en-US"/>
              </w:rPr>
              <w:t>Focus</w:t>
            </w:r>
          </w:p>
        </w:tc>
      </w:tr>
      <w:tr>
        <w:tblPrEx>
          <w:shd w:val="clear" w:color="auto" w:fill="ced7e7"/>
        </w:tblPrEx>
        <w:trPr>
          <w:trHeight w:val="221" w:hRule="atLeast"/>
        </w:trPr>
        <w:tc>
          <w:tcPr>
            <w:tcW w:type="dxa" w:w="40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shd w:val="nil" w:color="auto" w:fill="auto"/>
                <w:rtl w:val="0"/>
                <w:lang w:val="en-US"/>
              </w:rPr>
              <w:t>Chief Executive (chair)</w:t>
            </w:r>
          </w:p>
        </w:tc>
        <w:tc>
          <w:tcPr>
            <w:tcW w:type="dxa" w:w="527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shd w:val="nil" w:color="auto" w:fill="auto"/>
                <w:rtl w:val="0"/>
                <w:lang w:val="en-US"/>
              </w:rPr>
              <w:t>Final decisions, the board, reputation</w:t>
            </w:r>
          </w:p>
        </w:tc>
      </w:tr>
      <w:tr>
        <w:tblPrEx>
          <w:shd w:val="clear" w:color="auto" w:fill="ced7e7"/>
        </w:tblPrEx>
        <w:trPr>
          <w:trHeight w:val="221" w:hRule="atLeast"/>
        </w:trPr>
        <w:tc>
          <w:tcPr>
            <w:tcW w:type="dxa" w:w="40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shd w:val="nil" w:color="auto" w:fill="auto"/>
                <w:rtl w:val="0"/>
                <w:lang w:val="en-US"/>
              </w:rPr>
              <w:t>Chief Information Security Officer</w:t>
            </w:r>
          </w:p>
        </w:tc>
        <w:tc>
          <w:tcPr>
            <w:tcW w:type="dxa" w:w="527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shd w:val="nil" w:color="auto" w:fill="auto"/>
                <w:rtl w:val="0"/>
                <w:lang w:val="en-US"/>
              </w:rPr>
              <w:t>Technical options (your lecturer will give you a role card)</w:t>
            </w:r>
          </w:p>
        </w:tc>
      </w:tr>
      <w:tr>
        <w:tblPrEx>
          <w:shd w:val="clear" w:color="auto" w:fill="ced7e7"/>
        </w:tblPrEx>
        <w:trPr>
          <w:trHeight w:val="221" w:hRule="atLeast"/>
        </w:trPr>
        <w:tc>
          <w:tcPr>
            <w:tcW w:type="dxa" w:w="40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shd w:val="nil" w:color="auto" w:fill="auto"/>
                <w:rtl w:val="0"/>
                <w:lang w:val="en-US"/>
              </w:rPr>
              <w:t>General Counsel</w:t>
            </w:r>
          </w:p>
        </w:tc>
        <w:tc>
          <w:tcPr>
            <w:tcW w:type="dxa" w:w="527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shd w:val="nil" w:color="auto" w:fill="auto"/>
                <w:rtl w:val="0"/>
                <w:lang w:val="en-US"/>
              </w:rPr>
              <w:t>Regulators, contracts, legal duties in each country</w:t>
            </w:r>
          </w:p>
        </w:tc>
      </w:tr>
      <w:tr>
        <w:tblPrEx>
          <w:shd w:val="clear" w:color="auto" w:fill="ced7e7"/>
        </w:tblPrEx>
        <w:trPr>
          <w:trHeight w:val="221" w:hRule="atLeast"/>
        </w:trPr>
        <w:tc>
          <w:tcPr>
            <w:tcW w:type="dxa" w:w="40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shd w:val="nil" w:color="auto" w:fill="auto"/>
                <w:rtl w:val="0"/>
                <w:lang w:val="en-US"/>
              </w:rPr>
              <w:t>Communications Director</w:t>
            </w:r>
          </w:p>
        </w:tc>
        <w:tc>
          <w:tcPr>
            <w:tcW w:type="dxa" w:w="527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shd w:val="nil" w:color="auto" w:fill="auto"/>
                <w:rtl w:val="0"/>
                <w:lang w:val="en-US"/>
              </w:rPr>
              <w:t>Customers, media, investors</w:t>
            </w:r>
          </w:p>
        </w:tc>
      </w:tr>
      <w:tr>
        <w:tblPrEx>
          <w:shd w:val="clear" w:color="auto" w:fill="ced7e7"/>
        </w:tblPrEx>
        <w:trPr>
          <w:trHeight w:val="498" w:hRule="atLeast"/>
        </w:trPr>
        <w:tc>
          <w:tcPr>
            <w:tcW w:type="dxa" w:w="40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shd w:val="nil" w:color="auto" w:fill="auto"/>
                <w:rtl w:val="0"/>
                <w:lang w:val="en-US"/>
              </w:rPr>
              <w:t>Chief People Officer</w:t>
            </w:r>
          </w:p>
        </w:tc>
        <w:tc>
          <w:tcPr>
            <w:tcW w:type="dxa" w:w="527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shd w:val="nil" w:color="auto" w:fill="auto"/>
                <w:rtl w:val="0"/>
                <w:lang w:val="en-US"/>
              </w:rPr>
              <w:t>Staff communications, staff data, the response team's workload</w:t>
            </w:r>
          </w:p>
        </w:tc>
      </w:tr>
    </w:tbl>
    <w:p>
      <w:pPr>
        <w:pStyle w:val="Body"/>
        <w:widowControl w:val="0"/>
        <w:spacing w:line="240" w:lineRule="auto"/>
      </w:pPr>
    </w:p>
    <w:p>
      <w:pPr>
        <w:pStyle w:val="Heading 2"/>
      </w:pPr>
      <w:r>
        <w:rPr>
          <w:rtl w:val="0"/>
          <w:lang w:val="da-DK"/>
        </w:rPr>
        <w:t>Risk models</w:t>
      </w:r>
    </w:p>
    <w:tbl>
      <w:tblPr>
        <w:tblW w:w="936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225"/>
        <w:gridCol w:w="3215"/>
        <w:gridCol w:w="4920"/>
      </w:tblGrid>
      <w:tr>
        <w:tblPrEx>
          <w:shd w:val="clear" w:color="auto" w:fill="4f81bd"/>
        </w:tblPrEx>
        <w:trPr>
          <w:trHeight w:val="221" w:hRule="atLeast"/>
          <w:tblHeader/>
        </w:trPr>
        <w:tc>
          <w:tcPr>
            <w:tcW w:type="dxa" w:w="12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shd w:val="nil" w:color="auto" w:fill="auto"/>
                <w:rtl w:val="0"/>
                <w:lang w:val="en-US"/>
              </w:rPr>
              <w:t>Step</w:t>
            </w:r>
          </w:p>
        </w:tc>
        <w:tc>
          <w:tcPr>
            <w:tcW w:type="dxa" w:w="32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shd w:val="nil" w:color="auto" w:fill="auto"/>
                <w:rtl w:val="0"/>
                <w:lang w:val="en-US"/>
              </w:rPr>
              <w:t>Model</w:t>
            </w:r>
          </w:p>
        </w:tc>
        <w:tc>
          <w:tcPr>
            <w:tcW w:type="dxa" w:w="49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shd w:val="nil" w:color="auto" w:fill="auto"/>
                <w:rtl w:val="0"/>
                <w:lang w:val="en-US"/>
              </w:rPr>
              <w:t>What it does</w:t>
            </w:r>
          </w:p>
        </w:tc>
      </w:tr>
      <w:tr>
        <w:tblPrEx>
          <w:shd w:val="clear" w:color="auto" w:fill="ced7e7"/>
        </w:tblPrEx>
        <w:trPr>
          <w:trHeight w:val="498" w:hRule="atLeast"/>
        </w:trPr>
        <w:tc>
          <w:tcPr>
            <w:tcW w:type="dxa" w:w="12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shd w:val="nil" w:color="auto" w:fill="auto"/>
                <w:rtl w:val="0"/>
                <w:lang w:val="en-US"/>
              </w:rPr>
              <w:t>Identify</w:t>
            </w:r>
          </w:p>
        </w:tc>
        <w:tc>
          <w:tcPr>
            <w:tcW w:type="dxa" w:w="32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shd w:val="nil" w:color="auto" w:fill="auto"/>
                <w:rtl w:val="0"/>
                <w:lang w:val="en-US"/>
              </w:rPr>
              <w:t>PESTLE (Aguilar, 1967)</w:t>
            </w:r>
          </w:p>
        </w:tc>
        <w:tc>
          <w:tcPr>
            <w:tcW w:type="dxa" w:w="49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shd w:val="nil" w:color="auto" w:fill="auto"/>
                <w:rtl w:val="0"/>
                <w:lang w:val="en-US"/>
              </w:rPr>
              <w:t>Scans the political, economic, social, technological, legal and environmental factors in each country</w:t>
            </w:r>
          </w:p>
        </w:tc>
      </w:tr>
      <w:tr>
        <w:tblPrEx>
          <w:shd w:val="clear" w:color="auto" w:fill="ced7e7"/>
        </w:tblPrEx>
        <w:trPr>
          <w:trHeight w:val="498" w:hRule="atLeast"/>
        </w:trPr>
        <w:tc>
          <w:tcPr>
            <w:tcW w:type="dxa" w:w="12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shd w:val="nil" w:color="auto" w:fill="auto"/>
                <w:rtl w:val="0"/>
                <w:lang w:val="en-US"/>
              </w:rPr>
              <w:t>Explain</w:t>
            </w:r>
          </w:p>
        </w:tc>
        <w:tc>
          <w:tcPr>
            <w:tcW w:type="dxa" w:w="32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shd w:val="nil" w:color="auto" w:fill="auto"/>
                <w:rtl w:val="0"/>
                <w:lang w:val="en-US"/>
              </w:rPr>
              <w:t>Swiss cheese model (Reason, 2000)</w:t>
            </w:r>
          </w:p>
        </w:tc>
        <w:tc>
          <w:tcPr>
            <w:tcW w:type="dxa" w:w="49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shd w:val="nil" w:color="auto" w:fill="auto"/>
                <w:rtl w:val="0"/>
                <w:lang w:val="en-US"/>
              </w:rPr>
              <w:t>Shows how gaps in several layers of defence line up to let a failure through</w:t>
            </w:r>
          </w:p>
        </w:tc>
      </w:tr>
      <w:tr>
        <w:tblPrEx>
          <w:shd w:val="clear" w:color="auto" w:fill="ced7e7"/>
        </w:tblPrEx>
        <w:trPr>
          <w:trHeight w:val="775" w:hRule="atLeast"/>
        </w:trPr>
        <w:tc>
          <w:tcPr>
            <w:tcW w:type="dxa" w:w="12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shd w:val="nil" w:color="auto" w:fill="auto"/>
                <w:rtl w:val="0"/>
                <w:lang w:val="en-US"/>
              </w:rPr>
              <w:t>Prioritise</w:t>
            </w:r>
          </w:p>
        </w:tc>
        <w:tc>
          <w:tcPr>
            <w:tcW w:type="dxa" w:w="32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shd w:val="nil" w:color="auto" w:fill="auto"/>
                <w:rtl w:val="0"/>
                <w:lang w:val="en-US"/>
              </w:rPr>
              <w:t>Likelihood-impact matrix, from the ISO 31000 risk process (ISO, 2018)</w:t>
            </w:r>
          </w:p>
        </w:tc>
        <w:tc>
          <w:tcPr>
            <w:tcW w:type="dxa" w:w="49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shd w:val="nil" w:color="auto" w:fill="auto"/>
                <w:rtl w:val="0"/>
                <w:lang w:val="en-US"/>
              </w:rPr>
              <w:t>Scores each risk from 1 to 5 for likelihood and impact; multiply the two to rank them</w:t>
            </w:r>
          </w:p>
        </w:tc>
      </w:tr>
    </w:tbl>
    <w:p>
      <w:pPr>
        <w:pStyle w:val="Heading 2"/>
        <w:widowControl w:val="0"/>
        <w:spacing w:line="240" w:lineRule="auto"/>
      </w:pPr>
    </w:p>
    <w:p>
      <w:pPr>
        <w:pStyle w:val="Heading 2"/>
      </w:pPr>
      <w:r>
        <w:rPr>
          <w:rtl w:val="0"/>
          <w:lang w:val="en-US"/>
        </w:rPr>
        <w:t>Task 1: Identify and prioritise (20 minutes)</w:t>
      </w:r>
    </w:p>
    <w:p>
      <w:pPr>
        <w:pStyle w:val="List Paragraph"/>
        <w:numPr>
          <w:ilvl w:val="0"/>
          <w:numId w:val="2"/>
        </w:numPr>
        <w:rPr>
          <w:lang w:val="en-US"/>
        </w:rPr>
      </w:pPr>
      <w:r>
        <w:rPr>
          <w:rtl w:val="0"/>
          <w:lang w:val="en-US"/>
        </w:rPr>
        <w:t>Use PESTLE to list at least six risks across the UK, Ireland and Brazil.</w:t>
      </w:r>
    </w:p>
    <w:p>
      <w:pPr>
        <w:pStyle w:val="List Paragraph"/>
        <w:numPr>
          <w:ilvl w:val="0"/>
          <w:numId w:val="2"/>
        </w:numPr>
        <w:rPr>
          <w:lang w:val="en-US"/>
        </w:rPr>
      </w:pPr>
      <w:r>
        <w:rPr>
          <w:rtl w:val="0"/>
          <w:lang w:val="en-US"/>
        </w:rPr>
        <w:t>Use the Swiss cheese model to name the gaps that left ViajaBem exposed. Look beyond the technology: consider reporting lines, suppliers and decisions about cost.</w:t>
      </w:r>
    </w:p>
    <w:p>
      <w:pPr>
        <w:pStyle w:val="List Paragraph"/>
        <w:numPr>
          <w:ilvl w:val="0"/>
          <w:numId w:val="2"/>
        </w:numPr>
        <w:rPr>
          <w:lang w:val="en-US"/>
        </w:rPr>
      </w:pPr>
      <w:r>
        <w:rPr>
          <w:rtl w:val="0"/>
          <w:lang w:val="en-US"/>
        </w:rPr>
        <w:t>Score each risk on the likelihood-impact matrix and select your top three.</w:t>
      </w:r>
    </w:p>
    <w:tbl>
      <w:tblPr>
        <w:tblW w:w="936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749"/>
        <w:gridCol w:w="1069"/>
        <w:gridCol w:w="905"/>
        <w:gridCol w:w="1646"/>
        <w:gridCol w:w="2266"/>
        <w:gridCol w:w="1861"/>
        <w:gridCol w:w="864"/>
      </w:tblGrid>
      <w:tr>
        <w:tblPrEx>
          <w:shd w:val="clear" w:color="auto" w:fill="4f81bd"/>
        </w:tblPrEx>
        <w:trPr>
          <w:trHeight w:val="221" w:hRule="atLeast"/>
          <w:tblHeader/>
        </w:trPr>
        <w:tc>
          <w:tcPr>
            <w:tcW w:type="dxa" w:w="7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shd w:val="nil" w:color="auto" w:fill="auto"/>
                <w:rtl w:val="0"/>
                <w:lang w:val="en-US"/>
              </w:rPr>
              <w:t>Risk</w:t>
            </w:r>
          </w:p>
        </w:tc>
        <w:tc>
          <w:tcPr>
            <w:tcW w:type="dxa" w:w="10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shd w:val="nil" w:color="auto" w:fill="auto"/>
                <w:rtl w:val="0"/>
                <w:lang w:val="en-US"/>
              </w:rPr>
              <w:t>Country</w:t>
            </w:r>
          </w:p>
        </w:tc>
        <w:tc>
          <w:tcPr>
            <w:tcW w:type="dxa" w:w="9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shd w:val="nil" w:color="auto" w:fill="auto"/>
                <w:rtl w:val="0"/>
                <w:lang w:val="en-US"/>
              </w:rPr>
              <w:t>Cause</w:t>
            </w:r>
          </w:p>
        </w:tc>
        <w:tc>
          <w:tcPr>
            <w:tcW w:type="dxa" w:w="16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shd w:val="nil" w:color="auto" w:fill="auto"/>
                <w:rtl w:val="0"/>
                <w:lang w:val="en-US"/>
              </w:rPr>
              <w:t>Consequence</w:t>
            </w:r>
          </w:p>
        </w:tc>
        <w:tc>
          <w:tcPr>
            <w:tcW w:type="dxa" w:w="226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shd w:val="nil" w:color="auto" w:fill="auto"/>
                <w:rtl w:val="0"/>
                <w:lang w:val="en-US"/>
              </w:rPr>
              <w:t>Likelihood (1 to 5)</w:t>
            </w:r>
          </w:p>
        </w:tc>
        <w:tc>
          <w:tcPr>
            <w:tcW w:type="dxa" w:w="18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shd w:val="nil" w:color="auto" w:fill="auto"/>
                <w:rtl w:val="0"/>
                <w:lang w:val="en-US"/>
              </w:rPr>
              <w:t>Impact (1 to 5)</w:t>
            </w:r>
          </w:p>
        </w:tc>
        <w:tc>
          <w:tcPr>
            <w:tcW w:type="dxa" w:w="8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shd w:val="nil" w:color="auto" w:fill="auto"/>
                <w:rtl w:val="0"/>
                <w:lang w:val="en-US"/>
              </w:rPr>
              <w:t>Score</w:t>
            </w:r>
          </w:p>
        </w:tc>
      </w:tr>
      <w:tr>
        <w:tblPrEx>
          <w:shd w:val="clear" w:color="auto" w:fill="ced7e7"/>
        </w:tblPrEx>
        <w:trPr>
          <w:trHeight w:val="221" w:hRule="atLeast"/>
        </w:trPr>
        <w:tc>
          <w:tcPr>
            <w:tcW w:type="dxa" w:w="7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0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6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26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8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21" w:hRule="atLeast"/>
        </w:trPr>
        <w:tc>
          <w:tcPr>
            <w:tcW w:type="dxa" w:w="7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0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6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26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8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21" w:hRule="atLeast"/>
        </w:trPr>
        <w:tc>
          <w:tcPr>
            <w:tcW w:type="dxa" w:w="7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0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6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26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8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21" w:hRule="atLeast"/>
        </w:trPr>
        <w:tc>
          <w:tcPr>
            <w:tcW w:type="dxa" w:w="7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0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6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26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8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21" w:hRule="atLeast"/>
        </w:trPr>
        <w:tc>
          <w:tcPr>
            <w:tcW w:type="dxa" w:w="7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0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6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26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8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21" w:hRule="atLeast"/>
        </w:trPr>
        <w:tc>
          <w:tcPr>
            <w:tcW w:type="dxa" w:w="7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0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6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26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8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bl>
    <w:p>
      <w:pPr>
        <w:pStyle w:val="List Paragraph"/>
        <w:widowControl w:val="0"/>
        <w:numPr>
          <w:ilvl w:val="0"/>
          <w:numId w:val="2"/>
        </w:numPr>
        <w:spacing w:line="240" w:lineRule="auto"/>
      </w:pPr>
    </w:p>
    <w:p>
      <w:pPr>
        <w:pStyle w:val="Heading 2"/>
      </w:pPr>
      <w:r>
        <w:rPr>
          <w:rtl w:val="0"/>
          <w:lang w:val="en-US"/>
        </w:rPr>
        <w:t>Task 2: Respond (30 minutes)</w:t>
      </w:r>
    </w:p>
    <w:p>
      <w:pPr>
        <w:pStyle w:val="Body"/>
      </w:pPr>
      <w:r>
        <w:rPr>
          <w:rtl w:val="0"/>
          <w:lang w:val="en-US"/>
        </w:rPr>
        <w:t>Your lecturer will release three updates, about ten minutes apart. For each, agree a decision and record it below. You will not have all the information you want; decide anyway and note what you are missing.</w:t>
      </w:r>
    </w:p>
    <w:tbl>
      <w:tblPr>
        <w:tblW w:w="9359"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48"/>
        <w:gridCol w:w="1780"/>
        <w:gridCol w:w="915"/>
        <w:gridCol w:w="3281"/>
        <w:gridCol w:w="2435"/>
      </w:tblGrid>
      <w:tr>
        <w:tblPrEx>
          <w:shd w:val="clear" w:color="auto" w:fill="4f81bd"/>
        </w:tblPrEx>
        <w:trPr>
          <w:trHeight w:val="221" w:hRule="atLeast"/>
          <w:tblHeader/>
        </w:trPr>
        <w:tc>
          <w:tcPr>
            <w:tcW w:type="dxa" w:w="9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shd w:val="nil" w:color="auto" w:fill="auto"/>
                <w:rtl w:val="0"/>
                <w:lang w:val="en-US"/>
              </w:rPr>
              <w:t>Update</w:t>
            </w:r>
          </w:p>
        </w:tc>
        <w:tc>
          <w:tcPr>
            <w:tcW w:type="dxa" w:w="17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shd w:val="nil" w:color="auto" w:fill="auto"/>
                <w:rtl w:val="0"/>
                <w:lang w:val="en-US"/>
              </w:rPr>
              <w:t>Decision taken</w:t>
            </w:r>
          </w:p>
        </w:tc>
        <w:tc>
          <w:tcPr>
            <w:tcW w:type="dxa" w:w="9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shd w:val="nil" w:color="auto" w:fill="auto"/>
                <w:rtl w:val="0"/>
                <w:lang w:val="en-US"/>
              </w:rPr>
              <w:t>Owner</w:t>
            </w:r>
          </w:p>
        </w:tc>
        <w:tc>
          <w:tcPr>
            <w:tcW w:type="dxa" w:w="32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shd w:val="nil" w:color="auto" w:fill="auto"/>
                <w:rtl w:val="0"/>
                <w:lang w:val="en-US"/>
              </w:rPr>
              <w:t>Which countries does it affect?</w:t>
            </w:r>
          </w:p>
        </w:tc>
        <w:tc>
          <w:tcPr>
            <w:tcW w:type="dxa" w:w="24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shd w:val="nil" w:color="auto" w:fill="auto"/>
                <w:rtl w:val="0"/>
                <w:lang w:val="en-US"/>
              </w:rPr>
              <w:t>Information we lacked</w:t>
            </w:r>
          </w:p>
        </w:tc>
      </w:tr>
      <w:tr>
        <w:tblPrEx>
          <w:shd w:val="clear" w:color="auto" w:fill="ced7e7"/>
        </w:tblPrEx>
        <w:trPr>
          <w:trHeight w:val="221" w:hRule="atLeast"/>
        </w:trPr>
        <w:tc>
          <w:tcPr>
            <w:tcW w:type="dxa" w:w="9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shd w:val="nil" w:color="auto" w:fill="auto"/>
                <w:rtl w:val="0"/>
                <w:lang w:val="en-US"/>
              </w:rPr>
              <w:t>1</w:t>
            </w:r>
          </w:p>
        </w:tc>
        <w:tc>
          <w:tcPr>
            <w:tcW w:type="dxa" w:w="17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32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4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21" w:hRule="atLeast"/>
        </w:trPr>
        <w:tc>
          <w:tcPr>
            <w:tcW w:type="dxa" w:w="9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shd w:val="nil" w:color="auto" w:fill="auto"/>
                <w:rtl w:val="0"/>
                <w:lang w:val="en-US"/>
              </w:rPr>
              <w:t>2</w:t>
            </w:r>
          </w:p>
        </w:tc>
        <w:tc>
          <w:tcPr>
            <w:tcW w:type="dxa" w:w="17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32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4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21" w:hRule="atLeast"/>
        </w:trPr>
        <w:tc>
          <w:tcPr>
            <w:tcW w:type="dxa" w:w="9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shd w:val="nil" w:color="auto" w:fill="auto"/>
                <w:rtl w:val="0"/>
                <w:lang w:val="en-US"/>
              </w:rPr>
              <w:t>3</w:t>
            </w:r>
          </w:p>
        </w:tc>
        <w:tc>
          <w:tcPr>
            <w:tcW w:type="dxa" w:w="17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32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4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bl>
    <w:p>
      <w:pPr>
        <w:pStyle w:val="Body"/>
        <w:widowControl w:val="0"/>
        <w:spacing w:line="240" w:lineRule="auto"/>
      </w:pPr>
    </w:p>
    <w:p>
      <w:pPr>
        <w:pStyle w:val="Heading 2"/>
      </w:pPr>
      <w:r>
        <w:rPr>
          <w:rtl w:val="0"/>
          <w:lang w:val="en-US"/>
        </w:rPr>
        <w:t>Task 3: Design the incident response structure (25 minutes)</w:t>
      </w:r>
    </w:p>
    <w:p>
      <w:pPr>
        <w:pStyle w:val="Body"/>
      </w:pPr>
      <w:r>
        <w:rPr>
          <w:rtl w:val="0"/>
          <w:lang w:val="en-US"/>
        </w:rPr>
        <w:t>Corran had no structure in place for an incident of this kind. Drawing on Tasks 1 and 2, design one.</w:t>
      </w:r>
    </w:p>
    <w:p>
      <w:pPr>
        <w:pStyle w:val="Heading 3"/>
      </w:pPr>
      <w:r>
        <w:rPr>
          <w:rtl w:val="0"/>
          <w:lang w:val="en-US"/>
        </w:rPr>
        <w:t>Part A: Roles (8 minutes)</w:t>
      </w:r>
    </w:p>
    <w:p>
      <w:pPr>
        <w:pStyle w:val="Body"/>
      </w:pPr>
      <w:r>
        <w:rPr>
          <w:rtl w:val="0"/>
          <w:lang w:val="en-US"/>
        </w:rPr>
        <w:t>Define the roles an organisation needs in place to respond to an incident like PHP2Shell. Go beyond the five roles in your group. Consider who leads the response day to day, who investigates, who deals with regulators and insurers, who supports staff, who acts in each country, and which roles should be filled by outside specialists.</w:t>
      </w:r>
    </w:p>
    <w:tbl>
      <w:tblPr>
        <w:tblW w:w="9357"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729"/>
        <w:gridCol w:w="2246"/>
        <w:gridCol w:w="2494"/>
        <w:gridCol w:w="2566"/>
        <w:gridCol w:w="1322"/>
      </w:tblGrid>
      <w:tr>
        <w:tblPrEx>
          <w:shd w:val="clear" w:color="auto" w:fill="4f81bd"/>
        </w:tblPrEx>
        <w:trPr>
          <w:trHeight w:val="221" w:hRule="atLeast"/>
          <w:tblHeader/>
        </w:trPr>
        <w:tc>
          <w:tcPr>
            <w:tcW w:type="dxa" w:w="72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shd w:val="nil" w:color="auto" w:fill="auto"/>
                <w:rtl w:val="0"/>
                <w:lang w:val="en-US"/>
              </w:rPr>
              <w:t>Role</w:t>
            </w:r>
          </w:p>
        </w:tc>
        <w:tc>
          <w:tcPr>
            <w:tcW w:type="dxa" w:w="22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shd w:val="nil" w:color="auto" w:fill="auto"/>
                <w:rtl w:val="0"/>
                <w:lang w:val="en-US"/>
              </w:rPr>
              <w:t>Internal or external</w:t>
            </w:r>
          </w:p>
        </w:tc>
        <w:tc>
          <w:tcPr>
            <w:tcW w:type="dxa" w:w="24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shd w:val="nil" w:color="auto" w:fill="auto"/>
                <w:rtl w:val="0"/>
                <w:lang w:val="en-US"/>
              </w:rPr>
              <w:t>Main responsibilities</w:t>
            </w:r>
          </w:p>
        </w:tc>
        <w:tc>
          <w:tcPr>
            <w:tcW w:type="dxa" w:w="25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shd w:val="nil" w:color="auto" w:fill="auto"/>
                <w:rtl w:val="0"/>
                <w:lang w:val="en-US"/>
              </w:rPr>
              <w:t>Country or group level</w:t>
            </w:r>
          </w:p>
        </w:tc>
        <w:tc>
          <w:tcPr>
            <w:tcW w:type="dxa" w:w="13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shd w:val="nil" w:color="auto" w:fill="auto"/>
                <w:rtl w:val="0"/>
                <w:lang w:val="en-US"/>
              </w:rPr>
              <w:t>Reports to</w:t>
            </w:r>
          </w:p>
        </w:tc>
      </w:tr>
      <w:tr>
        <w:tblPrEx>
          <w:shd w:val="clear" w:color="auto" w:fill="ced7e7"/>
        </w:tblPrEx>
        <w:trPr>
          <w:trHeight w:val="221" w:hRule="atLeast"/>
        </w:trPr>
        <w:tc>
          <w:tcPr>
            <w:tcW w:type="dxa" w:w="72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2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4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5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3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21" w:hRule="atLeast"/>
        </w:trPr>
        <w:tc>
          <w:tcPr>
            <w:tcW w:type="dxa" w:w="72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2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4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5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3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21" w:hRule="atLeast"/>
        </w:trPr>
        <w:tc>
          <w:tcPr>
            <w:tcW w:type="dxa" w:w="72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2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4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5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3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21" w:hRule="atLeast"/>
        </w:trPr>
        <w:tc>
          <w:tcPr>
            <w:tcW w:type="dxa" w:w="72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2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4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5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3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21" w:hRule="atLeast"/>
        </w:trPr>
        <w:tc>
          <w:tcPr>
            <w:tcW w:type="dxa" w:w="72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2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4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5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3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21" w:hRule="atLeast"/>
        </w:trPr>
        <w:tc>
          <w:tcPr>
            <w:tcW w:type="dxa" w:w="72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2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4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5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3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21" w:hRule="atLeast"/>
        </w:trPr>
        <w:tc>
          <w:tcPr>
            <w:tcW w:type="dxa" w:w="72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2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4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5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3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21" w:hRule="atLeast"/>
        </w:trPr>
        <w:tc>
          <w:tcPr>
            <w:tcW w:type="dxa" w:w="72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2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4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5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3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bl>
    <w:p>
      <w:pPr>
        <w:pStyle w:val="Body"/>
        <w:widowControl w:val="0"/>
        <w:spacing w:line="240" w:lineRule="auto"/>
      </w:pPr>
    </w:p>
    <w:p>
      <w:pPr>
        <w:pStyle w:val="Heading 3"/>
      </w:pPr>
      <w:r>
        <w:rPr>
          <w:rtl w:val="0"/>
          <w:lang w:val="en-US"/>
        </w:rPr>
        <w:t>Part B: Governance structure (8 minutes)</w:t>
      </w:r>
    </w:p>
    <w:p>
      <w:pPr>
        <w:pStyle w:val="Body"/>
      </w:pPr>
      <w:r>
        <w:rPr>
          <w:rtl w:val="0"/>
          <w:lang w:val="en-US"/>
        </w:rPr>
        <w:t>Outline the governance structure Corran needs, and sketch it as a diagram on your flipchart. Address these questions:</w:t>
      </w:r>
    </w:p>
    <w:p>
      <w:pPr>
        <w:pStyle w:val="List Paragraph"/>
        <w:numPr>
          <w:ilvl w:val="0"/>
          <w:numId w:val="4"/>
        </w:numPr>
        <w:rPr>
          <w:lang w:val="en-US"/>
        </w:rPr>
      </w:pPr>
      <w:r>
        <w:rPr>
          <w:rtl w:val="0"/>
          <w:lang w:val="en-US"/>
        </w:rPr>
        <w:t>Who is ultimately accountable for cyber risk, and how does the board oversee it?</w:t>
      </w:r>
    </w:p>
    <w:p>
      <w:pPr>
        <w:pStyle w:val="List Paragraph"/>
        <w:numPr>
          <w:ilvl w:val="0"/>
          <w:numId w:val="4"/>
        </w:numPr>
        <w:rPr>
          <w:lang w:val="en-US"/>
        </w:rPr>
      </w:pPr>
      <w:r>
        <w:rPr>
          <w:rtl w:val="0"/>
          <w:lang w:val="en-US"/>
        </w:rPr>
        <w:t>Which body takes decisions during an incident, and how quickly can it meet?</w:t>
      </w:r>
    </w:p>
    <w:p>
      <w:pPr>
        <w:pStyle w:val="List Paragraph"/>
        <w:numPr>
          <w:ilvl w:val="0"/>
          <w:numId w:val="4"/>
        </w:numPr>
        <w:rPr>
          <w:lang w:val="en-US"/>
        </w:rPr>
      </w:pPr>
      <w:r>
        <w:rPr>
          <w:rtl w:val="0"/>
          <w:lang w:val="en-US"/>
        </w:rPr>
        <w:t>Which decisions should be taken centrally in London, and which locally in Ireland or Brazil?</w:t>
      </w:r>
    </w:p>
    <w:p>
      <w:pPr>
        <w:pStyle w:val="List Paragraph"/>
        <w:numPr>
          <w:ilvl w:val="0"/>
          <w:numId w:val="4"/>
        </w:numPr>
        <w:rPr>
          <w:lang w:val="en-US"/>
        </w:rPr>
      </w:pPr>
      <w:r>
        <w:rPr>
          <w:rtl w:val="0"/>
          <w:lang w:val="en-US"/>
        </w:rPr>
        <w:t>What should trigger escalation to the board?</w:t>
      </w:r>
    </w:p>
    <w:p>
      <w:pPr>
        <w:pStyle w:val="List Paragraph"/>
        <w:numPr>
          <w:ilvl w:val="0"/>
          <w:numId w:val="4"/>
        </w:numPr>
        <w:rPr>
          <w:lang w:val="en-US"/>
        </w:rPr>
      </w:pPr>
      <w:r>
        <w:rPr>
          <w:rtl w:val="0"/>
          <w:lang w:val="en-US"/>
        </w:rPr>
        <w:t>How does information reach London from S</w:t>
      </w:r>
      <w:r>
        <w:rPr>
          <w:rtl w:val="0"/>
          <w:lang w:val="en-US"/>
        </w:rPr>
        <w:t>ã</w:t>
      </w:r>
      <w:r>
        <w:rPr>
          <w:rtl w:val="0"/>
          <w:lang w:val="en-US"/>
        </w:rPr>
        <w:t>o Paulo, and who checks it?</w:t>
      </w:r>
    </w:p>
    <w:p>
      <w:pPr>
        <w:pStyle w:val="Body"/>
      </w:pPr>
      <w:r>
        <w:rPr>
          <w:rtl w:val="0"/>
          <w:lang w:val="en-US"/>
        </w:rPr>
        <w:t>You may find the Three Lines Model useful (IIA, 2020).</w:t>
      </w:r>
    </w:p>
    <w:tbl>
      <w:tblPr>
        <w:tblW w:w="9357"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3273"/>
        <w:gridCol w:w="1850"/>
        <w:gridCol w:w="2628"/>
        <w:gridCol w:w="1606"/>
      </w:tblGrid>
      <w:tr>
        <w:tblPrEx>
          <w:shd w:val="clear" w:color="auto" w:fill="4f81bd"/>
        </w:tblPrEx>
        <w:trPr>
          <w:trHeight w:val="221" w:hRule="atLeast"/>
          <w:tblHeader/>
        </w:trPr>
        <w:tc>
          <w:tcPr>
            <w:tcW w:type="dxa" w:w="32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shd w:val="nil" w:color="auto" w:fill="auto"/>
                <w:rtl w:val="0"/>
                <w:lang w:val="en-US"/>
              </w:rPr>
              <w:t>Level</w:t>
            </w:r>
          </w:p>
        </w:tc>
        <w:tc>
          <w:tcPr>
            <w:tcW w:type="dxa" w:w="1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shd w:val="nil" w:color="auto" w:fill="auto"/>
                <w:rtl w:val="0"/>
                <w:lang w:val="en-US"/>
              </w:rPr>
              <w:t>Body or role</w:t>
            </w:r>
          </w:p>
        </w:tc>
        <w:tc>
          <w:tcPr>
            <w:tcW w:type="dxa" w:w="262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shd w:val="nil" w:color="auto" w:fill="auto"/>
                <w:rtl w:val="0"/>
                <w:lang w:val="en-US"/>
              </w:rPr>
              <w:t>Decisions it takes</w:t>
            </w:r>
          </w:p>
        </w:tc>
        <w:tc>
          <w:tcPr>
            <w:tcW w:type="dxa" w:w="16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shd w:val="nil" w:color="auto" w:fill="auto"/>
                <w:rtl w:val="0"/>
                <w:lang w:val="en-US"/>
              </w:rPr>
              <w:t>Reports to</w:t>
            </w:r>
          </w:p>
        </w:tc>
      </w:tr>
      <w:tr>
        <w:tblPrEx>
          <w:shd w:val="clear" w:color="auto" w:fill="ced7e7"/>
        </w:tblPrEx>
        <w:trPr>
          <w:trHeight w:val="221" w:hRule="atLeast"/>
        </w:trPr>
        <w:tc>
          <w:tcPr>
            <w:tcW w:type="dxa" w:w="32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shd w:val="nil" w:color="auto" w:fill="auto"/>
                <w:rtl w:val="0"/>
                <w:lang w:val="en-US"/>
              </w:rPr>
              <w:t>Board</w:t>
            </w:r>
          </w:p>
        </w:tc>
        <w:tc>
          <w:tcPr>
            <w:tcW w:type="dxa" w:w="1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62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6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21" w:hRule="atLeast"/>
        </w:trPr>
        <w:tc>
          <w:tcPr>
            <w:tcW w:type="dxa" w:w="32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shd w:val="nil" w:color="auto" w:fill="auto"/>
                <w:rtl w:val="0"/>
                <w:lang w:val="en-US"/>
              </w:rPr>
              <w:t>Board committee</w:t>
            </w:r>
          </w:p>
        </w:tc>
        <w:tc>
          <w:tcPr>
            <w:tcW w:type="dxa" w:w="1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62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6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21" w:hRule="atLeast"/>
        </w:trPr>
        <w:tc>
          <w:tcPr>
            <w:tcW w:type="dxa" w:w="32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shd w:val="nil" w:color="auto" w:fill="auto"/>
                <w:rtl w:val="0"/>
                <w:lang w:val="en-US"/>
              </w:rPr>
              <w:t>Executive</w:t>
            </w:r>
          </w:p>
        </w:tc>
        <w:tc>
          <w:tcPr>
            <w:tcW w:type="dxa" w:w="1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62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6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21" w:hRule="atLeast"/>
        </w:trPr>
        <w:tc>
          <w:tcPr>
            <w:tcW w:type="dxa" w:w="32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shd w:val="nil" w:color="auto" w:fill="auto"/>
                <w:rtl w:val="0"/>
                <w:lang w:val="en-US"/>
              </w:rPr>
              <w:t>Incident response team</w:t>
            </w:r>
          </w:p>
        </w:tc>
        <w:tc>
          <w:tcPr>
            <w:tcW w:type="dxa" w:w="1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62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6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21" w:hRule="atLeast"/>
        </w:trPr>
        <w:tc>
          <w:tcPr>
            <w:tcW w:type="dxa" w:w="32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shd w:val="nil" w:color="auto" w:fill="auto"/>
                <w:rtl w:val="0"/>
                <w:lang w:val="en-US"/>
              </w:rPr>
              <w:t>Country level</w:t>
            </w:r>
          </w:p>
        </w:tc>
        <w:tc>
          <w:tcPr>
            <w:tcW w:type="dxa" w:w="1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62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6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bl>
    <w:p>
      <w:pPr>
        <w:pStyle w:val="Body"/>
        <w:widowControl w:val="0"/>
        <w:spacing w:line="240" w:lineRule="auto"/>
      </w:pPr>
    </w:p>
    <w:p>
      <w:pPr>
        <w:pStyle w:val="Heading 3"/>
      </w:pPr>
      <w:r>
        <w:rPr>
          <w:rtl w:val="0"/>
          <w:lang w:val="en-US"/>
        </w:rPr>
        <w:t>Part C: Working across jurisdictions (9 minutes)</w:t>
      </w:r>
    </w:p>
    <w:p>
      <w:pPr>
        <w:pStyle w:val="Body"/>
      </w:pPr>
      <w:r>
        <w:rPr>
          <w:rtl w:val="0"/>
          <w:lang w:val="en-US"/>
        </w:rPr>
        <w:t>One incident places Corran under three legal regimes at once. They differ in who must be told, how quickly, what counts as a breach and what language communications must be in. Requirements can also conflict: investigators may need to move data out of Brazil, or the police in one country may ask Corran to delay telling customers while another regulator's deadline runs. Time zones and languages slow coordination further.</w:t>
      </w:r>
    </w:p>
    <w:p>
      <w:pPr>
        <w:pStyle w:val="Body"/>
      </w:pPr>
      <w:r>
        <w:rPr>
          <w:rtl w:val="0"/>
          <w:lang w:val="en-US"/>
        </w:rPr>
        <w:t>Complete the table using what you know and can find quickly. Where you are unsure, say so; that is part of the point.</w:t>
      </w:r>
    </w:p>
    <w:tbl>
      <w:tblPr>
        <w:tblW w:w="9358"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008"/>
        <w:gridCol w:w="1938"/>
        <w:gridCol w:w="1528"/>
        <w:gridCol w:w="884"/>
      </w:tblGrid>
      <w:tr>
        <w:tblPrEx>
          <w:shd w:val="clear" w:color="auto" w:fill="4f81bd"/>
        </w:tblPrEx>
        <w:trPr>
          <w:trHeight w:val="221" w:hRule="atLeast"/>
          <w:tblHeader/>
        </w:trPr>
        <w:tc>
          <w:tcPr>
            <w:tcW w:type="dxa" w:w="50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shd w:val="nil" w:color="auto" w:fill="auto"/>
                <w:rtl w:val="0"/>
                <w:lang w:val="en-US"/>
              </w:rPr>
              <w:t>Question</w:t>
            </w:r>
          </w:p>
        </w:tc>
        <w:tc>
          <w:tcPr>
            <w:tcW w:type="dxa" w:w="19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shd w:val="nil" w:color="auto" w:fill="auto"/>
                <w:rtl w:val="0"/>
                <w:lang w:val="en-US"/>
              </w:rPr>
              <w:t>United Kingdom</w:t>
            </w:r>
          </w:p>
        </w:tc>
        <w:tc>
          <w:tcPr>
            <w:tcW w:type="dxa" w:w="152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shd w:val="nil" w:color="auto" w:fill="auto"/>
                <w:rtl w:val="0"/>
                <w:lang w:val="en-US"/>
              </w:rPr>
              <w:t>Ireland (EU)</w:t>
            </w:r>
          </w:p>
        </w:tc>
        <w:tc>
          <w:tcPr>
            <w:tcW w:type="dxa" w:w="8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shd w:val="nil" w:color="auto" w:fill="auto"/>
                <w:rtl w:val="0"/>
                <w:lang w:val="en-US"/>
              </w:rPr>
              <w:t>Brazil</w:t>
            </w:r>
          </w:p>
        </w:tc>
      </w:tr>
      <w:tr>
        <w:tblPrEx>
          <w:shd w:val="clear" w:color="auto" w:fill="ced7e7"/>
        </w:tblPrEx>
        <w:trPr>
          <w:trHeight w:val="221" w:hRule="atLeast"/>
        </w:trPr>
        <w:tc>
          <w:tcPr>
            <w:tcW w:type="dxa" w:w="50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shd w:val="nil" w:color="auto" w:fill="auto"/>
                <w:rtl w:val="0"/>
                <w:lang w:val="en-US"/>
              </w:rPr>
              <w:t>Which regulator must be told?</w:t>
            </w:r>
          </w:p>
        </w:tc>
        <w:tc>
          <w:tcPr>
            <w:tcW w:type="dxa" w:w="19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52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21" w:hRule="atLeast"/>
        </w:trPr>
        <w:tc>
          <w:tcPr>
            <w:tcW w:type="dxa" w:w="50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shd w:val="nil" w:color="auto" w:fill="auto"/>
                <w:rtl w:val="0"/>
                <w:lang w:val="en-US"/>
              </w:rPr>
              <w:t>How quickly?</w:t>
            </w:r>
          </w:p>
        </w:tc>
        <w:tc>
          <w:tcPr>
            <w:tcW w:type="dxa" w:w="19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52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21" w:hRule="atLeast"/>
        </w:trPr>
        <w:tc>
          <w:tcPr>
            <w:tcW w:type="dxa" w:w="50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shd w:val="nil" w:color="auto" w:fill="auto"/>
                <w:rtl w:val="0"/>
                <w:lang w:val="en-US"/>
              </w:rPr>
              <w:t>Must affected customers be told?</w:t>
            </w:r>
          </w:p>
        </w:tc>
        <w:tc>
          <w:tcPr>
            <w:tcW w:type="dxa" w:w="19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52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21" w:hRule="atLeast"/>
        </w:trPr>
        <w:tc>
          <w:tcPr>
            <w:tcW w:type="dxa" w:w="50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shd w:val="nil" w:color="auto" w:fill="auto"/>
                <w:rtl w:val="0"/>
                <w:lang w:val="en-US"/>
              </w:rPr>
              <w:t>What rules protect staff data?</w:t>
            </w:r>
          </w:p>
        </w:tc>
        <w:tc>
          <w:tcPr>
            <w:tcW w:type="dxa" w:w="19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52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21" w:hRule="atLeast"/>
        </w:trPr>
        <w:tc>
          <w:tcPr>
            <w:tcW w:type="dxa" w:w="50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shd w:val="nil" w:color="auto" w:fill="auto"/>
                <w:rtl w:val="0"/>
                <w:lang w:val="en-US"/>
              </w:rPr>
              <w:t>Can data be moved abroad for investigation?</w:t>
            </w:r>
          </w:p>
        </w:tc>
        <w:tc>
          <w:tcPr>
            <w:tcW w:type="dxa" w:w="19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52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21" w:hRule="atLeast"/>
        </w:trPr>
        <w:tc>
          <w:tcPr>
            <w:tcW w:type="dxa" w:w="50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shd w:val="nil" w:color="auto" w:fill="auto"/>
                <w:rtl w:val="0"/>
                <w:lang w:val="en-US"/>
              </w:rPr>
              <w:t>Who gives local legal advice?</w:t>
            </w:r>
          </w:p>
        </w:tc>
        <w:tc>
          <w:tcPr>
            <w:tcW w:type="dxa" w:w="19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52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21" w:hRule="atLeast"/>
        </w:trPr>
        <w:tc>
          <w:tcPr>
            <w:tcW w:type="dxa" w:w="50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shd w:val="nil" w:color="auto" w:fill="auto"/>
                <w:rtl w:val="0"/>
                <w:lang w:val="en-US"/>
              </w:rPr>
              <w:t>In what language must communications be made?</w:t>
            </w:r>
          </w:p>
        </w:tc>
        <w:tc>
          <w:tcPr>
            <w:tcW w:type="dxa" w:w="19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52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bl>
    <w:p>
      <w:pPr>
        <w:pStyle w:val="Body"/>
        <w:widowControl w:val="0"/>
        <w:spacing w:line="240" w:lineRule="auto"/>
      </w:pPr>
    </w:p>
    <w:p>
      <w:pPr>
        <w:pStyle w:val="Body"/>
      </w:pPr>
      <w:r>
        <w:rPr>
          <w:rtl w:val="0"/>
          <w:lang w:val="en-US"/>
        </w:rPr>
        <w:t>Then identify one point where a single group-wide approach would not work, and explain how your governance structure from Part B deals with it.</w:t>
      </w:r>
    </w:p>
    <w:p>
      <w:pPr>
        <w:pStyle w:val="Heading 2"/>
      </w:pPr>
      <w:r>
        <w:rPr>
          <w:rtl w:val="0"/>
          <w:lang w:val="en-US"/>
        </w:rPr>
        <w:t>Task 4: Brief the board (10 minutes)</w:t>
      </w:r>
    </w:p>
    <w:p>
      <w:pPr>
        <w:pStyle w:val="Body"/>
      </w:pPr>
      <w:r>
        <w:rPr>
          <w:rtl w:val="0"/>
          <w:lang w:val="en-US"/>
        </w:rPr>
        <w:t>In two minutes, tell the board:</w:t>
      </w:r>
    </w:p>
    <w:p>
      <w:pPr>
        <w:pStyle w:val="List Paragraph"/>
        <w:numPr>
          <w:ilvl w:val="0"/>
          <w:numId w:val="5"/>
        </w:numPr>
        <w:rPr>
          <w:lang w:val="en-US"/>
        </w:rPr>
      </w:pPr>
      <w:r>
        <w:rPr>
          <w:rtl w:val="0"/>
          <w:lang w:val="en-US"/>
        </w:rPr>
        <w:t>what has happened;</w:t>
      </w:r>
    </w:p>
    <w:p>
      <w:pPr>
        <w:pStyle w:val="List Paragraph"/>
        <w:numPr>
          <w:ilvl w:val="0"/>
          <w:numId w:val="2"/>
        </w:numPr>
        <w:rPr>
          <w:lang w:val="en-US"/>
        </w:rPr>
      </w:pPr>
      <w:r>
        <w:rPr>
          <w:rtl w:val="0"/>
          <w:lang w:val="en-US"/>
        </w:rPr>
        <w:t>your top three risks;</w:t>
      </w:r>
    </w:p>
    <w:p>
      <w:pPr>
        <w:pStyle w:val="List Paragraph"/>
        <w:numPr>
          <w:ilvl w:val="0"/>
          <w:numId w:val="2"/>
        </w:numPr>
        <w:rPr>
          <w:lang w:val="en-US"/>
        </w:rPr>
      </w:pPr>
      <w:r>
        <w:rPr>
          <w:rtl w:val="0"/>
          <w:lang w:val="en-US"/>
        </w:rPr>
        <w:t>the decisions you have taken;</w:t>
      </w:r>
    </w:p>
    <w:p>
      <w:pPr>
        <w:pStyle w:val="List Paragraph"/>
        <w:numPr>
          <w:ilvl w:val="0"/>
          <w:numId w:val="2"/>
        </w:numPr>
        <w:rPr>
          <w:lang w:val="en-US"/>
        </w:rPr>
      </w:pPr>
      <w:r>
        <w:rPr>
          <w:rtl w:val="0"/>
          <w:lang w:val="en-US"/>
        </w:rPr>
        <w:t>the roles and governance structure you recommend, and how it handles the differences between countries;</w:t>
      </w:r>
    </w:p>
    <w:p>
      <w:pPr>
        <w:pStyle w:val="List Paragraph"/>
        <w:numPr>
          <w:ilvl w:val="0"/>
          <w:numId w:val="2"/>
        </w:numPr>
        <w:rPr>
          <w:lang w:val="en-US"/>
        </w:rPr>
      </w:pPr>
      <w:r>
        <w:rPr>
          <w:rtl w:val="0"/>
          <w:lang w:val="en-US"/>
        </w:rPr>
        <w:t>what you need from the board.</w:t>
      </w:r>
    </w:p>
    <w:p>
      <w:pPr>
        <w:pStyle w:val="Heading 2"/>
      </w:pPr>
      <w:r>
        <w:rPr>
          <w:rtl w:val="0"/>
          <w:lang w:val="fr-FR"/>
        </w:rPr>
        <w:t>Discussion questions</w:t>
      </w:r>
    </w:p>
    <w:p>
      <w:pPr>
        <w:pStyle w:val="List Paragraph"/>
        <w:numPr>
          <w:ilvl w:val="0"/>
          <w:numId w:val="6"/>
        </w:numPr>
        <w:rPr>
          <w:lang w:val="en-US"/>
        </w:rPr>
      </w:pPr>
      <w:r>
        <w:rPr>
          <w:rtl w:val="0"/>
          <w:lang w:val="en-US"/>
        </w:rPr>
        <w:t>What did your three models miss? Cox (2008) argues that likelihood-impact matrices can rank risks inconsistently. Did scoring help your decisions or give false precision?</w:t>
      </w:r>
    </w:p>
    <w:p>
      <w:pPr>
        <w:pStyle w:val="List Paragraph"/>
        <w:numPr>
          <w:ilvl w:val="0"/>
          <w:numId w:val="2"/>
        </w:numPr>
        <w:rPr>
          <w:lang w:val="en-US"/>
        </w:rPr>
      </w:pPr>
      <w:r>
        <w:rPr>
          <w:rtl w:val="0"/>
          <w:lang w:val="en-US"/>
        </w:rPr>
        <w:t>How far did differences between the UK, Ireland and Brazil change what you decided?</w:t>
      </w:r>
    </w:p>
    <w:p>
      <w:pPr>
        <w:pStyle w:val="List Paragraph"/>
        <w:numPr>
          <w:ilvl w:val="0"/>
          <w:numId w:val="2"/>
        </w:numPr>
        <w:rPr>
          <w:lang w:val="en-US"/>
        </w:rPr>
      </w:pPr>
      <w:r>
        <w:rPr>
          <w:rtl w:val="0"/>
          <w:lang w:val="en-US"/>
        </w:rPr>
        <w:t>Where did your group place decision-making power: at headquarters or in each country? What would be lost by choosing the other?</w:t>
      </w:r>
    </w:p>
    <w:p>
      <w:pPr>
        <w:pStyle w:val="List Paragraph"/>
        <w:numPr>
          <w:ilvl w:val="0"/>
          <w:numId w:val="2"/>
        </w:numPr>
        <w:rPr>
          <w:lang w:val="en-US"/>
        </w:rPr>
      </w:pPr>
      <w:r>
        <w:rPr>
          <w:rtl w:val="0"/>
          <w:lang w:val="en-US"/>
        </w:rPr>
        <w:t>Should cyber security form part of due diligence before an international acquisition?</w:t>
      </w:r>
    </w:p>
    <w:p>
      <w:pPr>
        <w:pStyle w:val="List Paragraph"/>
        <w:numPr>
          <w:ilvl w:val="0"/>
          <w:numId w:val="2"/>
        </w:numPr>
        <w:rPr>
          <w:lang w:val="en-US"/>
        </w:rPr>
      </w:pPr>
      <w:r>
        <w:rPr>
          <w:rtl w:val="0"/>
          <w:lang w:val="en-US"/>
        </w:rPr>
        <w:t>Much of the global economy depends on software such as PHP, maintained by a foundation and volunteer contributors. Whose responsibility is its security?</w:t>
      </w:r>
    </w:p>
    <w:p>
      <w:pPr>
        <w:pStyle w:val="Heading 2"/>
      </w:pPr>
      <w:r>
        <w:rPr>
          <w:rtl w:val="0"/>
          <w:lang w:val="fr-FR"/>
        </w:rPr>
        <w:t>References</w:t>
      </w:r>
    </w:p>
    <w:p>
      <w:pPr>
        <w:pStyle w:val="Body"/>
      </w:pPr>
      <w:r>
        <w:rPr>
          <w:rtl w:val="0"/>
        </w:rPr>
        <w:t xml:space="preserve">Aguilar, F.J. (1967) </w:t>
      </w:r>
      <w:r>
        <w:rPr>
          <w:i w:val="1"/>
          <w:iCs w:val="1"/>
          <w:rtl w:val="0"/>
          <w:lang w:val="en-US"/>
        </w:rPr>
        <w:t>Scanning the business environment</w:t>
      </w:r>
      <w:r>
        <w:rPr>
          <w:rtl w:val="0"/>
          <w:lang w:val="it-IT"/>
        </w:rPr>
        <w:t>. New York: Macmillan.</w:t>
      </w:r>
    </w:p>
    <w:p>
      <w:pPr>
        <w:pStyle w:val="Body"/>
      </w:pPr>
      <w:r>
        <w:rPr>
          <w:rtl w:val="0"/>
          <w:lang w:val="en-US"/>
        </w:rPr>
        <w:t xml:space="preserve">Cox, L.A. (2008) 'What's wrong with risk matrices?', </w:t>
      </w:r>
      <w:r>
        <w:rPr>
          <w:i w:val="1"/>
          <w:iCs w:val="1"/>
          <w:rtl w:val="0"/>
          <w:lang w:val="en-US"/>
        </w:rPr>
        <w:t>Risk Analysis</w:t>
      </w:r>
      <w:r>
        <w:rPr>
          <w:rtl w:val="0"/>
        </w:rPr>
        <w:t>, 28(2), pp. 497-512.</w:t>
      </w:r>
    </w:p>
    <w:p>
      <w:pPr>
        <w:pStyle w:val="Body"/>
      </w:pPr>
      <w:r>
        <w:rPr>
          <w:rtl w:val="0"/>
          <w:lang w:val="en-US"/>
        </w:rPr>
        <w:t xml:space="preserve">Cybersecurity and Infrastructure Security Agency (CISA) (2026) </w:t>
      </w:r>
      <w:r>
        <w:rPr>
          <w:i w:val="1"/>
          <w:iCs w:val="1"/>
          <w:rtl w:val="0"/>
          <w:lang w:val="en-US"/>
        </w:rPr>
        <w:t>Critical vulnerabilities in PHP require immediate patching</w:t>
      </w:r>
      <w:r>
        <w:rPr>
          <w:rtl w:val="0"/>
          <w:lang w:val="en-US"/>
        </w:rPr>
        <w:t xml:space="preserve">. Available at: </w:t>
      </w:r>
      <w:r>
        <w:rPr>
          <w:rStyle w:val="Hyperlink.0"/>
        </w:rPr>
        <w:fldChar w:fldCharType="begin" w:fldLock="0"/>
      </w:r>
      <w:r>
        <w:rPr>
          <w:rStyle w:val="Hyperlink.0"/>
        </w:rPr>
        <w:instrText xml:space="preserve"> HYPERLINK "https://www.cisa.gov/news-events/alerts/2026/10/21/critical-vulnerabilities-php-require-immediate-patching"</w:instrText>
      </w:r>
      <w:r>
        <w:rPr>
          <w:rStyle w:val="Hyperlink.0"/>
        </w:rPr>
        <w:fldChar w:fldCharType="separate" w:fldLock="0"/>
      </w:r>
      <w:r>
        <w:rPr>
          <w:rStyle w:val="Hyperlink.0"/>
          <w:rtl w:val="0"/>
        </w:rPr>
        <w:t>https://www.cisa.gov/news-events/alerts/2026/10/21/critical-vulnerabilities-php-require-immediate-patching</w:t>
      </w:r>
      <w:r>
        <w:rPr/>
        <w:fldChar w:fldCharType="end" w:fldLock="0"/>
      </w:r>
      <w:r>
        <w:rPr>
          <w:rtl w:val="0"/>
          <w:lang w:val="en-US"/>
        </w:rPr>
        <w:t xml:space="preserve"> (Accessed: 22 October 2026).</w:t>
      </w:r>
    </w:p>
    <w:p>
      <w:pPr>
        <w:pStyle w:val="Body"/>
      </w:pPr>
      <w:r>
        <w:rPr>
          <w:rtl w:val="0"/>
        </w:rPr>
        <w:t xml:space="preserve">Google Cloud (2026) </w:t>
      </w:r>
      <w:r>
        <w:rPr>
          <w:i w:val="1"/>
          <w:iCs w:val="1"/>
          <w:rtl w:val="0"/>
          <w:lang w:val="en-US"/>
        </w:rPr>
        <w:t>Responding to core PHP vulnerabilities CVE-2026-109618 and CVE-2026-109619</w:t>
      </w:r>
      <w:r>
        <w:rPr>
          <w:rtl w:val="0"/>
          <w:lang w:val="en-US"/>
        </w:rPr>
        <w:t xml:space="preserve">. Available at: </w:t>
      </w:r>
      <w:r>
        <w:rPr>
          <w:rStyle w:val="Hyperlink.0"/>
        </w:rPr>
        <w:fldChar w:fldCharType="begin" w:fldLock="0"/>
      </w:r>
      <w:r>
        <w:rPr>
          <w:rStyle w:val="Hyperlink.0"/>
        </w:rPr>
        <w:instrText xml:space="preserve"> HYPERLINK "https://cloud.google.com/blog/products/identity-security/responding-to-core-php-vulnerabilities-cve-2026-109618-cve-2026-109619"</w:instrText>
      </w:r>
      <w:r>
        <w:rPr>
          <w:rStyle w:val="Hyperlink.0"/>
        </w:rPr>
        <w:fldChar w:fldCharType="separate" w:fldLock="0"/>
      </w:r>
      <w:r>
        <w:rPr>
          <w:rStyle w:val="Hyperlink.0"/>
          <w:rtl w:val="0"/>
        </w:rPr>
        <w:t>https://cloud.google.com/blog/products/identity-security/responding-to-core-php-vulnerabilities-cve-2026-109618-cve-2026-109619</w:t>
      </w:r>
      <w:r>
        <w:rPr/>
        <w:fldChar w:fldCharType="end" w:fldLock="0"/>
      </w:r>
      <w:r>
        <w:rPr>
          <w:rtl w:val="0"/>
          <w:lang w:val="en-US"/>
        </w:rPr>
        <w:t xml:space="preserve"> (Accessed: 22 October 2026).</w:t>
      </w:r>
    </w:p>
    <w:p>
      <w:pPr>
        <w:pStyle w:val="Body"/>
      </w:pPr>
      <w:r>
        <w:rPr>
          <w:rtl w:val="0"/>
          <w:lang w:val="en-US"/>
        </w:rPr>
        <w:t xml:space="preserve">Institute of Internal Auditors (IIA) (2020) </w:t>
      </w:r>
      <w:r>
        <w:rPr>
          <w:i w:val="1"/>
          <w:iCs w:val="1"/>
          <w:rtl w:val="0"/>
          <w:lang w:val="en-US"/>
        </w:rPr>
        <w:t>The IIA's Three Lines Model: an update of the Three Lines of Defense</w:t>
      </w:r>
      <w:r>
        <w:rPr>
          <w:rtl w:val="0"/>
          <w:lang w:val="en-US"/>
        </w:rPr>
        <w:t>. Lake Mary, FL: Institute of Internal Auditors.</w:t>
      </w:r>
    </w:p>
    <w:p>
      <w:pPr>
        <w:pStyle w:val="Body"/>
      </w:pPr>
      <w:r>
        <w:rPr>
          <w:rtl w:val="0"/>
          <w:lang w:val="en-US"/>
        </w:rPr>
        <w:t xml:space="preserve">International Organization for Standardization (ISO) (2018) </w:t>
      </w:r>
      <w:r>
        <w:rPr>
          <w:i w:val="1"/>
          <w:iCs w:val="1"/>
          <w:rtl w:val="0"/>
          <w:lang w:val="en-US"/>
        </w:rPr>
        <w:t>ISO 31000:2018 Risk management: guidelines</w:t>
      </w:r>
      <w:r>
        <w:rPr>
          <w:rtl w:val="0"/>
          <w:lang w:val="en-US"/>
        </w:rPr>
        <w:t>. Geneva: ISO.</w:t>
      </w:r>
    </w:p>
    <w:p>
      <w:pPr>
        <w:pStyle w:val="Body"/>
      </w:pPr>
      <w:r>
        <w:rPr>
          <w:rtl w:val="0"/>
          <w:lang w:val="en-US"/>
        </w:rPr>
        <w:t xml:space="preserve">Reason, J. (2000) 'Human error: models and management', </w:t>
      </w:r>
      <w:r>
        <w:rPr>
          <w:i w:val="1"/>
          <w:iCs w:val="1"/>
          <w:rtl w:val="0"/>
        </w:rPr>
        <w:t>BMJ</w:t>
      </w:r>
      <w:r>
        <w:rPr>
          <w:rtl w:val="0"/>
        </w:rPr>
        <w:t>, 320(7237), pp. 768-770.</w:t>
      </w:r>
    </w:p>
    <w:p>
      <w:pPr>
        <w:pStyle w:val="Body"/>
      </w:pPr>
      <w:r>
        <w:rPr>
          <w:rtl w:val="0"/>
        </w:rPr>
        <w:t xml:space="preserve">Tenable (2026) </w:t>
      </w:r>
      <w:r>
        <w:rPr>
          <w:i w:val="1"/>
          <w:iCs w:val="1"/>
          <w:rtl w:val="0"/>
          <w:lang w:val="en-US"/>
        </w:rPr>
        <w:t>php2shell (CVE-2026-109618, CVE-2026-109619): frequently asked questions about critical PHP remote code execution vulnerabilities</w:t>
      </w:r>
      <w:r>
        <w:rPr>
          <w:rtl w:val="0"/>
          <w:lang w:val="en-US"/>
        </w:rPr>
        <w:t xml:space="preserve">. Available at: </w:t>
      </w:r>
      <w:r>
        <w:rPr>
          <w:rStyle w:val="Hyperlink.0"/>
        </w:rPr>
        <w:fldChar w:fldCharType="begin" w:fldLock="0"/>
      </w:r>
      <w:r>
        <w:rPr>
          <w:rStyle w:val="Hyperlink.0"/>
        </w:rPr>
        <w:instrText xml:space="preserve"> HYPERLINK "https://www.tenable.com/blog/php2shell-cve-2026-109618-cve-2026-109619-frequently-asked-questions-about-critical-php-remote"</w:instrText>
      </w:r>
      <w:r>
        <w:rPr>
          <w:rStyle w:val="Hyperlink.0"/>
        </w:rPr>
        <w:fldChar w:fldCharType="separate" w:fldLock="0"/>
      </w:r>
      <w:r>
        <w:rPr>
          <w:rStyle w:val="Hyperlink.0"/>
          <w:rtl w:val="0"/>
        </w:rPr>
        <w:t>https://www.tenable.com/blog/php2shell-cve-2026-109618-cve-2026-109619-frequently-asked-questions-about-critical-php-remote</w:t>
      </w:r>
      <w:r>
        <w:rPr/>
        <w:fldChar w:fldCharType="end" w:fldLock="0"/>
      </w:r>
      <w:r>
        <w:rPr>
          <w:rtl w:val="0"/>
          <w:lang w:val="en-US"/>
        </w:rPr>
        <w:t xml:space="preserve"> (Accessed: 22 October 2026).</w:t>
      </w:r>
    </w:p>
    <w:p>
      <w:pPr>
        <w:pStyle w:val="Body"/>
      </w:pPr>
      <w:r>
        <w:rPr>
          <w:rtl w:val="0"/>
          <w:lang w:val="en-US"/>
        </w:rPr>
        <w:t xml:space="preserve">University of Washington IT (2026) </w:t>
      </w:r>
      <w:r>
        <w:rPr>
          <w:i w:val="1"/>
          <w:iCs w:val="1"/>
          <w:rtl w:val="0"/>
          <w:lang w:val="en-US"/>
        </w:rPr>
        <w:t>Critical PHP vulnerabilities (Oct 2026)</w:t>
      </w:r>
      <w:r>
        <w:rPr>
          <w:rtl w:val="0"/>
          <w:lang w:val="en-US"/>
        </w:rPr>
        <w:t xml:space="preserve">. Available at: </w:t>
      </w:r>
      <w:r>
        <w:rPr>
          <w:rStyle w:val="Hyperlink.0"/>
        </w:rPr>
        <w:fldChar w:fldCharType="begin" w:fldLock="0"/>
      </w:r>
      <w:r>
        <w:rPr>
          <w:rStyle w:val="Hyperlink.0"/>
        </w:rPr>
        <w:instrText xml:space="preserve"> HYPERLINK "https://it.uw.edu/help/servicestatus/php-cves/"</w:instrText>
      </w:r>
      <w:r>
        <w:rPr>
          <w:rStyle w:val="Hyperlink.0"/>
        </w:rPr>
        <w:fldChar w:fldCharType="separate" w:fldLock="0"/>
      </w:r>
      <w:r>
        <w:rPr>
          <w:rStyle w:val="Hyperlink.0"/>
          <w:rtl w:val="0"/>
        </w:rPr>
        <w:t>https://it.uw.edu/help/servicestatus/php-cves/</w:t>
      </w:r>
      <w:r>
        <w:rPr/>
        <w:fldChar w:fldCharType="end" w:fldLock="0"/>
      </w:r>
      <w:r>
        <w:rPr>
          <w:rtl w:val="0"/>
          <w:lang w:val="en-US"/>
        </w:rPr>
        <w:t xml:space="preserve"> (Accessed: 22 October 2026).</w:t>
      </w:r>
    </w:p>
    <w:sectPr>
      <w:headerReference w:type="default" r:id="rId4"/>
      <w:footerReference w:type="default" r:id="rId5"/>
      <w:pgSz w:w="12240" w:h="15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Cambria Bold">
    <w:charset w:val="00"/>
    <w:family w:val="roman"/>
    <w:pitch w:val="default"/>
  </w:font>
  <w:font w:name="Cambri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1"/>
  </w:abstractNum>
  <w:abstractNum w:abstractNumId="1">
    <w:multiLevelType w:val="hybridMultilevel"/>
    <w:styleLink w:val="Imported Style 1"/>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Imported Style 2"/>
  </w:abstractNum>
  <w:abstractNum w:abstractNumId="3">
    <w:multiLevelType w:val="hybridMultilevel"/>
    <w:styleLink w:val="Imported Style 2"/>
    <w:lvl w:ilvl="0">
      <w:start w:val="1"/>
      <w:numFmt w:val="bullet"/>
      <w:suff w:val="tab"/>
      <w:lvlText w:val="•"/>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0"/>
    <w:lvlOverride w:ilvl="0">
      <w:startOverride w:val="1"/>
    </w:lvlOverride>
  </w:num>
  <w:num w:numId="6">
    <w:abstractNumId w:val="0"/>
    <w:lvlOverride w:ilvl="0">
      <w:startOverride w:val="1"/>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0" w:formatting="0"/>
  <w:defaultTabStop w:val="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Heading">
    <w:name w:val="Heading"/>
    <w:next w:val="Body"/>
    <w:pPr>
      <w:keepNext w:val="1"/>
      <w:keepLines w:val="0"/>
      <w:pageBreakBefore w:val="0"/>
      <w:widowControl w:val="1"/>
      <w:shd w:val="clear" w:color="auto" w:fill="auto"/>
      <w:suppressAutoHyphens w:val="0"/>
      <w:bidi w:val="0"/>
      <w:spacing w:before="360" w:after="120" w:line="259" w:lineRule="auto"/>
      <w:ind w:left="0" w:right="0" w:firstLine="0"/>
      <w:jc w:val="left"/>
      <w:outlineLvl w:val="0"/>
    </w:pPr>
    <w:rPr>
      <w:rFonts w:ascii="Calibri" w:cs="Arial Unicode MS" w:hAnsi="Calibri" w:eastAsia="Arial Unicode MS"/>
      <w:b w:val="1"/>
      <w:bCs w:val="1"/>
      <w:i w:val="0"/>
      <w:iCs w:val="0"/>
      <w:caps w:val="0"/>
      <w:smallCaps w:val="0"/>
      <w:strike w:val="0"/>
      <w:dstrike w:val="0"/>
      <w:outline w:val="0"/>
      <w:color w:val="000000"/>
      <w:spacing w:val="0"/>
      <w:kern w:val="0"/>
      <w:position w:val="0"/>
      <w:sz w:val="32"/>
      <w:szCs w:val="32"/>
      <w:u w:val="none" w:color="000000"/>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160" w:line="259"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Outline>
        <w14:noFill/>
      </w14:textOutline>
      <w14:textFill>
        <w14:solidFill>
          <w14:srgbClr w14:val="000000"/>
        </w14:solidFill>
      </w14:textFill>
    </w:rPr>
  </w:style>
  <w:style w:type="paragraph" w:styleId="Heading 2">
    <w:name w:val="Heading 2"/>
    <w:next w:val="Body"/>
    <w:pPr>
      <w:keepNext w:val="1"/>
      <w:keepLines w:val="0"/>
      <w:pageBreakBefore w:val="0"/>
      <w:widowControl w:val="1"/>
      <w:shd w:val="clear" w:color="auto" w:fill="auto"/>
      <w:suppressAutoHyphens w:val="0"/>
      <w:bidi w:val="0"/>
      <w:spacing w:before="280" w:after="100" w:line="259" w:lineRule="auto"/>
      <w:ind w:left="0" w:right="0" w:firstLine="0"/>
      <w:jc w:val="left"/>
      <w:outlineLvl w:val="1"/>
    </w:pPr>
    <w:rPr>
      <w:rFonts w:ascii="Calibri" w:cs="Arial Unicode MS" w:hAnsi="Calibri" w:eastAsia="Arial Unicode MS"/>
      <w:b w:val="1"/>
      <w:bCs w:val="1"/>
      <w:i w:val="0"/>
      <w:iCs w:val="0"/>
      <w:caps w:val="0"/>
      <w:smallCaps w:val="0"/>
      <w:strike w:val="0"/>
      <w:dstrike w:val="0"/>
      <w:outline w:val="0"/>
      <w:color w:val="000000"/>
      <w:spacing w:val="0"/>
      <w:kern w:val="0"/>
      <w:position w:val="0"/>
      <w:sz w:val="26"/>
      <w:szCs w:val="26"/>
      <w:u w:val="none" w:color="000000"/>
      <w:shd w:val="nil" w:color="auto" w:fill="auto"/>
      <w:vertAlign w:val="baseline"/>
      <w:lang w:val="en-US"/>
      <w14:textOutline>
        <w14:noFill/>
      </w14:textOutline>
      <w14:textFill>
        <w14:solidFill>
          <w14:srgbClr w14:val="000000"/>
        </w14:solidFill>
      </w14:textFill>
    </w:rPr>
  </w:style>
  <w:style w:type="paragraph" w:styleId="Heading 3">
    <w:name w:val="Heading 3"/>
    <w:next w:val="Body"/>
    <w:pPr>
      <w:keepNext w:val="1"/>
      <w:keepLines w:val="0"/>
      <w:pageBreakBefore w:val="0"/>
      <w:widowControl w:val="1"/>
      <w:shd w:val="clear" w:color="auto" w:fill="auto"/>
      <w:suppressAutoHyphens w:val="0"/>
      <w:bidi w:val="0"/>
      <w:spacing w:before="240" w:after="80" w:line="259" w:lineRule="auto"/>
      <w:ind w:left="0" w:right="0" w:firstLine="0"/>
      <w:jc w:val="left"/>
      <w:outlineLvl w:val="2"/>
    </w:pPr>
    <w:rPr>
      <w:rFonts w:ascii="Calibri" w:cs="Arial Unicode MS" w:hAnsi="Calibri" w:eastAsia="Arial Unicode MS"/>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noFill/>
      </w14:textOutline>
      <w14:textFill>
        <w14:solidFill>
          <w14:srgbClr w14:val="000000"/>
        </w14:solidFill>
      </w14:textFill>
    </w:r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160" w:line="259"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numbering" w:styleId="Imported Style 1">
    <w:name w:val="Imported Style 1"/>
    <w:pPr>
      <w:numPr>
        <w:numId w:val="1"/>
      </w:numPr>
    </w:pPr>
  </w:style>
  <w:style w:type="numbering" w:styleId="Imported Style 2">
    <w:name w:val="Imported Style 2"/>
    <w:pPr>
      <w:numPr>
        <w:numId w:val="3"/>
      </w:numPr>
    </w:pPr>
  </w:style>
  <w:style w:type="character" w:styleId="Hyperlink.0">
    <w:name w:val="Hyperlink.0"/>
    <w:basedOn w:val="Hyperlink"/>
    <w:next w:val="Hyperlink.0"/>
    <w:rPr>
      <w:outline w:val="0"/>
      <w:color w:val="0563c1"/>
      <w:u w:val="single" w:color="0563c1"/>
      <w14:textFill>
        <w14:solidFill>
          <w14:srgbClr w14:val="0563C1"/>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0" tIns="0" rIns="0" bIns="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