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b w:val="1"/>
          <w:bCs w:val="1"/>
          <w:rtl w:val="0"/>
        </w:rPr>
        <w:t xml:space="preserve">How important is the concept of authenticity in the presentation of heritage?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Authenticity, according to the Cambridge Dictionary (n.d.) is “the quality of being real or true”. The concept of authenticity has long been a central, if often implicit, concept in the presentation of heritage. The heritage industry traditionally has focused on authenticity as being a quality of material and scientific evidence, of something that is innate with the ability to be objectively identified and preserved (see Jones, 2010; Holtorf, 2013). This traditional conception sees authenticity as fitting quite closely with the dictionary definition and tracing authenticity is synonymous with seeking truth. Recent scholarship has challenged this, instead seeing authenticity as constructed, as something that is attributed to and defined by both people and organisations (see ibid.; Bruner, 2007; Gabe and Handler, 2007). Who decides what is “authentic” is closely tied with issues of authority and power inside specific cultural and political frameworks (see Crew and Sims, 1991; Shanks, 1992; Smith, 2006). This essay will explore this discourse between materialist and constructivist concepts of authenticity, and will argue for it being a mechanism of authority that legitimises not only particular interpretations of the past, but also contemporary discourse of identity and nationhood.</w:t>
      </w:r>
      <w:r w:rsidDel="00000000" w:rsidR="00000000" w:rsidRPr="00000000">
        <w:rPr>
          <w:rtl w:val="0"/>
        </w:rPr>
      </w:r>
    </w:p>
    <w:p w:rsidR="00000000" w:rsidDel="00000000" w:rsidP="00000000" w:rsidRDefault="00000000" w:rsidRPr="00000000" w14:paraId="00000004">
      <w:pPr>
        <w:ind w:firstLine="720"/>
        <w:rPr/>
      </w:pPr>
      <w:r w:rsidDel="00000000" w:rsidR="00000000" w:rsidRPr="00000000">
        <w:rPr>
          <w:rtl w:val="0"/>
        </w:rPr>
        <w:t xml:space="preserve">The current concept of heritage was birthed from 17th century enlightenment epistemologies, with a search for objective encyclopedic truth through a study of antiquity greatly facilitated through colonial and imperialist ideology (Smith, 2006, p. 17; Findlen, pp. 25-28). This dominant approach focuses on a </w:t>
      </w:r>
      <w:r w:rsidDel="00000000" w:rsidR="00000000" w:rsidRPr="00000000">
        <w:rPr>
          <w:i w:val="1"/>
          <w:iCs w:val="1"/>
          <w:rtl w:val="0"/>
        </w:rPr>
        <w:t xml:space="preserve">materialist</w:t>
      </w:r>
      <w:r w:rsidDel="00000000" w:rsidR="00000000" w:rsidRPr="00000000">
        <w:rPr>
          <w:rtl w:val="0"/>
        </w:rPr>
        <w:t xml:space="preserve"> idea of authenticity, that authenticity finds itself in the inherent material substance of objects of the past, seen as an objective and measurable attribute waiting to be discovered (Jones, 2010, p. 182; Holtorf, 2013, p. 430). Key to this is ideas of </w:t>
      </w:r>
      <w:r w:rsidDel="00000000" w:rsidR="00000000" w:rsidRPr="00000000">
        <w:rPr>
          <w:i w:val="1"/>
          <w:iCs w:val="1"/>
          <w:rtl w:val="0"/>
        </w:rPr>
        <w:t xml:space="preserve">provenance; </w:t>
      </w:r>
      <w:r w:rsidDel="00000000" w:rsidR="00000000" w:rsidRPr="00000000">
        <w:rPr>
          <w:rtl w:val="0"/>
        </w:rPr>
        <w:t xml:space="preserve">authenticity lies as ‘truth’ of the nature of the object, a signifier of its date, material, form and authorship (Jones, 2010, p. 184). Material substance carries much weight with the past as the act of construction is inherent in an object (Holtorf, 2013, p. 430). This modern focus on provenance can be traced back to the Society for the Protection of Ancient Buildings. Established in 1877, members of the society John Ruskin and William Morris were against the restoration of ancient buildings and believed strongly in not tampering with the “fabric or ornament” of a building (Smith, 2006, pp. 19-20; Jones, 2010, p. 185). A key element in this conception is that the authenticity of an object is scientifically measurable through dating methods such as radiocarbon dating and dendrochronology, as well as determination of form through archaeological expertise (Holtorf, 2013, p. 430). This creates what Pearson and Shanks (2001, pp. 44-50) discuss as </w:t>
      </w:r>
      <w:r w:rsidDel="00000000" w:rsidR="00000000" w:rsidRPr="00000000">
        <w:rPr>
          <w:i w:val="1"/>
          <w:iCs w:val="1"/>
          <w:rtl w:val="0"/>
        </w:rPr>
        <w:t xml:space="preserve">representative knowledge</w:t>
      </w:r>
      <w:r w:rsidDel="00000000" w:rsidR="00000000" w:rsidRPr="00000000">
        <w:rPr>
          <w:rtl w:val="0"/>
        </w:rPr>
        <w:t xml:space="preserve">, that for the non-expert there exists a reliance on a representation and interpretation of the archaeological record by the archaeologist. With authenticity being an inherent truth that is verified by experts, a disciplined power relation exists, with the ability to speak about (or ‘for’) the past closed off to a select few people (Smith, 2006, p. 12). </w:t>
      </w:r>
    </w:p>
    <w:p w:rsidR="00000000" w:rsidDel="00000000" w:rsidP="00000000" w:rsidRDefault="00000000" w:rsidRPr="00000000" w14:paraId="00000005">
      <w:pPr>
        <w:ind w:firstLine="720"/>
        <w:rPr/>
      </w:pPr>
      <w:r w:rsidDel="00000000" w:rsidR="00000000" w:rsidRPr="00000000">
        <w:rPr>
          <w:rtl w:val="0"/>
        </w:rPr>
        <w:t xml:space="preserve">Here, authenticity, a quality that for the regular museum may not be an issue that they are explicitly confronted with, does have a number of consequences. The expert plays a highly authoritative role (Crew and Sims, 1991), in which the supposedly objective truth of the material substance actually becomes politicised in its infallibility; space for different narratives and for questioning of the material substance becomes invisible (ibid., p. 163). The authority of public institutions in the United Kingdom such as English Heritage and the National Trust, become ‘guardians’ of the past (Smith and Waterton, 2012, p. 160). This guardianship is supported by legal paradigms: at a national level from the Department for Culture, Media and Sport (ibid.); at a continental level with the Europe Convention on the Protection of the Archaeological Heritage (O’Keefe, 1993); and even at a global level with the UNESCO World Heritage Convention (UNESCO, n.d. a), a set of guidelines for the ratification of heritage of “outstanding universal value” (UNESCO, n.d. b). This accentuates the "disciplinary authority” of archaeology, creating a singular infallible narrative (Smith and Waterton, 2012, p. 156; Pearson and Shanks, 1991, p. 44). The consequence of this can be seen when viewing Indigenous-Americans understanding and use of the past, one of which focuses more on the intangible and the oral, rather than such a materialistic view, and results in the silencing of their viewpoint and a dominance for a Western one (Smith, 2006, pp. 36-37). This is also tied into the presentation of national identities, whereby heritage is a nationalistic and patriotic discourse of Western identity, giving preferential treatment to the monumental aesthetics of the Western world, alienating subnational, indigenous, and nonelite identity, accentuating the imperial and the “good” (Smith and Waterton, 2012, p.156; Smith, 2006, pp. 28, 162). </w:t>
      </w:r>
    </w:p>
    <w:p w:rsidR="00000000" w:rsidDel="00000000" w:rsidP="00000000" w:rsidRDefault="00000000" w:rsidRPr="00000000" w14:paraId="00000006">
      <w:pPr>
        <w:ind w:firstLine="720"/>
        <w:rPr/>
      </w:pPr>
      <w:r w:rsidDel="00000000" w:rsidR="00000000" w:rsidRPr="00000000">
        <w:rPr>
          <w:rtl w:val="0"/>
        </w:rPr>
        <w:t xml:space="preserve">Despite the so-called infallibility of this viewpoint that has been highlighted, criticism of the way in which heritage discourse operates is apparent. Indeed, critique begins in challenging the idea of authenticity as being objective (see Holtorf, 2013; Jones, 2010). Here, it is vital to understand that whilst the origins of the museum are earlier, the modern framework of heritage is dated to later 19th century initiatives of antiquarianism (Harvey, 2001, pp. 320-322), showcased in legislation such as the Ancient Monuments Protection Act of 1882 (Hingley et al., 2025, p. 27). Whilst this materialist approach became as Smith and Waterton (2012) labelled as being so unchallenged as being considered “common sense”, this began to be challenged by the end of the 20th century (Jones, 2010, p. 185). Key to this criticism was highlighting the “historical and cultural contingency” of the concept of authenticity, and of highlighting other nonwestern approaches to authenticity such as the Japanese tradition of dismantling and renovating wooden historic buildings (ibid.). </w:t>
      </w:r>
    </w:p>
    <w:p w:rsidR="00000000" w:rsidDel="00000000" w:rsidP="00000000" w:rsidRDefault="00000000" w:rsidRPr="00000000" w14:paraId="00000007">
      <w:pPr>
        <w:ind w:firstLine="720"/>
        <w:rPr/>
      </w:pPr>
      <w:r w:rsidDel="00000000" w:rsidR="00000000" w:rsidRPr="00000000">
        <w:rPr>
          <w:rtl w:val="0"/>
        </w:rPr>
        <w:t xml:space="preserve">This new discourse culminated in the </w:t>
      </w:r>
      <w:r w:rsidDel="00000000" w:rsidR="00000000" w:rsidRPr="00000000">
        <w:rPr>
          <w:i w:val="1"/>
          <w:iCs w:val="1"/>
          <w:rtl w:val="0"/>
        </w:rPr>
        <w:t xml:space="preserve">Nara document on authenticity </w:t>
      </w:r>
      <w:r w:rsidDel="00000000" w:rsidR="00000000" w:rsidRPr="00000000">
        <w:rPr>
          <w:rtl w:val="0"/>
        </w:rPr>
        <w:t xml:space="preserve">(1994). This was a document resulting from a convention held in Nara, Japan by the UNESCO World Heritage Committee. From the issues of authenticity in Japanese architectural practices, this convention was an attempt to “strengthen the authenticity concept in meaningful ways” (Stovel, 2019, p. 12). This attempt can be seen in the document stating that “it is not possible to base judgments of values and authenticity within fixed criteria”, and they “must be considered and judged from the cultural contexts to which they belong” (Nara document on authenticity, 1994). Stovel (2019, pp. 14-15) explains that here authenticity can be understood as “reflective of the values of those doing the choosing”, and that authenticity can not be understood as being an absolute. Here, an attempt was made to recognise cultural relativism and to move away from Eurocentrism (Jones, 2010, p. 186).</w:t>
      </w:r>
    </w:p>
    <w:p w:rsidR="00000000" w:rsidDel="00000000" w:rsidP="00000000" w:rsidRDefault="00000000" w:rsidRPr="00000000" w14:paraId="00000008">
      <w:pPr>
        <w:ind w:firstLine="720"/>
        <w:rPr/>
      </w:pPr>
      <w:r w:rsidDel="00000000" w:rsidR="00000000" w:rsidRPr="00000000">
        <w:rPr>
          <w:rtl w:val="0"/>
        </w:rPr>
        <w:t xml:space="preserve"> This drive to question the very nature of authenticity was a novel and positive approach to the reinterpretation of it, importantly opening up conversations in a number of countries globally, particularly in Africa, East Asia and the indigenous Americas, about how heritage bodies can view it in a more critical and less Westernised way (Stovel, 2019, p. 16). Stovel (ibid.) states that whilst these conversations were important towards attempting to address issues of Westernisation and homogenisation, it has fallen short of its principle aim of practically changing how heritage operates. A focus on materiality and monumentality still exists within the document, defining sources of authenticity as including “form and design, materials and substance, location and setting” (Nara document on authenticity, 1994, Article 13), thus the principles at the core of a materialist approach to heritage perhaps have not actually moved away from eurocentric ideas, and indeed the document has been criticised for not properly addressing issues of intangible heritage, the spiritual and the natural, elements which in various cultures are important to their interpretation of their heritage (Jones, 2010, p. 186; Stovel, 2019, p. 28). </w:t>
      </w:r>
    </w:p>
    <w:p w:rsidR="00000000" w:rsidDel="00000000" w:rsidP="00000000" w:rsidRDefault="00000000" w:rsidRPr="00000000" w14:paraId="00000009">
      <w:pPr>
        <w:ind w:firstLine="720"/>
        <w:rPr/>
      </w:pPr>
      <w:r w:rsidDel="00000000" w:rsidR="00000000" w:rsidRPr="00000000">
        <w:rPr>
          <w:rtl w:val="0"/>
        </w:rPr>
        <w:t xml:space="preserve">The Nara document, more than anything, showcased an apparent desire within the industry to question authenticity, culminating in a guidance by a collaboration of global heritage bodies on how heritage should operate. Importantly this is not isolated however, and fits within wider discussions. The sentiment that authenticity is objective and that it is inherently materialist is questioned, and that authenticity is culturally constructed and is born from a Western philosophical framework of </w:t>
      </w:r>
      <w:r w:rsidDel="00000000" w:rsidR="00000000" w:rsidRPr="00000000">
        <w:rPr>
          <w:i w:val="1"/>
          <w:iCs w:val="1"/>
          <w:rtl w:val="0"/>
        </w:rPr>
        <w:t xml:space="preserve">constructivism. </w:t>
      </w:r>
      <w:r w:rsidDel="00000000" w:rsidR="00000000" w:rsidRPr="00000000">
        <w:rPr>
          <w:rtl w:val="0"/>
        </w:rPr>
        <w:t xml:space="preserve">Here, a dichotomy is highlighted: the traditional materialist approach and the critical constructivist approach (Jones, 2010, pp. 181-184; Holtorf, 2013, p. 428). </w:t>
      </w:r>
    </w:p>
    <w:p w:rsidR="00000000" w:rsidDel="00000000" w:rsidP="00000000" w:rsidRDefault="00000000" w:rsidRPr="00000000" w14:paraId="0000000A">
      <w:pPr>
        <w:ind w:firstLine="720"/>
        <w:rPr/>
      </w:pPr>
      <w:r w:rsidDel="00000000" w:rsidR="00000000" w:rsidRPr="00000000">
        <w:rPr>
          <w:rtl w:val="0"/>
        </w:rPr>
        <w:t xml:space="preserve">One theme that runs through this literature is that of the role that experts play in this construction. Here, the sentiment of bodies such as the National Trust as positioning themselves as aforementioned “guardians of the past” (Smith and Waterton, 2012, p. 160) is highly criticised. This is highlighted in museum studies by Crew and Sims (1991, pp. 162-163), who instead of viewing heritage as holding evidence of stories that need preserving and “guarding”, they strongly state that “[t]he problem with things is that they are dumb. They are not eloquent, as some thinkers in art museums claim. They are dumb” (ibid., p. 159). Central to this thinking is to radically disregard the prevailing Victorian sentiment of the sanctity of the fabric of material culture (Smith, 2006, pp. 19-20; Jones, 2010, p. 185). Here, Crew and Sims (1991, pp. 162-168) argue for a complete reversal of the value of tangible heritage, stating that “objects have no intrinsic value”. Value and authenticity are not found a priori to exhibition makers, but quite the opposite, that objects have no value without the exhibition maker (ibid.). Exhibitions tell </w:t>
      </w:r>
      <w:r w:rsidDel="00000000" w:rsidR="00000000" w:rsidRPr="00000000">
        <w:rPr>
          <w:i w:val="1"/>
          <w:iCs w:val="1"/>
          <w:rtl w:val="0"/>
        </w:rPr>
        <w:t xml:space="preserve">a </w:t>
      </w:r>
      <w:r w:rsidDel="00000000" w:rsidR="00000000" w:rsidRPr="00000000">
        <w:rPr>
          <w:rtl w:val="0"/>
        </w:rPr>
        <w:t xml:space="preserve">narrative, in which objects are utilised to visually support it. A biographical approach is taken, whereby objects are nonlinear - they have “multiple pasts” - but these multiple pasts are not exhibited, instead, they are utilised as material evidence for a singular narrative (ibid., pp. 160-162). This narrative is importantly constructed, and not based on an absolute truth. For example, Crew and Sims (1991, pp. 161-162) discuss the Field to Factory exhibition at the National Museum of American History in the 1960s. Here, timber from a house thought to be of the 1870s was reconstructed. In the late 1970s, interpretation of the house had changed, with it now being thought to have been from the twentieth century and the reconstruction being unfaithful to how it would have looked then. However, despite this reinterpretation and knowledge of a mistaken reconstruction, the exhibition was reinstalled as the original interpreted exhibition had built it. Here, crucially, if authenticity is believed to lie in the exhibition maker rather than the materials themselves, then the timber of the house can be said to “lie”, to “speak of a past that it never actually had” (ibid., p. 161). Indeed, the timber is again being manipulated to tell a narrative; the walls were left in a ruined, worn, state to showcase an expectancy of age. However, with the aim of the exhibition to recreate a sense of a lived house of the past, this is also seemingly incorrect; the inhabitants would not have lived in a house with dilapidated walls, and in fact the walls showcased evidence of repair which was importantly left out of the exhibition to showcase a preconceived notion of age and of the past (ibid., p. 162). This is storytelling in its most exemplary manner, with “the critical mass of artefacts pronounc[ing] a reality” (ibid.). </w:t>
      </w:r>
    </w:p>
    <w:p w:rsidR="00000000" w:rsidDel="00000000" w:rsidP="00000000" w:rsidRDefault="00000000" w:rsidRPr="00000000" w14:paraId="0000000B">
      <w:pPr>
        <w:ind w:firstLine="720"/>
        <w:rPr/>
      </w:pPr>
      <w:r w:rsidDel="00000000" w:rsidR="00000000" w:rsidRPr="00000000">
        <w:rPr>
          <w:rtl w:val="0"/>
        </w:rPr>
        <w:t xml:space="preserve">This constructivist viewpoint of authenticity is also shared by others in museum studies. One key study was of the New Salem Historic Site, a reconstructed village and outdoor museum in Illinois where Abraham Lincoln lived in the 1830s (Bruner, 2007, p. 301). An important locality of a famous political figure, whose key role in the US Civil War makes him a figure of national identity and a symbol of the American dream of success (ibid.). The recreation of this village is then inescapably political and plays a key part in showcasing an American ideology. The site contains 23 log houses, of which only one was built in the 1830s (ibid., p. 303). Here, Bruner (2007, p. 302) discusses authenticity as meaning "credible and convincing”, of a “historical verisimilitude". Here, his key addition to the discourse is that of the audience; that a particular narrative of the past is expected by the visitor, of whom visits a site like New Salem in particularly to reaffirm their ideas of American history and identity, to reflect on their own modern lives (ibid., p. 317; Gable and Handler, 2007, p. 331). </w:t>
      </w:r>
    </w:p>
    <w:p w:rsidR="00000000" w:rsidDel="00000000" w:rsidP="00000000" w:rsidRDefault="00000000" w:rsidRPr="00000000" w14:paraId="0000000C">
      <w:pPr>
        <w:ind w:firstLine="720"/>
        <w:rPr/>
      </w:pPr>
      <w:r w:rsidDel="00000000" w:rsidR="00000000" w:rsidRPr="00000000">
        <w:rPr>
          <w:rtl w:val="0"/>
        </w:rPr>
        <w:t xml:space="preserve">Bruner’s interpretation of authenticity is a kind of optimistic constructivism, that this aforementioned ability of visitation to heritage sites to interact with your own identity is playful and improvised (Gable and Handler, 2007, p. 332). This viewpoint is not widely accepted, and instead what Gable and Handler (ibid.) describe as a pessimistic, or critical, view of authenticity, one in which a number of writers could be ascribed to (see Crew and Sims, 1991; Holtorf, 2013; Jones, 2010; Smith, 2006; Smith and Waterton, 2012). Here, they argue against Bruner, stating that whilst his interpretation of audience’s views on authenticity as a “universal human tendency to construct culture”, they argue against its universality and instead view authenticity as a construction of “an ongoing preoccupation [..] with a certain kind of past” (Gable and Handler, 2007, p. 332). Here, authenticity is not a given but instead is a purposefully constructed ideology that is controlled by the heritage industry. It is a form of power, and exhibits a top down relations between exhibition makers and audiences (ibid., pp. 332-334). </w:t>
      </w:r>
    </w:p>
    <w:p w:rsidR="00000000" w:rsidDel="00000000" w:rsidP="00000000" w:rsidRDefault="00000000" w:rsidRPr="00000000" w14:paraId="0000000D">
      <w:pPr>
        <w:ind w:firstLine="720"/>
        <w:rPr/>
      </w:pPr>
      <w:r w:rsidDel="00000000" w:rsidR="00000000" w:rsidRPr="00000000">
        <w:rPr>
          <w:rtl w:val="0"/>
        </w:rPr>
        <w:t xml:space="preserve">This top-down view of authenticity is echoed by other writers. This is the key argument made by Crew and Sims (1991, p. 163), whereby “authenticity is not about factuality of reality. It is about </w:t>
      </w:r>
      <w:r w:rsidDel="00000000" w:rsidR="00000000" w:rsidRPr="00000000">
        <w:rPr>
          <w:i w:val="1"/>
          <w:iCs w:val="1"/>
          <w:rtl w:val="0"/>
        </w:rPr>
        <w:t xml:space="preserve">authority</w:t>
      </w:r>
      <w:r w:rsidDel="00000000" w:rsidR="00000000" w:rsidRPr="00000000">
        <w:rPr>
          <w:rtl w:val="0"/>
        </w:rPr>
        <w:t xml:space="preserve">”. Here, the narrative and constructivist nature of utilising objects in exhibitions to tell a singular narrative is repeated. This authority comes from university-based scholars who crucially </w:t>
      </w:r>
      <w:r w:rsidDel="00000000" w:rsidR="00000000" w:rsidRPr="00000000">
        <w:rPr>
          <w:i w:val="1"/>
          <w:iCs w:val="1"/>
          <w:rtl w:val="0"/>
        </w:rPr>
        <w:t xml:space="preserve">create</w:t>
      </w:r>
      <w:r w:rsidDel="00000000" w:rsidR="00000000" w:rsidRPr="00000000">
        <w:rPr>
          <w:rtl w:val="0"/>
        </w:rPr>
        <w:t xml:space="preserve"> narratives, not </w:t>
      </w:r>
      <w:r w:rsidDel="00000000" w:rsidR="00000000" w:rsidRPr="00000000">
        <w:rPr>
          <w:i w:val="1"/>
          <w:iCs w:val="1"/>
          <w:rtl w:val="0"/>
        </w:rPr>
        <w:t xml:space="preserve">discover</w:t>
      </w:r>
      <w:r w:rsidDel="00000000" w:rsidR="00000000" w:rsidRPr="00000000">
        <w:rPr>
          <w:rtl w:val="0"/>
        </w:rPr>
        <w:t xml:space="preserve"> them as a traditional viewpoint would suggest (ibid.; Pearson and Shanks, 1991, p. 27). Crucially, this authority is not static, and voices change in line with academic thinking. Here, the discussion highlights that traditional information of the past was focused on “highly visible people and events”: political activities; military engagements; legislative records to name a few (Crew and Sims, 1991, p. 163). This created the bias for the “grand”, that “provided information on well-known people” but “little [...] about the vast majority of the population”, an elitist narrative (ibid.). This changed with a new focus on postcolonialist social history approaches in academia, resulting in exhibitions today that tackle issues of the difficult and previously silenced past of slavery and imperialism, as well as disempowered minorities such as ethnic communities and women (ibid., pp. 162-168). One such example of this exists in Liverpool with the International Slavery Museum (National Museums Liverpool, n.d. a), which tackles the difficult past of the transatlantic slave trade (National Museums Liverpool, n.d. b) as well as questioning how to exhibit such a thing (National Museums Liverpool, n.d. c).</w:t>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132062</wp:posOffset>
                </wp:positionV>
                <wp:extent cx="5731200" cy="3581400"/>
                <wp:effectExtent b="0" l="0" r="0" t="0"/>
                <wp:wrapTopAndBottom distB="114300" distT="114300"/>
                <wp:docPr id="1" name=""/>
                <a:graphic>
                  <a:graphicData uri="http://schemas.microsoft.com/office/word/2010/wordprocessingGroup">
                    <wpg:wgp>
                      <wpg:cNvGrpSpPr/>
                      <wpg:grpSpPr>
                        <a:xfrm>
                          <a:off x="152325" y="152400"/>
                          <a:ext cx="5731200" cy="3581400"/>
                          <a:chOff x="152325" y="152400"/>
                          <a:chExt cx="5734200" cy="3582975"/>
                        </a:xfrm>
                      </wpg:grpSpPr>
                      <pic:pic>
                        <pic:nvPicPr>
                          <pic:cNvPr id="2" name="Shape 2"/>
                          <pic:cNvPicPr preferRelativeResize="0"/>
                        </pic:nvPicPr>
                        <pic:blipFill>
                          <a:blip r:embed="rId6">
                            <a:alphaModFix/>
                          </a:blip>
                          <a:stretch>
                            <a:fillRect/>
                          </a:stretch>
                        </pic:blipFill>
                        <pic:spPr>
                          <a:xfrm>
                            <a:off x="152400" y="152400"/>
                            <a:ext cx="5734050" cy="3228975"/>
                          </a:xfrm>
                          <a:prstGeom prst="rect">
                            <a:avLst/>
                          </a:prstGeom>
                          <a:noFill/>
                          <a:ln>
                            <a:noFill/>
                          </a:ln>
                        </pic:spPr>
                      </pic:pic>
                      <wps:wsp>
                        <wps:cNvSpPr txBox="1"/>
                        <wps:cNvPr id="3" name="Shape 3"/>
                        <wps:spPr>
                          <a:xfrm>
                            <a:off x="152325" y="3381375"/>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 </w:t>
                              </w:r>
                              <w:r w:rsidDel="00000000" w:rsidR="00000000" w:rsidRPr="00000000">
                                <w:rPr>
                                  <w:rFonts w:ascii="Arial" w:cs="Arial" w:eastAsia="Arial" w:hAnsi="Arial"/>
                                  <w:b w:val="0"/>
                                  <w:i w:val="0"/>
                                  <w:smallCaps w:val="0"/>
                                  <w:strike w:val="0"/>
                                  <w:color w:val="000000"/>
                                  <w:sz w:val="22"/>
                                  <w:vertAlign w:val="baseline"/>
                                </w:rPr>
                                <w:t xml:space="preserve">Lincoln’s New Salem Historic Site (Doyle, 2005).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132062</wp:posOffset>
                </wp:positionV>
                <wp:extent cx="5731200" cy="3581400"/>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731200" cy="3581400"/>
                        </a:xfrm>
                        <a:prstGeom prst="rect"/>
                        <a:ln/>
                      </pic:spPr>
                    </pic:pic>
                  </a:graphicData>
                </a:graphic>
              </wp:anchor>
            </w:drawing>
          </mc:Fallback>
        </mc:AlternateContent>
      </w:r>
    </w:p>
    <w:p w:rsidR="00000000" w:rsidDel="00000000" w:rsidP="00000000" w:rsidRDefault="00000000" w:rsidRPr="00000000" w14:paraId="0000000E">
      <w:pPr>
        <w:ind w:firstLine="720"/>
        <w:rPr/>
      </w:pPr>
      <w:r w:rsidDel="00000000" w:rsidR="00000000" w:rsidRPr="00000000">
        <w:rPr>
          <w:rtl w:val="0"/>
        </w:rPr>
        <w:t xml:space="preserve">This constructivism is highlighted by Michael Shanks (1992, pp. 115-118) who explicitly states that “monuments and artefacts are brought together in narratives, experiences, evocations of histories and myths which help provide a meaningful shape to the experience of the social group”. Identities are “strategic constructions” which are facilitated through archaeology. Here, there is a focus on modernity - he claims that heritage is not necessarily about the past in and of itself but is a representation of what the material past says about us (ibid., pp. 106-107). This is crucial to an understanding of authority put forth by Crew and Sims, that heritage bodies hold power in the way they shape identity.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741525</wp:posOffset>
                </wp:positionH>
                <wp:positionV relativeFrom="paragraph">
                  <wp:posOffset>200025</wp:posOffset>
                </wp:positionV>
                <wp:extent cx="4248150" cy="3181350"/>
                <wp:effectExtent b="0" l="0" r="0" t="0"/>
                <wp:wrapTopAndBottom distB="114300" distT="114300"/>
                <wp:docPr id="2" name=""/>
                <a:graphic>
                  <a:graphicData uri="http://schemas.microsoft.com/office/word/2010/wordprocessingGroup">
                    <wpg:wgp>
                      <wpg:cNvGrpSpPr/>
                      <wpg:grpSpPr>
                        <a:xfrm>
                          <a:off x="152400" y="152400"/>
                          <a:ext cx="4248150" cy="3181350"/>
                          <a:chOff x="152400" y="152400"/>
                          <a:chExt cx="4229100" cy="3163875"/>
                        </a:xfrm>
                      </wpg:grpSpPr>
                      <pic:pic>
                        <pic:nvPicPr>
                          <pic:cNvPr id="4" name="Shape 4"/>
                          <pic:cNvPicPr preferRelativeResize="0"/>
                        </pic:nvPicPr>
                        <pic:blipFill>
                          <a:blip r:embed="rId8">
                            <a:alphaModFix/>
                          </a:blip>
                          <a:stretch>
                            <a:fillRect/>
                          </a:stretch>
                        </pic:blipFill>
                        <pic:spPr>
                          <a:xfrm>
                            <a:off x="152400" y="152400"/>
                            <a:ext cx="4229100" cy="2809875"/>
                          </a:xfrm>
                          <a:prstGeom prst="rect">
                            <a:avLst/>
                          </a:prstGeom>
                          <a:noFill/>
                          <a:ln>
                            <a:noFill/>
                          </a:ln>
                        </pic:spPr>
                      </pic:pic>
                      <wps:wsp>
                        <wps:cNvSpPr txBox="1"/>
                        <wps:cNvPr id="5" name="Shape 5"/>
                        <wps:spPr>
                          <a:xfrm>
                            <a:off x="152400" y="2962275"/>
                            <a:ext cx="42291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 </w:t>
                              </w:r>
                              <w:r w:rsidDel="00000000" w:rsidR="00000000" w:rsidRPr="00000000">
                                <w:rPr>
                                  <w:rFonts w:ascii="Arial" w:cs="Arial" w:eastAsia="Arial" w:hAnsi="Arial"/>
                                  <w:b w:val="0"/>
                                  <w:i w:val="0"/>
                                  <w:smallCaps w:val="0"/>
                                  <w:strike w:val="0"/>
                                  <w:color w:val="000000"/>
                                  <w:sz w:val="22"/>
                                  <w:vertAlign w:val="baseline"/>
                                </w:rPr>
                                <w:t xml:space="preserve">International Slavery Museum (n.d. c)</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741525</wp:posOffset>
                </wp:positionH>
                <wp:positionV relativeFrom="paragraph">
                  <wp:posOffset>200025</wp:posOffset>
                </wp:positionV>
                <wp:extent cx="4248150" cy="3181350"/>
                <wp:effectExtent b="0" l="0" r="0" t="0"/>
                <wp:wrapTopAndBottom distB="114300" distT="114300"/>
                <wp:docPr id="2"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4248150" cy="3181350"/>
                        </a:xfrm>
                        <a:prstGeom prst="rect"/>
                        <a:ln/>
                      </pic:spPr>
                    </pic:pic>
                  </a:graphicData>
                </a:graphic>
              </wp:anchor>
            </w:drawing>
          </mc:Fallback>
        </mc:AlternateContent>
      </w:r>
    </w:p>
    <w:p w:rsidR="00000000" w:rsidDel="00000000" w:rsidP="00000000" w:rsidRDefault="00000000" w:rsidRPr="00000000" w14:paraId="0000000F">
      <w:pPr>
        <w:ind w:firstLine="720"/>
        <w:rPr/>
      </w:pPr>
      <w:r w:rsidDel="00000000" w:rsidR="00000000" w:rsidRPr="00000000">
        <w:rPr>
          <w:rtl w:val="0"/>
        </w:rPr>
        <w:t xml:space="preserve">Here, the importance of the issue of authenticity is highlighted: its political power. Laurajane Smith (2006) argues that there is a purposefully dominant way of seeing heritage, which she defines as the “authorised heritage discourse (AHD)” (Smith and Waterton, 2012, p. 154.). As discussed earlier heritage can be seen in a multitude of ways but there is a state-sanctioned, politically and culturally accepted way of seeing it. This is the AHD (ibid.). The traditional materialist view of heritage is the dominant approach to viewing it, and this authority is expanded past the museum exhibition (Crew and Sims, 1991) and into public policy and accenting the “positives and triumphalism of national and sometime imperial narratives of identity and belonging”, whereby heritage is not simply museums and visitation sites but an active participant in shaping the way in which a nation thinks of their identity (Smith and Waterton, 2012, p. 156). By promoting a particular narrative of nation, one of social eliteness, it purposefully alienates a range of social and cultural experiences and actively constrains critique of their narration through the dominance of expertise (see earlier in this essay; Smith, 2006, p. 30). This authoritative power is what Shanks (1992, p. 115) discusses as an “aesthetics of politics”, that classical “myths of blood and soil, race, fatherland, destiny” construct a national sense of identity and unity, facilitated through the presentation of an “authentic” heritage.</w:t>
      </w:r>
    </w:p>
    <w:p w:rsidR="00000000" w:rsidDel="00000000" w:rsidP="00000000" w:rsidRDefault="00000000" w:rsidRPr="00000000" w14:paraId="00000010">
      <w:pPr>
        <w:ind w:firstLine="720"/>
        <w:rPr/>
      </w:pPr>
      <w:r w:rsidDel="00000000" w:rsidR="00000000" w:rsidRPr="00000000">
        <w:rPr>
          <w:rtl w:val="0"/>
        </w:rPr>
        <w:t xml:space="preserve">Authenticity is therefore showcased not to be an inherent truth, but is instead a constructed one</w:t>
      </w:r>
      <w:r w:rsidDel="00000000" w:rsidR="00000000" w:rsidRPr="00000000">
        <w:rPr>
          <w:rtl w:val="0"/>
        </w:rPr>
        <w:t xml:space="preserve">. This, however, does not mitigate its importance; in fact, it highlights the need to address it. When the heritage industry claims authenticity it is rather claiming </w:t>
      </w:r>
      <w:r w:rsidDel="00000000" w:rsidR="00000000" w:rsidRPr="00000000">
        <w:rPr>
          <w:i w:val="1"/>
          <w:iCs w:val="1"/>
          <w:rtl w:val="0"/>
        </w:rPr>
        <w:t xml:space="preserve">authority </w:t>
      </w:r>
      <w:r w:rsidDel="00000000" w:rsidR="00000000" w:rsidRPr="00000000">
        <w:rPr>
          <w:rtl w:val="0"/>
        </w:rPr>
        <w:t xml:space="preserve">(Crew and Sims, 1991, p. 163). Through thinking of authenticity in this way, the political dimension is highlighted. A singular elitist narrative is pushed, and this dominant narrative actively shapes political and cultural thinking (Smith and Waterton, 2012, p. 154). This thinking is not only contained to discussions of the past but also of modern identity (Shanks, 1992, pp. 115-118). The concept of authenticity is of great importance in the presentation of heritage, in an epistemological, political and cultural way. </w:t>
      </w:r>
      <w:r w:rsidDel="00000000" w:rsidR="00000000" w:rsidRPr="00000000">
        <w:rPr>
          <w:rtl w:val="0"/>
        </w:rPr>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Bibliography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Bruner, E.M. (2007) ‘Abraham Lincoln as authentic reproduction: A critique of postmodernism’, in Knell, S.J. (ed.) </w:t>
      </w:r>
      <w:r w:rsidDel="00000000" w:rsidR="00000000" w:rsidRPr="00000000">
        <w:rPr>
          <w:i w:val="1"/>
          <w:iCs w:val="1"/>
          <w:rtl w:val="0"/>
        </w:rPr>
        <w:t xml:space="preserve">Museums in the Material World. </w:t>
      </w:r>
      <w:r w:rsidDel="00000000" w:rsidR="00000000" w:rsidRPr="00000000">
        <w:rPr>
          <w:rtl w:val="0"/>
        </w:rPr>
        <w:t xml:space="preserve">London: Routledge.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Cambridge Dictionary (n.d.) </w:t>
      </w:r>
      <w:r w:rsidDel="00000000" w:rsidR="00000000" w:rsidRPr="00000000">
        <w:rPr>
          <w:i w:val="1"/>
          <w:iCs w:val="1"/>
          <w:rtl w:val="0"/>
        </w:rPr>
        <w:t xml:space="preserve">authenticity. </w:t>
      </w:r>
      <w:r w:rsidDel="00000000" w:rsidR="00000000" w:rsidRPr="00000000">
        <w:rPr>
          <w:rtl w:val="0"/>
        </w:rPr>
        <w:t xml:space="preserve">Available at: </w:t>
      </w:r>
      <w:hyperlink r:id="rId9">
        <w:r w:rsidDel="00000000" w:rsidR="00000000" w:rsidRPr="00000000">
          <w:rPr>
            <w:color w:val="1155cc"/>
            <w:u w:val="single"/>
            <w:rtl w:val="0"/>
          </w:rPr>
          <w:t xml:space="preserve">https://dictionary.cambridge.org/dictionary/english/authenticity</w:t>
        </w:r>
      </w:hyperlink>
      <w:r w:rsidDel="00000000" w:rsidR="00000000" w:rsidRPr="00000000">
        <w:rPr>
          <w:rtl w:val="0"/>
        </w:rPr>
        <w:t xml:space="preserve"> (Accessed on 14th of January 2026).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Crew, S.R. and Sims, J.E. (1991) ‘Locating Authenticity: Fragments of a Dialogue’, in Karp, K. and Lavine, S.D. (eds.) </w:t>
      </w:r>
      <w:r w:rsidDel="00000000" w:rsidR="00000000" w:rsidRPr="00000000">
        <w:rPr>
          <w:i w:val="1"/>
          <w:iCs w:val="1"/>
          <w:rtl w:val="0"/>
        </w:rPr>
        <w:t xml:space="preserve">Exhibiting Cultures: The Poetics and Politics of Museum Display. </w:t>
      </w:r>
      <w:r w:rsidDel="00000000" w:rsidR="00000000" w:rsidRPr="00000000">
        <w:rPr>
          <w:rtl w:val="0"/>
        </w:rPr>
        <w:t xml:space="preserve">Washington: Smithsonian Institution Press.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Doyle, A.O. (2005) </w:t>
      </w:r>
      <w:r w:rsidDel="00000000" w:rsidR="00000000" w:rsidRPr="00000000">
        <w:rPr>
          <w:i w:val="1"/>
          <w:iCs w:val="1"/>
          <w:rtl w:val="0"/>
        </w:rPr>
        <w:t xml:space="preserve">Henry Onstott Cabin and Cooper’s Shop at New Salem, Illinois USA. </w:t>
      </w:r>
      <w:r w:rsidDel="00000000" w:rsidR="00000000" w:rsidRPr="00000000">
        <w:rPr>
          <w:rtl w:val="0"/>
        </w:rPr>
        <w:t xml:space="preserve">Available at: </w:t>
      </w:r>
      <w:hyperlink r:id="rId10">
        <w:r w:rsidDel="00000000" w:rsidR="00000000" w:rsidRPr="00000000">
          <w:rPr>
            <w:color w:val="1155cc"/>
            <w:u w:val="single"/>
            <w:rtl w:val="0"/>
          </w:rPr>
          <w:t xml:space="preserve">https://commons.wikimedia.org/wiki/File:HenryOnstotCooper.jpg</w:t>
        </w:r>
      </w:hyperlink>
      <w:r w:rsidDel="00000000" w:rsidR="00000000" w:rsidRPr="00000000">
        <w:rPr>
          <w:rtl w:val="0"/>
        </w:rPr>
        <w:t xml:space="preserve"> (Accessed on 14th of January 2026).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Findlen, P. (2004) ‘The Museum: Its Classical Etymology and Renaissance Genealogy’, in Carbonell, B.M. (ed.) </w:t>
      </w:r>
      <w:r w:rsidDel="00000000" w:rsidR="00000000" w:rsidRPr="00000000">
        <w:rPr>
          <w:i w:val="1"/>
          <w:iCs w:val="1"/>
          <w:rtl w:val="0"/>
        </w:rPr>
        <w:t xml:space="preserve">Museum Studies: An Anthology of Contexts. </w:t>
      </w:r>
      <w:r w:rsidDel="00000000" w:rsidR="00000000" w:rsidRPr="00000000">
        <w:rPr>
          <w:rtl w:val="0"/>
        </w:rPr>
        <w:t xml:space="preserve">Oxford: Blackwell Publishing.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Gable, E. and Handler, R. (2007) ‘After authenticity at an American heritage site’, in Knell, S.J. (ed.) </w:t>
      </w:r>
      <w:r w:rsidDel="00000000" w:rsidR="00000000" w:rsidRPr="00000000">
        <w:rPr>
          <w:i w:val="1"/>
          <w:iCs w:val="1"/>
          <w:rtl w:val="0"/>
        </w:rPr>
        <w:t xml:space="preserve">Museums in the Material World. </w:t>
      </w:r>
      <w:r w:rsidDel="00000000" w:rsidR="00000000" w:rsidRPr="00000000">
        <w:rPr>
          <w:rtl w:val="0"/>
        </w:rPr>
        <w:t xml:space="preserve">London: Routledge.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Harvey, D.C. (2001) ‘Heritage Pasts and Heritage Presents: temporality, meaning and the scope of heritage studies’, </w:t>
      </w:r>
      <w:r w:rsidDel="00000000" w:rsidR="00000000" w:rsidRPr="00000000">
        <w:rPr>
          <w:i w:val="1"/>
          <w:iCs w:val="1"/>
          <w:rtl w:val="0"/>
        </w:rPr>
        <w:t xml:space="preserve">International Journal of Heritage Studies, </w:t>
      </w:r>
      <w:r w:rsidDel="00000000" w:rsidR="00000000" w:rsidRPr="00000000">
        <w:rPr>
          <w:rtl w:val="0"/>
        </w:rPr>
        <w:t xml:space="preserve">7(4), pp. 319-338. DOI: 10.1080/13581650120105534.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Hingley, R., Sharpe, K. and Yarrow, T. (2025) </w:t>
      </w:r>
      <w:r w:rsidDel="00000000" w:rsidR="00000000" w:rsidRPr="00000000">
        <w:rPr>
          <w:i w:val="1"/>
          <w:iCs w:val="1"/>
          <w:rtl w:val="0"/>
        </w:rPr>
        <w:t xml:space="preserve">Ancient Identities in Britain: Exploring heritage in the making. </w:t>
      </w:r>
      <w:r w:rsidDel="00000000" w:rsidR="00000000" w:rsidRPr="00000000">
        <w:rPr>
          <w:rtl w:val="0"/>
        </w:rPr>
        <w:t xml:space="preserve">London: UCL Press.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Holtorf, C. (2013) ‘On Pastness: A Reconsideration of Materiality in Archaeological Object Authenticity’, </w:t>
      </w:r>
      <w:r w:rsidDel="00000000" w:rsidR="00000000" w:rsidRPr="00000000">
        <w:rPr>
          <w:i w:val="1"/>
          <w:iCs w:val="1"/>
          <w:rtl w:val="0"/>
        </w:rPr>
        <w:t xml:space="preserve">Anthropological Quarterly, </w:t>
      </w:r>
      <w:r w:rsidDel="00000000" w:rsidR="00000000" w:rsidRPr="00000000">
        <w:rPr>
          <w:rtl w:val="0"/>
        </w:rPr>
        <w:t xml:space="preserve">86(2), pp. 427-443. Available at: </w:t>
      </w:r>
      <w:hyperlink r:id="rId11">
        <w:r w:rsidDel="00000000" w:rsidR="00000000" w:rsidRPr="00000000">
          <w:rPr>
            <w:color w:val="1155cc"/>
            <w:u w:val="single"/>
            <w:rtl w:val="0"/>
          </w:rPr>
          <w:t xml:space="preserve">https://www.jstor.org/stable/41857332</w:t>
        </w:r>
      </w:hyperlink>
      <w:r w:rsidDel="00000000" w:rsidR="00000000" w:rsidRPr="00000000">
        <w:rPr>
          <w:rtl w:val="0"/>
        </w:rPr>
        <w:t xml:space="preserve"> (Accessed on 11th of January 2026).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Jones, S. (2010) ‘Negotiating Authentic Objects and Authentic Selves: Beyond the Destruction of Authenticity’, </w:t>
      </w:r>
      <w:r w:rsidDel="00000000" w:rsidR="00000000" w:rsidRPr="00000000">
        <w:rPr>
          <w:i w:val="1"/>
          <w:iCs w:val="1"/>
          <w:rtl w:val="0"/>
        </w:rPr>
        <w:t xml:space="preserve">Journal of Material Culture, </w:t>
      </w:r>
      <w:r w:rsidDel="00000000" w:rsidR="00000000" w:rsidRPr="00000000">
        <w:rPr>
          <w:rtl w:val="0"/>
        </w:rPr>
        <w:t xml:space="preserve">15(2), pp. 181-203. Available at: </w:t>
      </w:r>
      <w:hyperlink r:id="rId12">
        <w:r w:rsidDel="00000000" w:rsidR="00000000" w:rsidRPr="00000000">
          <w:rPr>
            <w:color w:val="1155cc"/>
            <w:u w:val="single"/>
            <w:rtl w:val="0"/>
          </w:rPr>
          <w:t xml:space="preserve">https://journals.sagepub.com/doi/10.1177/1359183510364074</w:t>
        </w:r>
      </w:hyperlink>
      <w:r w:rsidDel="00000000" w:rsidR="00000000" w:rsidRPr="00000000">
        <w:rPr>
          <w:rtl w:val="0"/>
        </w:rPr>
        <w:t xml:space="preserve"> (Accessed on 11th of January 2026).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i w:val="1"/>
          <w:iCs w:val="1"/>
          <w:rtl w:val="0"/>
        </w:rPr>
        <w:t xml:space="preserve">Nara document on authenticity </w:t>
      </w:r>
      <w:r w:rsidDel="00000000" w:rsidR="00000000" w:rsidRPr="00000000">
        <w:rPr>
          <w:rtl w:val="0"/>
        </w:rPr>
        <w:t xml:space="preserve">(1994). Available at: </w:t>
      </w:r>
      <w:hyperlink r:id="rId13">
        <w:r w:rsidDel="00000000" w:rsidR="00000000" w:rsidRPr="00000000">
          <w:rPr>
            <w:color w:val="1155cc"/>
            <w:u w:val="single"/>
            <w:rtl w:val="0"/>
          </w:rPr>
          <w:t xml:space="preserve">https://www.iccrom.org/sites/default/files/publications/2020-05/convern8_06_thenaradocu_ing.pdf</w:t>
        </w:r>
      </w:hyperlink>
      <w:r w:rsidDel="00000000" w:rsidR="00000000" w:rsidRPr="00000000">
        <w:rPr>
          <w:rtl w:val="0"/>
        </w:rPr>
        <w:t xml:space="preserve"> (Accessed on 12th of January 2026).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National Museums Liverpool (n.d. a) </w:t>
      </w:r>
      <w:r w:rsidDel="00000000" w:rsidR="00000000" w:rsidRPr="00000000">
        <w:rPr>
          <w:i w:val="1"/>
          <w:iCs w:val="1"/>
          <w:rtl w:val="0"/>
        </w:rPr>
        <w:t xml:space="preserve">International Slavery Museum. </w:t>
      </w:r>
      <w:r w:rsidDel="00000000" w:rsidR="00000000" w:rsidRPr="00000000">
        <w:rPr>
          <w:rtl w:val="0"/>
        </w:rPr>
        <w:t xml:space="preserve">Available at: </w:t>
      </w:r>
      <w:hyperlink r:id="rId14">
        <w:r w:rsidDel="00000000" w:rsidR="00000000" w:rsidRPr="00000000">
          <w:rPr>
            <w:color w:val="1155cc"/>
            <w:u w:val="single"/>
            <w:rtl w:val="0"/>
          </w:rPr>
          <w:t xml:space="preserve">https://www.liverpoolmuseums.org.uk/international-slavery-museum#section--explore-online</w:t>
        </w:r>
      </w:hyperlink>
      <w:r w:rsidDel="00000000" w:rsidR="00000000" w:rsidRPr="00000000">
        <w:rPr>
          <w:rtl w:val="0"/>
        </w:rPr>
        <w:t xml:space="preserve"> (Accessed on 14th of January 2026).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National Museums Liverpool (n.d. b) </w:t>
      </w:r>
      <w:r w:rsidDel="00000000" w:rsidR="00000000" w:rsidRPr="00000000">
        <w:rPr>
          <w:i w:val="1"/>
          <w:iCs w:val="1"/>
          <w:rtl w:val="0"/>
        </w:rPr>
        <w:t xml:space="preserve">Transatlantic slavery collection. </w:t>
      </w:r>
      <w:r w:rsidDel="00000000" w:rsidR="00000000" w:rsidRPr="00000000">
        <w:rPr>
          <w:rtl w:val="0"/>
        </w:rPr>
        <w:t xml:space="preserve">Available at: </w:t>
      </w:r>
      <w:hyperlink r:id="rId15">
        <w:r w:rsidDel="00000000" w:rsidR="00000000" w:rsidRPr="00000000">
          <w:rPr>
            <w:color w:val="1155cc"/>
            <w:u w:val="single"/>
            <w:rtl w:val="0"/>
          </w:rPr>
          <w:t xml:space="preserve">https://www.liverpoolmuseums.org.uk/transatlantic-slavery-collection</w:t>
        </w:r>
      </w:hyperlink>
      <w:r w:rsidDel="00000000" w:rsidR="00000000" w:rsidRPr="00000000">
        <w:rPr>
          <w:rtl w:val="0"/>
        </w:rPr>
        <w:t xml:space="preserve"> (Accessed on 14th of January 2026).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National Museums Liverpool (n.d. c) </w:t>
      </w:r>
      <w:r w:rsidDel="00000000" w:rsidR="00000000" w:rsidRPr="00000000">
        <w:rPr>
          <w:i w:val="1"/>
          <w:iCs w:val="1"/>
          <w:rtl w:val="0"/>
        </w:rPr>
        <w:t xml:space="preserve">How do we curate racist objects? </w:t>
      </w:r>
      <w:r w:rsidDel="00000000" w:rsidR="00000000" w:rsidRPr="00000000">
        <w:rPr>
          <w:rtl w:val="0"/>
        </w:rPr>
        <w:t xml:space="preserve">Available at: </w:t>
      </w:r>
      <w:hyperlink r:id="rId16">
        <w:r w:rsidDel="00000000" w:rsidR="00000000" w:rsidRPr="00000000">
          <w:rPr>
            <w:color w:val="1155cc"/>
            <w:u w:val="single"/>
            <w:rtl w:val="0"/>
          </w:rPr>
          <w:t xml:space="preserve">https://www.liverpoolmuseums.org.uk/stories/how-do-we-curate-racist-objects-big-question</w:t>
        </w:r>
      </w:hyperlink>
      <w:r w:rsidDel="00000000" w:rsidR="00000000" w:rsidRPr="00000000">
        <w:rPr>
          <w:rtl w:val="0"/>
        </w:rPr>
        <w:t xml:space="preserve"> (Accessed on 14th of January 2026).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O’Keefe, P.J. (1993) ‘The European Convention on the Protection of the Archaeological Heritage’, </w:t>
      </w:r>
      <w:r w:rsidDel="00000000" w:rsidR="00000000" w:rsidRPr="00000000">
        <w:rPr>
          <w:i w:val="1"/>
          <w:iCs w:val="1"/>
          <w:rtl w:val="0"/>
        </w:rPr>
        <w:t xml:space="preserve">Antiquity</w:t>
      </w:r>
      <w:r w:rsidDel="00000000" w:rsidR="00000000" w:rsidRPr="00000000">
        <w:rPr>
          <w:rtl w:val="0"/>
        </w:rPr>
        <w:t xml:space="preserve">, 67(255), pp. 406-413. DOI: 10.1017/S0003598X00045506.</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Pearson, M. and Shanks, M. (1991) </w:t>
      </w:r>
      <w:r w:rsidDel="00000000" w:rsidR="00000000" w:rsidRPr="00000000">
        <w:rPr>
          <w:i w:val="1"/>
          <w:iCs w:val="1"/>
          <w:rtl w:val="0"/>
        </w:rPr>
        <w:t xml:space="preserve">Theatre/Archaeology. </w:t>
      </w:r>
      <w:r w:rsidDel="00000000" w:rsidR="00000000" w:rsidRPr="00000000">
        <w:rPr>
          <w:rtl w:val="0"/>
        </w:rPr>
        <w:t xml:space="preserve">Oxford: Routledge.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Shanks, M. (1992) </w:t>
      </w:r>
      <w:r w:rsidDel="00000000" w:rsidR="00000000" w:rsidRPr="00000000">
        <w:rPr>
          <w:i w:val="1"/>
          <w:iCs w:val="1"/>
          <w:rtl w:val="0"/>
        </w:rPr>
        <w:t xml:space="preserve">Experiencing the Past: On the character of archaeology. </w:t>
      </w:r>
      <w:r w:rsidDel="00000000" w:rsidR="00000000" w:rsidRPr="00000000">
        <w:rPr>
          <w:rtl w:val="0"/>
        </w:rPr>
        <w:t xml:space="preserve">London: Routledge.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Smith, L. (2006) </w:t>
      </w:r>
      <w:r w:rsidDel="00000000" w:rsidR="00000000" w:rsidRPr="00000000">
        <w:rPr>
          <w:i w:val="1"/>
          <w:iCs w:val="1"/>
          <w:rtl w:val="0"/>
        </w:rPr>
        <w:t xml:space="preserve">Uses of Heritage. </w:t>
      </w:r>
      <w:r w:rsidDel="00000000" w:rsidR="00000000" w:rsidRPr="00000000">
        <w:rPr>
          <w:rtl w:val="0"/>
        </w:rPr>
        <w:t xml:space="preserve">Oxford: Routledge.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Smith, L. and Waterton, E. (2012) ‘Constrained by Commonsense: The Authorized Heritage Discourse in Contemporary Debates’ in Skeates, R., McDavid, C. and Carman, J. (eds.) </w:t>
      </w:r>
      <w:r w:rsidDel="00000000" w:rsidR="00000000" w:rsidRPr="00000000">
        <w:rPr>
          <w:i w:val="1"/>
          <w:iCs w:val="1"/>
          <w:rtl w:val="0"/>
        </w:rPr>
        <w:t xml:space="preserve">The Oxford Handbook of Public Archaeology. </w:t>
      </w:r>
      <w:r w:rsidDel="00000000" w:rsidR="00000000" w:rsidRPr="00000000">
        <w:rPr>
          <w:rtl w:val="0"/>
        </w:rPr>
        <w:t xml:space="preserve">Oxford: Oxford University Press.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Stovel, H. (2019) ‘Origins and influence of the Nara document on authenticity’, </w:t>
      </w:r>
      <w:r w:rsidDel="00000000" w:rsidR="00000000" w:rsidRPr="00000000">
        <w:rPr>
          <w:i w:val="1"/>
          <w:iCs w:val="1"/>
          <w:rtl w:val="0"/>
        </w:rPr>
        <w:t xml:space="preserve">Conversaciones…, </w:t>
      </w:r>
      <w:r w:rsidDel="00000000" w:rsidR="00000000" w:rsidRPr="00000000">
        <w:rPr>
          <w:rtl w:val="0"/>
        </w:rPr>
        <w:t xml:space="preserve">8, pp. 12-30. Available at: </w:t>
      </w:r>
      <w:hyperlink r:id="rId17">
        <w:r w:rsidDel="00000000" w:rsidR="00000000" w:rsidRPr="00000000">
          <w:rPr>
            <w:color w:val="1155cc"/>
            <w:u w:val="single"/>
            <w:rtl w:val="0"/>
          </w:rPr>
          <w:t xml:space="preserve">https://www.iccrom.org/sites/default/files/publications/2020-05/conver8_vfinal_completa.pdf</w:t>
        </w:r>
      </w:hyperlink>
      <w:r w:rsidDel="00000000" w:rsidR="00000000" w:rsidRPr="00000000">
        <w:rPr>
          <w:rtl w:val="0"/>
        </w:rPr>
        <w:t xml:space="preserve"> (Accessed on 12th of January 2026).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UNESCO (n.d. a) </w:t>
      </w:r>
      <w:r w:rsidDel="00000000" w:rsidR="00000000" w:rsidRPr="00000000">
        <w:rPr>
          <w:i w:val="1"/>
          <w:iCs w:val="1"/>
          <w:rtl w:val="0"/>
        </w:rPr>
        <w:t xml:space="preserve">The World Heritage Convention. </w:t>
      </w:r>
      <w:r w:rsidDel="00000000" w:rsidR="00000000" w:rsidRPr="00000000">
        <w:rPr>
          <w:rtl w:val="0"/>
        </w:rPr>
        <w:t xml:space="preserve">Available at: </w:t>
      </w:r>
      <w:hyperlink r:id="rId18">
        <w:r w:rsidDel="00000000" w:rsidR="00000000" w:rsidRPr="00000000">
          <w:rPr>
            <w:color w:val="1155cc"/>
            <w:u w:val="single"/>
            <w:rtl w:val="0"/>
          </w:rPr>
          <w:t xml:space="preserve">https://whc.unesco.org/en/convention/</w:t>
        </w:r>
      </w:hyperlink>
      <w:r w:rsidDel="00000000" w:rsidR="00000000" w:rsidRPr="00000000">
        <w:rPr>
          <w:rtl w:val="0"/>
        </w:rPr>
        <w:t xml:space="preserve"> (Accessed on 12th of January 2026).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UNESCO (n.d. b) </w:t>
      </w:r>
      <w:r w:rsidDel="00000000" w:rsidR="00000000" w:rsidRPr="00000000">
        <w:rPr>
          <w:i w:val="1"/>
          <w:iCs w:val="1"/>
          <w:rtl w:val="0"/>
        </w:rPr>
        <w:t xml:space="preserve">World Heritage List. </w:t>
      </w:r>
      <w:r w:rsidDel="00000000" w:rsidR="00000000" w:rsidRPr="00000000">
        <w:rPr>
          <w:rtl w:val="0"/>
        </w:rPr>
        <w:t xml:space="preserve">Available at: </w:t>
      </w:r>
      <w:hyperlink r:id="rId19">
        <w:r w:rsidDel="00000000" w:rsidR="00000000" w:rsidRPr="00000000">
          <w:rPr>
            <w:color w:val="1155cc"/>
            <w:u w:val="single"/>
            <w:rtl w:val="0"/>
          </w:rPr>
          <w:t xml:space="preserve">https://whc.unesco.org/en/list/</w:t>
        </w:r>
      </w:hyperlink>
      <w:r w:rsidDel="00000000" w:rsidR="00000000" w:rsidRPr="00000000">
        <w:rPr>
          <w:rtl w:val="0"/>
        </w:rPr>
        <w:t xml:space="preserve"> (Accessed on 12th of January 2026). </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jstor.org/stable/41857332" TargetMode="External"/><Relationship Id="rId10" Type="http://schemas.openxmlformats.org/officeDocument/2006/relationships/hyperlink" Target="https://commons.wikimedia.org/wiki/File:HenryOnstotCooper.jpg" TargetMode="External"/><Relationship Id="rId13" Type="http://schemas.openxmlformats.org/officeDocument/2006/relationships/hyperlink" Target="https://www.iccrom.org/sites/default/files/publications/2020-05/convern8_06_thenaradocu_ing.pdf" TargetMode="External"/><Relationship Id="rId12" Type="http://schemas.openxmlformats.org/officeDocument/2006/relationships/hyperlink" Target="https://journals.sagepub.com/doi/10.1177/135918351036407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authenticity" TargetMode="External"/><Relationship Id="rId15" Type="http://schemas.openxmlformats.org/officeDocument/2006/relationships/hyperlink" Target="https://www.liverpoolmuseums.org.uk/transatlantic-slavery-collection" TargetMode="External"/><Relationship Id="rId14" Type="http://schemas.openxmlformats.org/officeDocument/2006/relationships/hyperlink" Target="https://www.liverpoolmuseums.org.uk/international-slavery-museum#section--explore-online" TargetMode="External"/><Relationship Id="rId17" Type="http://schemas.openxmlformats.org/officeDocument/2006/relationships/hyperlink" Target="https://www.iccrom.org/sites/default/files/publications/2020-05/conver8_vfinal_completa.pdf" TargetMode="External"/><Relationship Id="rId16" Type="http://schemas.openxmlformats.org/officeDocument/2006/relationships/hyperlink" Target="https://www.liverpoolmuseums.org.uk/stories/how-do-we-curate-racist-objects-big-question" TargetMode="External"/><Relationship Id="rId5" Type="http://schemas.openxmlformats.org/officeDocument/2006/relationships/styles" Target="styles.xml"/><Relationship Id="rId19" Type="http://schemas.openxmlformats.org/officeDocument/2006/relationships/hyperlink" Target="https://whc.unesco.org/en/list/" TargetMode="External"/><Relationship Id="rId6" Type="http://schemas.openxmlformats.org/officeDocument/2006/relationships/image" Target="media/image2.png"/><Relationship Id="rId18" Type="http://schemas.openxmlformats.org/officeDocument/2006/relationships/hyperlink" Target="https://whc.unesco.org/en/convention/" TargetMode="External"/><Relationship Id="rId7" Type="http://schemas.openxmlformats.org/officeDocument/2006/relationships/image" Target="media/image1.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