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contextualSpacing/>
        <w:rPr>
          <w:rFonts w:cs="Times New Roman"/>
          <w:szCs w:val="24"/>
        </w:rPr>
      </w:pPr>
      <w:r>
        <w:rPr>
          <w:rFonts w:cs="Times New Roman"/>
          <w:szCs w:val="24"/>
          <w:lang w:val="en-US"/>
        </w:rPr>
        <w:drawing>
          <wp:inline distT="0" distB="0" distL="0" distR="0">
            <wp:extent cx="2699385" cy="895350"/>
            <wp:effectExtent l="0" t="0" r="571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709820" cy="898757"/>
                    </a:xfrm>
                    <a:prstGeom prst="rect">
                      <a:avLst/>
                    </a:prstGeom>
                    <a:noFill/>
                    <a:ln>
                      <a:noFill/>
                    </a:ln>
                  </pic:spPr>
                </pic:pic>
              </a:graphicData>
            </a:graphic>
          </wp:inline>
        </w:drawing>
      </w:r>
    </w:p>
    <w:p>
      <w:pPr>
        <w:spacing w:line="480" w:lineRule="auto"/>
        <w:contextualSpacing/>
        <w:rPr>
          <w:rFonts w:cs="Times New Roman"/>
          <w:szCs w:val="24"/>
        </w:rPr>
      </w:pPr>
    </w:p>
    <w:p>
      <w:pPr>
        <w:spacing w:line="480" w:lineRule="auto"/>
        <w:contextualSpacing/>
        <w:jc w:val="center"/>
        <w:rPr>
          <w:rFonts w:cs="Times New Roman"/>
          <w:szCs w:val="24"/>
        </w:rPr>
      </w:pPr>
      <w:r>
        <w:rPr>
          <w:rFonts w:cs="Times New Roman"/>
          <w:szCs w:val="24"/>
        </w:rPr>
        <w:t>BMMB70</w:t>
      </w:r>
      <w:r>
        <w:rPr>
          <w:rFonts w:eastAsia="宋体" w:cs="Times New Roman"/>
          <w:szCs w:val="24"/>
          <w:lang w:val="en-US" w:eastAsia="zh-CN"/>
        </w:rPr>
        <w:t>13</w:t>
      </w:r>
      <w:r>
        <w:rPr>
          <w:rFonts w:cs="Times New Roman"/>
          <w:szCs w:val="24"/>
        </w:rPr>
        <w:t xml:space="preserve"> – Strategic Management</w:t>
      </w:r>
    </w:p>
    <w:p>
      <w:pPr>
        <w:spacing w:line="480" w:lineRule="auto"/>
        <w:contextualSpacing/>
        <w:jc w:val="center"/>
        <w:rPr>
          <w:rFonts w:cs="Times New Roman"/>
          <w:szCs w:val="24"/>
        </w:rPr>
      </w:pPr>
    </w:p>
    <w:p>
      <w:pPr>
        <w:pStyle w:val="2"/>
        <w:spacing w:line="480" w:lineRule="auto"/>
        <w:contextualSpacing/>
        <w:rPr>
          <w:rFonts w:cs="Times New Roman"/>
          <w:szCs w:val="24"/>
        </w:rPr>
      </w:pPr>
      <w:bookmarkStart w:id="35" w:name="_GoBack"/>
      <w:bookmarkEnd w:id="35"/>
    </w:p>
    <w:p>
      <w:pPr>
        <w:pStyle w:val="2"/>
        <w:spacing w:line="480" w:lineRule="auto"/>
        <w:contextualSpacing/>
        <w:rPr>
          <w:rFonts w:cs="Times New Roman"/>
          <w:szCs w:val="24"/>
        </w:rPr>
      </w:pPr>
    </w:p>
    <w:p>
      <w:pPr>
        <w:spacing w:line="480" w:lineRule="auto"/>
        <w:contextualSpacing/>
        <w:jc w:val="center"/>
        <w:rPr>
          <w:rFonts w:cs="Times New Roman"/>
          <w:szCs w:val="24"/>
          <w:highlight w:val="yellow"/>
        </w:rPr>
      </w:pPr>
      <w:r>
        <w:rPr>
          <w:rFonts w:cs="Times New Roman"/>
          <w:szCs w:val="24"/>
          <w:highlight w:val="yellow"/>
        </w:rPr>
        <w:t>Printed Name: _ _ _ _ _</w:t>
      </w:r>
      <w:r>
        <w:rPr>
          <w:rFonts w:hint="eastAsia" w:eastAsia="宋体" w:cs="Times New Roman"/>
          <w:szCs w:val="24"/>
          <w:highlight w:val="yellow"/>
          <w:lang w:val="en-US" w:eastAsia="zh-CN"/>
        </w:rPr>
        <w:t>Xiaoyu Zhang</w:t>
      </w:r>
      <w:r>
        <w:rPr>
          <w:rFonts w:cs="Times New Roman"/>
          <w:szCs w:val="24"/>
          <w:highlight w:val="yellow"/>
        </w:rPr>
        <w:t xml:space="preserve"> _ _ _ _ _ _ _ _ _ _ _ _ _ _ _ _ _ _ _ _</w:t>
      </w:r>
    </w:p>
    <w:p>
      <w:pPr>
        <w:spacing w:line="480" w:lineRule="auto"/>
        <w:contextualSpacing/>
        <w:jc w:val="center"/>
        <w:rPr>
          <w:rFonts w:cs="Times New Roman"/>
          <w:szCs w:val="24"/>
          <w:highlight w:val="yellow"/>
        </w:rPr>
      </w:pPr>
    </w:p>
    <w:p>
      <w:pPr>
        <w:spacing w:line="480" w:lineRule="auto"/>
        <w:contextualSpacing/>
        <w:jc w:val="center"/>
        <w:rPr>
          <w:rFonts w:cs="Times New Roman"/>
          <w:szCs w:val="24"/>
          <w:highlight w:val="yellow"/>
        </w:rPr>
      </w:pPr>
      <w:r>
        <w:rPr>
          <w:rFonts w:cs="Times New Roman"/>
          <w:szCs w:val="24"/>
          <w:highlight w:val="yellow"/>
        </w:rPr>
        <w:t>Signature: _ _ _ _ _</w:t>
      </w:r>
      <w:r>
        <w:rPr>
          <w:rFonts w:hint="eastAsia" w:eastAsia="宋体" w:cs="Times New Roman"/>
          <w:szCs w:val="24"/>
          <w:highlight w:val="yellow"/>
          <w:lang w:val="en-US" w:eastAsia="zh-CN"/>
        </w:rPr>
        <w:t>2216733</w:t>
      </w:r>
      <w:r>
        <w:rPr>
          <w:rFonts w:cs="Times New Roman"/>
          <w:szCs w:val="24"/>
          <w:highlight w:val="yellow"/>
        </w:rPr>
        <w:t xml:space="preserve"> _ _ _ _ _ _ _ _ _ _ _ _ _ _ _ _ _ _ _ _ _ _</w:t>
      </w:r>
    </w:p>
    <w:p>
      <w:pPr>
        <w:pStyle w:val="2"/>
        <w:spacing w:line="480" w:lineRule="auto"/>
        <w:contextualSpacing/>
        <w:rPr>
          <w:rFonts w:cs="Times New Roman"/>
          <w:szCs w:val="24"/>
          <w:highlight w:val="yellow"/>
        </w:rPr>
      </w:pPr>
    </w:p>
    <w:p>
      <w:pPr>
        <w:pStyle w:val="2"/>
        <w:spacing w:line="480" w:lineRule="auto"/>
        <w:contextualSpacing/>
        <w:rPr>
          <w:rFonts w:cs="Times New Roman"/>
          <w:szCs w:val="24"/>
          <w:highlight w:val="yellow"/>
        </w:rPr>
      </w:pPr>
    </w:p>
    <w:p>
      <w:pPr>
        <w:pStyle w:val="2"/>
        <w:spacing w:line="480" w:lineRule="auto"/>
        <w:contextualSpacing/>
        <w:rPr>
          <w:rFonts w:cs="Times New Roman"/>
          <w:szCs w:val="24"/>
          <w:highlight w:val="yellow"/>
        </w:rPr>
      </w:pPr>
    </w:p>
    <w:p>
      <w:pPr>
        <w:pStyle w:val="2"/>
        <w:spacing w:line="480" w:lineRule="auto"/>
        <w:contextualSpacing/>
        <w:rPr>
          <w:rFonts w:cs="Times New Roman"/>
          <w:szCs w:val="24"/>
          <w:highlight w:val="yellow"/>
        </w:rPr>
      </w:pPr>
    </w:p>
    <w:p>
      <w:pPr>
        <w:pStyle w:val="2"/>
        <w:spacing w:line="480" w:lineRule="auto"/>
        <w:contextualSpacing/>
        <w:rPr>
          <w:rFonts w:cs="Times New Roman"/>
          <w:szCs w:val="24"/>
          <w:highlight w:val="yellow"/>
        </w:rPr>
      </w:pPr>
    </w:p>
    <w:p>
      <w:pPr>
        <w:pStyle w:val="2"/>
        <w:spacing w:line="480" w:lineRule="auto"/>
        <w:contextualSpacing/>
        <w:rPr>
          <w:rFonts w:cs="Times New Roman"/>
          <w:szCs w:val="24"/>
          <w:highlight w:val="yellow"/>
        </w:rPr>
      </w:pPr>
    </w:p>
    <w:p>
      <w:pPr>
        <w:pStyle w:val="2"/>
        <w:spacing w:line="480" w:lineRule="auto"/>
        <w:contextualSpacing/>
        <w:rPr>
          <w:rFonts w:cs="Times New Roman"/>
          <w:szCs w:val="24"/>
          <w:highlight w:val="yellow"/>
        </w:rPr>
      </w:pPr>
    </w:p>
    <w:p>
      <w:pPr>
        <w:pStyle w:val="2"/>
        <w:spacing w:line="480" w:lineRule="auto"/>
        <w:contextualSpacing/>
        <w:rPr>
          <w:rFonts w:cs="Times New Roman"/>
          <w:szCs w:val="24"/>
          <w:highlight w:val="yellow"/>
        </w:rPr>
      </w:pPr>
    </w:p>
    <w:p>
      <w:pPr>
        <w:pStyle w:val="2"/>
        <w:spacing w:line="480" w:lineRule="auto"/>
        <w:contextualSpacing/>
        <w:rPr>
          <w:rFonts w:cs="Times New Roman"/>
          <w:szCs w:val="24"/>
          <w:highlight w:val="yellow"/>
        </w:rPr>
      </w:pPr>
    </w:p>
    <w:p>
      <w:pPr>
        <w:pStyle w:val="2"/>
        <w:spacing w:line="480" w:lineRule="auto"/>
        <w:contextualSpacing/>
        <w:rPr>
          <w:rFonts w:cs="Times New Roman"/>
          <w:szCs w:val="24"/>
          <w:highlight w:val="yellow"/>
        </w:rPr>
      </w:pPr>
    </w:p>
    <w:p>
      <w:pPr>
        <w:pStyle w:val="2"/>
        <w:spacing w:line="480" w:lineRule="auto"/>
        <w:contextualSpacing/>
        <w:rPr>
          <w:rFonts w:cs="Times New Roman"/>
          <w:szCs w:val="24"/>
          <w:highlight w:val="yellow"/>
        </w:rPr>
      </w:pPr>
    </w:p>
    <w:p>
      <w:pPr>
        <w:pStyle w:val="2"/>
        <w:spacing w:line="480" w:lineRule="auto"/>
        <w:contextualSpacing/>
        <w:rPr>
          <w:rFonts w:cs="Times New Roman"/>
          <w:szCs w:val="24"/>
          <w:highlight w:val="yellow"/>
        </w:rPr>
      </w:pPr>
    </w:p>
    <w:p>
      <w:pPr>
        <w:pStyle w:val="2"/>
        <w:spacing w:line="480" w:lineRule="auto"/>
        <w:contextualSpacing/>
        <w:rPr>
          <w:rFonts w:cs="Times New Roman"/>
          <w:szCs w:val="24"/>
          <w:highlight w:val="yellow"/>
        </w:rPr>
      </w:pPr>
    </w:p>
    <w:p>
      <w:pPr>
        <w:pStyle w:val="3"/>
        <w:spacing w:line="480" w:lineRule="auto"/>
        <w:rPr>
          <w:rFonts w:cs="Times New Roman"/>
        </w:rPr>
      </w:pPr>
      <w:bookmarkStart w:id="0" w:name="_Toc133485914"/>
      <w:r>
        <w:rPr>
          <w:rFonts w:cs="Times New Roman"/>
        </w:rPr>
        <w:t>Executive Summary</w:t>
      </w:r>
      <w:bookmarkEnd w:id="0"/>
      <w:r>
        <w:rPr>
          <w:rFonts w:cs="Times New Roman"/>
        </w:rPr>
        <w:t xml:space="preserve">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This report provides an overview of Ford Motor Company's history, mission, and offerings. It highlights the company's focus on innovation, customer satisfaction, and community engagement to achieve its vision of becoming the world's most trusted mobility company. The report also includes a comprehensive strategic analysis, including internal and external factors, to understand Ford's business strategy amidst global competition and the COVID-19 pandemic.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The macro-environmental analysis considers the impact of political, economic, social, technological, environmental, and legal factors on the company's operations, opportunities, and threats. In particular, the report emphasizes the trend towards electric and clean energy vehicles as a significant challenge and opportunity for Ford Motor Company. Despite facing numerous challenges, Ford has established itself as a leading player in the global automotive industry with its strong brand image, innovative products, and commitment to customer satisfaction.</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The report also carries an assessment of the company's strategic options, from which it identifies market disequilibrium, vertical management of strategy, and a mismatch between customer needs as key challenges. Influence and strategy of the strategic organization is also discussed, highlighting the importance balancing the market, adjusting positioning, and implementing matrix management.</w:t>
      </w:r>
    </w:p>
    <w:p>
      <w:pPr>
        <w:spacing w:line="480" w:lineRule="auto"/>
        <w:ind w:firstLine="480" w:firstLineChars="200"/>
        <w:contextualSpacing/>
        <w:jc w:val="both"/>
        <w:rPr>
          <w:rFonts w:cs="Times New Roman"/>
          <w:color w:val="auto"/>
          <w:szCs w:val="24"/>
          <w:highlight w:val="none"/>
          <w:lang w:eastAsia="zh-CN"/>
        </w:rPr>
      </w:pPr>
      <w:r>
        <w:rPr>
          <w:rFonts w:cs="Times New Roman"/>
          <w:color w:val="auto"/>
          <w:highlight w:val="none"/>
          <w:lang w:val="en"/>
        </w:rPr>
        <w:t>Based on the analysis, the report recommends that Ford should continue to streamline its operations and focus on building its brand identity. It should also explore opportunities to expand into new markets and focus on innovation to meet with changing consumer preferences and demands. Furthermore, it should invest improve its customer service to help build customer loyalty and increase sales. Finally, it should Collaborate with other companies to improve its competitiveness</w:t>
      </w:r>
      <w:r>
        <w:rPr>
          <w:rFonts w:cs="Times New Roman"/>
          <w:color w:val="auto"/>
          <w:highlight w:val="none"/>
          <w:lang w:val="en-US" w:eastAsia="zh-CN"/>
        </w:rPr>
        <w:t>.</w:t>
      </w:r>
    </w:p>
    <w:p>
      <w:pPr>
        <w:pStyle w:val="2"/>
        <w:spacing w:line="480" w:lineRule="auto"/>
        <w:contextualSpacing/>
        <w:rPr>
          <w:rFonts w:cs="Times New Roman"/>
          <w:color w:val="auto"/>
          <w:szCs w:val="24"/>
          <w:highlight w:val="none"/>
        </w:rPr>
      </w:pPr>
    </w:p>
    <w:sdt>
      <w:sdtPr>
        <w:rPr>
          <w:rFonts w:cs="Times New Roman" w:eastAsiaTheme="minorHAnsi"/>
          <w:b w:val="0"/>
          <w:color w:val="auto"/>
          <w:sz w:val="24"/>
          <w:szCs w:val="24"/>
          <w:highlight w:val="none"/>
          <w:lang w:val="en-GB"/>
        </w:rPr>
        <w:id w:val="-685059046"/>
        <w:docPartObj>
          <w:docPartGallery w:val="Table of Contents"/>
          <w:docPartUnique/>
        </w:docPartObj>
      </w:sdtPr>
      <w:sdtEndPr>
        <w:rPr>
          <w:rFonts w:cs="Times New Roman" w:eastAsiaTheme="minorHAnsi"/>
          <w:b w:val="0"/>
          <w:bCs/>
          <w:color w:val="auto"/>
          <w:sz w:val="24"/>
          <w:szCs w:val="24"/>
          <w:highlight w:val="none"/>
          <w:lang w:val="en-GB"/>
        </w:rPr>
      </w:sdtEndPr>
      <w:sdtContent>
        <w:p>
          <w:pPr>
            <w:pStyle w:val="22"/>
            <w:spacing w:line="480" w:lineRule="auto"/>
            <w:rPr>
              <w:rFonts w:cs="Times New Roman"/>
              <w:color w:val="auto"/>
              <w:sz w:val="24"/>
              <w:szCs w:val="24"/>
              <w:highlight w:val="none"/>
            </w:rPr>
          </w:pPr>
          <w:r>
            <w:rPr>
              <w:rFonts w:cs="Times New Roman"/>
              <w:color w:val="auto"/>
              <w:sz w:val="24"/>
              <w:szCs w:val="24"/>
              <w:highlight w:val="none"/>
            </w:rPr>
            <w:t>Table of Contents</w:t>
          </w:r>
        </w:p>
        <w:p>
          <w:pPr>
            <w:pStyle w:val="10"/>
            <w:tabs>
              <w:tab w:val="right" w:leader="dot" w:pos="9016"/>
            </w:tabs>
            <w:rPr>
              <w:rFonts w:asciiTheme="minorHAnsi" w:hAnsiTheme="minorHAnsi" w:eastAsiaTheme="minorEastAsia"/>
              <w:color w:val="auto"/>
              <w:sz w:val="22"/>
              <w:highlight w:val="none"/>
              <w:lang w:val="en-US"/>
            </w:rPr>
          </w:pPr>
          <w:r>
            <w:rPr>
              <w:rFonts w:cs="Times New Roman"/>
              <w:color w:val="auto"/>
              <w:szCs w:val="24"/>
              <w:highlight w:val="none"/>
            </w:rPr>
            <w:fldChar w:fldCharType="begin"/>
          </w:r>
          <w:r>
            <w:rPr>
              <w:rFonts w:cs="Times New Roman"/>
              <w:color w:val="auto"/>
              <w:szCs w:val="24"/>
              <w:highlight w:val="none"/>
            </w:rPr>
            <w:instrText xml:space="preserve"> TOC \o "1-3" \h \z \u </w:instrText>
          </w:r>
          <w:r>
            <w:rPr>
              <w:rFonts w:cs="Times New Roman"/>
              <w:color w:val="auto"/>
              <w:szCs w:val="24"/>
              <w:highlight w:val="none"/>
            </w:rPr>
            <w:fldChar w:fldCharType="separate"/>
          </w:r>
          <w:r>
            <w:rPr>
              <w:color w:val="auto"/>
              <w:highlight w:val="none"/>
            </w:rPr>
            <w:fldChar w:fldCharType="begin"/>
          </w:r>
          <w:r>
            <w:rPr>
              <w:color w:val="auto"/>
              <w:highlight w:val="none"/>
            </w:rPr>
            <w:instrText xml:space="preserve"> HYPERLINK \l "_Toc133485914" </w:instrText>
          </w:r>
          <w:r>
            <w:rPr>
              <w:color w:val="auto"/>
              <w:highlight w:val="none"/>
            </w:rPr>
            <w:fldChar w:fldCharType="separate"/>
          </w:r>
          <w:r>
            <w:rPr>
              <w:rStyle w:val="16"/>
              <w:rFonts w:cs="Times New Roman"/>
              <w:color w:val="auto"/>
              <w:highlight w:val="none"/>
            </w:rPr>
            <w:t>Executive Summary</w:t>
          </w:r>
          <w:r>
            <w:rPr>
              <w:color w:val="auto"/>
              <w:highlight w:val="none"/>
            </w:rPr>
            <w:tab/>
          </w:r>
          <w:r>
            <w:rPr>
              <w:color w:val="auto"/>
              <w:highlight w:val="none"/>
            </w:rPr>
            <w:fldChar w:fldCharType="begin"/>
          </w:r>
          <w:r>
            <w:rPr>
              <w:color w:val="auto"/>
              <w:highlight w:val="none"/>
            </w:rPr>
            <w:instrText xml:space="preserve"> PAGEREF _Toc133485914 \h </w:instrText>
          </w:r>
          <w:r>
            <w:rPr>
              <w:color w:val="auto"/>
              <w:highlight w:val="none"/>
            </w:rPr>
            <w:fldChar w:fldCharType="separate"/>
          </w:r>
          <w:r>
            <w:rPr>
              <w:color w:val="auto"/>
              <w:highlight w:val="none"/>
            </w:rPr>
            <w:t>ii</w:t>
          </w:r>
          <w:r>
            <w:rPr>
              <w:color w:val="auto"/>
              <w:highlight w:val="none"/>
            </w:rPr>
            <w:fldChar w:fldCharType="end"/>
          </w:r>
          <w:r>
            <w:rPr>
              <w:color w:val="auto"/>
              <w:highlight w:val="none"/>
            </w:rPr>
            <w:fldChar w:fldCharType="end"/>
          </w:r>
        </w:p>
        <w:p>
          <w:pPr>
            <w:pStyle w:val="10"/>
            <w:tabs>
              <w:tab w:val="left" w:pos="440"/>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"_Toc133485915" </w:instrText>
          </w:r>
          <w:r>
            <w:rPr>
              <w:color w:val="auto"/>
              <w:highlight w:val="none"/>
            </w:rPr>
            <w:fldChar w:fldCharType="separate"/>
          </w:r>
          <w:r>
            <w:rPr>
              <w:rStyle w:val="16"/>
              <w:rFonts w:cs="Times New Roman"/>
              <w:color w:val="auto"/>
              <w:highlight w:val="none"/>
            </w:rPr>
            <w:t>1.</w:t>
          </w:r>
          <w:r>
            <w:rPr>
              <w:rFonts w:asciiTheme="minorHAnsi" w:hAnsiTheme="minorHAnsi" w:eastAsiaTheme="minorEastAsia"/>
              <w:color w:val="auto"/>
              <w:sz w:val="22"/>
              <w:highlight w:val="none"/>
              <w:lang w:val="en-US"/>
            </w:rPr>
            <w:tab/>
          </w:r>
          <w:r>
            <w:rPr>
              <w:rStyle w:val="16"/>
              <w:rFonts w:cs="Times New Roman"/>
              <w:color w:val="auto"/>
              <w:highlight w:val="none"/>
            </w:rPr>
            <w:t>Introduction</w:t>
          </w:r>
          <w:r>
            <w:rPr>
              <w:color w:val="auto"/>
              <w:highlight w:val="none"/>
            </w:rPr>
            <w:tab/>
          </w:r>
          <w:r>
            <w:rPr>
              <w:color w:val="auto"/>
              <w:highlight w:val="none"/>
            </w:rPr>
            <w:fldChar w:fldCharType="begin"/>
          </w:r>
          <w:r>
            <w:rPr>
              <w:color w:val="auto"/>
              <w:highlight w:val="none"/>
            </w:rPr>
            <w:instrText xml:space="preserve"> PAGEREF _Toc133485915 \h </w:instrText>
          </w:r>
          <w:r>
            <w:rPr>
              <w:color w:val="auto"/>
              <w:highlight w:val="none"/>
            </w:rPr>
            <w:fldChar w:fldCharType="separate"/>
          </w:r>
          <w:r>
            <w:rPr>
              <w:color w:val="auto"/>
              <w:highlight w:val="none"/>
            </w:rPr>
            <w:t>1</w:t>
          </w:r>
          <w:r>
            <w:rPr>
              <w:color w:val="auto"/>
              <w:highlight w:val="none"/>
            </w:rPr>
            <w:fldChar w:fldCharType="end"/>
          </w:r>
          <w:r>
            <w:rPr>
              <w:color w:val="auto"/>
              <w:highlight w:val="none"/>
            </w:rPr>
            <w:fldChar w:fldCharType="end"/>
          </w:r>
        </w:p>
        <w:p>
          <w:pPr>
            <w:pStyle w:val="10"/>
            <w:tabs>
              <w:tab w:val="left" w:pos="440"/>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"_Toc133485916" </w:instrText>
          </w:r>
          <w:r>
            <w:rPr>
              <w:color w:val="auto"/>
              <w:highlight w:val="none"/>
            </w:rPr>
            <w:fldChar w:fldCharType="separate"/>
          </w:r>
          <w:r>
            <w:rPr>
              <w:rStyle w:val="16"/>
              <w:rFonts w:cs="Times New Roman"/>
              <w:color w:val="auto"/>
              <w:highlight w:val="none"/>
            </w:rPr>
            <w:t>2.</w:t>
          </w:r>
          <w:r>
            <w:rPr>
              <w:rFonts w:asciiTheme="minorHAnsi" w:hAnsiTheme="minorHAnsi" w:eastAsiaTheme="minorEastAsia"/>
              <w:color w:val="auto"/>
              <w:sz w:val="22"/>
              <w:highlight w:val="none"/>
              <w:lang w:val="en-US"/>
            </w:rPr>
            <w:tab/>
          </w:r>
          <w:r>
            <w:rPr>
              <w:rStyle w:val="16"/>
              <w:rFonts w:cs="Times New Roman"/>
              <w:color w:val="auto"/>
              <w:highlight w:val="none"/>
            </w:rPr>
            <w:t>Comprehensive strategic analysis</w:t>
          </w:r>
          <w:r>
            <w:rPr>
              <w:color w:val="auto"/>
              <w:highlight w:val="none"/>
            </w:rPr>
            <w:tab/>
          </w:r>
          <w:r>
            <w:rPr>
              <w:color w:val="auto"/>
              <w:highlight w:val="none"/>
            </w:rPr>
            <w:fldChar w:fldCharType="begin"/>
          </w:r>
          <w:r>
            <w:rPr>
              <w:color w:val="auto"/>
              <w:highlight w:val="none"/>
            </w:rPr>
            <w:instrText xml:space="preserve"> PAGEREF _Toc133485916 \h </w:instrText>
          </w:r>
          <w:r>
            <w:rPr>
              <w:color w:val="auto"/>
              <w:highlight w:val="none"/>
            </w:rPr>
            <w:fldChar w:fldCharType="separate"/>
          </w:r>
          <w:r>
            <w:rPr>
              <w:color w:val="auto"/>
              <w:highlight w:val="none"/>
            </w:rPr>
            <w:t>4</w:t>
          </w:r>
          <w:r>
            <w:rPr>
              <w:color w:val="auto"/>
              <w:highlight w:val="none"/>
            </w:rPr>
            <w:fldChar w:fldCharType="end"/>
          </w:r>
          <w:r>
            <w:rPr>
              <w:color w:val="auto"/>
              <w:highlight w:val="none"/>
            </w:rPr>
            <w:fldChar w:fldCharType="end"/>
          </w:r>
        </w:p>
        <w:p>
          <w:pPr>
            <w:pStyle w:val="12"/>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"_Toc133485917" </w:instrText>
          </w:r>
          <w:r>
            <w:rPr>
              <w:color w:val="auto"/>
              <w:highlight w:val="none"/>
            </w:rPr>
            <w:fldChar w:fldCharType="separate"/>
          </w:r>
          <w:r>
            <w:rPr>
              <w:rStyle w:val="16"/>
              <w:rFonts w:cs="Times New Roman"/>
              <w:color w:val="auto"/>
              <w:highlight w:val="none"/>
            </w:rPr>
            <w:t>2.1 Macro environment analysis</w:t>
          </w:r>
          <w:r>
            <w:rPr>
              <w:color w:val="auto"/>
              <w:highlight w:val="none"/>
            </w:rPr>
            <w:tab/>
          </w:r>
          <w:r>
            <w:rPr>
              <w:color w:val="auto"/>
              <w:highlight w:val="none"/>
            </w:rPr>
            <w:fldChar w:fldCharType="begin"/>
          </w:r>
          <w:r>
            <w:rPr>
              <w:color w:val="auto"/>
              <w:highlight w:val="none"/>
            </w:rPr>
            <w:instrText xml:space="preserve"> PAGEREF _Toc133485917 \h </w:instrText>
          </w:r>
          <w:r>
            <w:rPr>
              <w:color w:val="auto"/>
              <w:highlight w:val="none"/>
            </w:rPr>
            <w:fldChar w:fldCharType="separate"/>
          </w:r>
          <w:r>
            <w:rPr>
              <w:color w:val="auto"/>
              <w:highlight w:val="none"/>
            </w:rPr>
            <w:t>4</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"_Toc133485918" </w:instrText>
          </w:r>
          <w:r>
            <w:rPr>
              <w:color w:val="auto"/>
              <w:highlight w:val="none"/>
            </w:rPr>
            <w:fldChar w:fldCharType="separate"/>
          </w:r>
          <w:r>
            <w:rPr>
              <w:rStyle w:val="16"/>
              <w:rFonts w:cs="Times New Roman"/>
              <w:color w:val="auto"/>
              <w:highlight w:val="none"/>
              <w:lang w:val="en-US" w:eastAsia="zh-CN"/>
            </w:rPr>
            <w:t>Political environment</w:t>
          </w:r>
          <w:r>
            <w:rPr>
              <w:color w:val="auto"/>
              <w:highlight w:val="none"/>
            </w:rPr>
            <w:tab/>
          </w:r>
          <w:r>
            <w:rPr>
              <w:color w:val="auto"/>
              <w:highlight w:val="none"/>
            </w:rPr>
            <w:fldChar w:fldCharType="begin"/>
          </w:r>
          <w:r>
            <w:rPr>
              <w:color w:val="auto"/>
              <w:highlight w:val="none"/>
            </w:rPr>
            <w:instrText xml:space="preserve"> PAGEREF _Toc133485918 \h </w:instrText>
          </w:r>
          <w:r>
            <w:rPr>
              <w:color w:val="auto"/>
              <w:highlight w:val="none"/>
            </w:rPr>
            <w:fldChar w:fldCharType="separate"/>
          </w:r>
          <w:r>
            <w:rPr>
              <w:color w:val="auto"/>
              <w:highlight w:val="none"/>
            </w:rPr>
            <w:t>4</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"_Toc133485919" </w:instrText>
          </w:r>
          <w:r>
            <w:rPr>
              <w:color w:val="auto"/>
              <w:highlight w:val="none"/>
            </w:rPr>
            <w:fldChar w:fldCharType="separate"/>
          </w:r>
          <w:r>
            <w:rPr>
              <w:rStyle w:val="16"/>
              <w:rFonts w:cs="Times New Roman"/>
              <w:color w:val="auto"/>
              <w:highlight w:val="none"/>
              <w:lang w:val="en-US" w:eastAsia="zh-CN"/>
            </w:rPr>
            <w:t>Economic environment</w:t>
          </w:r>
          <w:r>
            <w:rPr>
              <w:color w:val="auto"/>
              <w:highlight w:val="none"/>
            </w:rPr>
            <w:tab/>
          </w:r>
          <w:r>
            <w:rPr>
              <w:color w:val="auto"/>
              <w:highlight w:val="none"/>
            </w:rPr>
            <w:fldChar w:fldCharType="begin"/>
          </w:r>
          <w:r>
            <w:rPr>
              <w:color w:val="auto"/>
              <w:highlight w:val="none"/>
            </w:rPr>
            <w:instrText xml:space="preserve"> PAGEREF _Toc133485919 \h </w:instrText>
          </w:r>
          <w:r>
            <w:rPr>
              <w:color w:val="auto"/>
              <w:highlight w:val="none"/>
            </w:rPr>
            <w:fldChar w:fldCharType="separate"/>
          </w:r>
          <w:r>
            <w:rPr>
              <w:color w:val="auto"/>
              <w:highlight w:val="none"/>
            </w:rPr>
            <w:t>5</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"_Toc133485920" </w:instrText>
          </w:r>
          <w:r>
            <w:rPr>
              <w:color w:val="auto"/>
              <w:highlight w:val="none"/>
            </w:rPr>
            <w:fldChar w:fldCharType="separate"/>
          </w:r>
          <w:r>
            <w:rPr>
              <w:rStyle w:val="16"/>
              <w:rFonts w:cs="Times New Roman"/>
              <w:color w:val="auto"/>
              <w:highlight w:val="none"/>
              <w:lang w:val="en-US" w:eastAsia="zh-CN"/>
            </w:rPr>
            <w:t>Social and cultural environment</w:t>
          </w:r>
          <w:r>
            <w:rPr>
              <w:color w:val="auto"/>
              <w:highlight w:val="none"/>
            </w:rPr>
            <w:tab/>
          </w:r>
          <w:r>
            <w:rPr>
              <w:color w:val="auto"/>
              <w:highlight w:val="none"/>
            </w:rPr>
            <w:fldChar w:fldCharType="begin"/>
          </w:r>
          <w:r>
            <w:rPr>
              <w:color w:val="auto"/>
              <w:highlight w:val="none"/>
            </w:rPr>
            <w:instrText xml:space="preserve"> PAGEREF _Toc133485920 \h </w:instrText>
          </w:r>
          <w:r>
            <w:rPr>
              <w:color w:val="auto"/>
              <w:highlight w:val="none"/>
            </w:rPr>
            <w:fldChar w:fldCharType="separate"/>
          </w:r>
          <w:r>
            <w:rPr>
              <w:color w:val="auto"/>
              <w:highlight w:val="none"/>
            </w:rPr>
            <w:t>6</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"_Toc133485921" </w:instrText>
          </w:r>
          <w:r>
            <w:rPr>
              <w:color w:val="auto"/>
              <w:highlight w:val="none"/>
            </w:rPr>
            <w:fldChar w:fldCharType="separate"/>
          </w:r>
          <w:r>
            <w:rPr>
              <w:rStyle w:val="16"/>
              <w:rFonts w:cs="Times New Roman"/>
              <w:color w:val="auto"/>
              <w:highlight w:val="none"/>
              <w:lang w:val="en-US" w:eastAsia="zh-CN"/>
            </w:rPr>
            <w:t>Technological Factors</w:t>
          </w:r>
          <w:r>
            <w:rPr>
              <w:color w:val="auto"/>
              <w:highlight w:val="none"/>
            </w:rPr>
            <w:tab/>
          </w:r>
          <w:r>
            <w:rPr>
              <w:color w:val="auto"/>
              <w:highlight w:val="none"/>
            </w:rPr>
            <w:fldChar w:fldCharType="begin"/>
          </w:r>
          <w:r>
            <w:rPr>
              <w:color w:val="auto"/>
              <w:highlight w:val="none"/>
            </w:rPr>
            <w:instrText xml:space="preserve"> PAGEREF _Toc133485921 \h </w:instrText>
          </w:r>
          <w:r>
            <w:rPr>
              <w:color w:val="auto"/>
              <w:highlight w:val="none"/>
            </w:rPr>
            <w:fldChar w:fldCharType="separate"/>
          </w:r>
          <w:r>
            <w:rPr>
              <w:color w:val="auto"/>
              <w:highlight w:val="none"/>
            </w:rPr>
            <w:t>7</w:t>
          </w:r>
          <w:r>
            <w:rPr>
              <w:color w:val="auto"/>
              <w:highlight w:val="none"/>
            </w:rPr>
            <w:fldChar w:fldCharType="end"/>
          </w:r>
          <w:r>
            <w:rPr>
              <w:color w:val="auto"/>
              <w:highlight w:val="none"/>
            </w:rPr>
            <w:fldChar w:fldCharType="end"/>
          </w:r>
        </w:p>
        <w:p>
          <w:pPr>
            <w:pStyle w:val="12"/>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"_Toc133485922" </w:instrText>
          </w:r>
          <w:r>
            <w:rPr>
              <w:color w:val="auto"/>
              <w:highlight w:val="none"/>
            </w:rPr>
            <w:fldChar w:fldCharType="separate"/>
          </w:r>
          <w:r>
            <w:rPr>
              <w:rStyle w:val="16"/>
              <w:rFonts w:cs="Times New Roman"/>
              <w:color w:val="auto"/>
              <w:highlight w:val="none"/>
              <w:lang w:val="en-US" w:eastAsia="zh-CN"/>
            </w:rPr>
            <w:t>2.2 Micro strategic analysis</w:t>
          </w:r>
          <w:r>
            <w:rPr>
              <w:color w:val="auto"/>
              <w:highlight w:val="none"/>
            </w:rPr>
            <w:tab/>
          </w:r>
          <w:r>
            <w:rPr>
              <w:color w:val="auto"/>
              <w:highlight w:val="none"/>
            </w:rPr>
            <w:fldChar w:fldCharType="begin"/>
          </w:r>
          <w:r>
            <w:rPr>
              <w:color w:val="auto"/>
              <w:highlight w:val="none"/>
            </w:rPr>
            <w:instrText xml:space="preserve"> PAGEREF _Toc133485922 \h </w:instrText>
          </w:r>
          <w:r>
            <w:rPr>
              <w:color w:val="auto"/>
              <w:highlight w:val="none"/>
            </w:rPr>
            <w:fldChar w:fldCharType="separate"/>
          </w:r>
          <w:r>
            <w:rPr>
              <w:color w:val="auto"/>
              <w:highlight w:val="none"/>
            </w:rPr>
            <w:t>8</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"_Toc133485923" </w:instrText>
          </w:r>
          <w:r>
            <w:rPr>
              <w:color w:val="auto"/>
              <w:highlight w:val="none"/>
            </w:rPr>
            <w:fldChar w:fldCharType="separate"/>
          </w:r>
          <w:r>
            <w:rPr>
              <w:rStyle w:val="16"/>
              <w:rFonts w:cs="Times New Roman"/>
              <w:color w:val="auto"/>
              <w:highlight w:val="none"/>
              <w:lang w:val="en-US" w:eastAsia="zh-CN"/>
            </w:rPr>
            <w:t>SWOT Analysis</w:t>
          </w:r>
          <w:r>
            <w:rPr>
              <w:color w:val="auto"/>
              <w:highlight w:val="none"/>
            </w:rPr>
            <w:tab/>
          </w:r>
          <w:r>
            <w:rPr>
              <w:color w:val="auto"/>
              <w:highlight w:val="none"/>
            </w:rPr>
            <w:fldChar w:fldCharType="begin"/>
          </w:r>
          <w:r>
            <w:rPr>
              <w:color w:val="auto"/>
              <w:highlight w:val="none"/>
            </w:rPr>
            <w:instrText xml:space="preserve"> PAGEREF _Toc133485923 \h </w:instrText>
          </w:r>
          <w:r>
            <w:rPr>
              <w:color w:val="auto"/>
              <w:highlight w:val="none"/>
            </w:rPr>
            <w:fldChar w:fldCharType="separate"/>
          </w:r>
          <w:r>
            <w:rPr>
              <w:color w:val="auto"/>
              <w:highlight w:val="none"/>
            </w:rPr>
            <w:t>9</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"_Toc133485924" </w:instrText>
          </w:r>
          <w:r>
            <w:rPr>
              <w:color w:val="auto"/>
              <w:highlight w:val="none"/>
            </w:rPr>
            <w:fldChar w:fldCharType="separate"/>
          </w:r>
          <w:r>
            <w:rPr>
              <w:rStyle w:val="16"/>
              <w:rFonts w:cs="Times New Roman"/>
              <w:color w:val="auto"/>
              <w:highlight w:val="none"/>
              <w:lang w:val="en-US" w:eastAsia="zh-CN"/>
            </w:rPr>
            <w:t>Strength</w:t>
          </w:r>
          <w:r>
            <w:rPr>
              <w:color w:val="auto"/>
              <w:highlight w:val="none"/>
            </w:rPr>
            <w:tab/>
          </w:r>
          <w:r>
            <w:rPr>
              <w:color w:val="auto"/>
              <w:highlight w:val="none"/>
            </w:rPr>
            <w:fldChar w:fldCharType="begin"/>
          </w:r>
          <w:r>
            <w:rPr>
              <w:color w:val="auto"/>
              <w:highlight w:val="none"/>
            </w:rPr>
            <w:instrText xml:space="preserve"> PAGEREF _Toc133485924 \h </w:instrText>
          </w:r>
          <w:r>
            <w:rPr>
              <w:color w:val="auto"/>
              <w:highlight w:val="none"/>
            </w:rPr>
            <w:fldChar w:fldCharType="separate"/>
          </w:r>
          <w:r>
            <w:rPr>
              <w:color w:val="auto"/>
              <w:highlight w:val="none"/>
            </w:rPr>
            <w:t>9</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"_Toc133485925" </w:instrText>
          </w:r>
          <w:r>
            <w:rPr>
              <w:color w:val="auto"/>
              <w:highlight w:val="none"/>
            </w:rPr>
            <w:fldChar w:fldCharType="separate"/>
          </w:r>
          <w:r>
            <w:rPr>
              <w:rStyle w:val="16"/>
              <w:rFonts w:cs="Times New Roman"/>
              <w:color w:val="auto"/>
              <w:highlight w:val="none"/>
              <w:lang w:val="en-US" w:eastAsia="zh-CN"/>
            </w:rPr>
            <w:t>Weakness</w:t>
          </w:r>
          <w:r>
            <w:rPr>
              <w:color w:val="auto"/>
              <w:highlight w:val="none"/>
            </w:rPr>
            <w:tab/>
          </w:r>
          <w:r>
            <w:rPr>
              <w:color w:val="auto"/>
              <w:highlight w:val="none"/>
            </w:rPr>
            <w:fldChar w:fldCharType="begin"/>
          </w:r>
          <w:r>
            <w:rPr>
              <w:color w:val="auto"/>
              <w:highlight w:val="none"/>
            </w:rPr>
            <w:instrText xml:space="preserve"> PAGEREF _Toc133485925 \h </w:instrText>
          </w:r>
          <w:r>
            <w:rPr>
              <w:color w:val="auto"/>
              <w:highlight w:val="none"/>
            </w:rPr>
            <w:fldChar w:fldCharType="separate"/>
          </w:r>
          <w:r>
            <w:rPr>
              <w:color w:val="auto"/>
              <w:highlight w:val="none"/>
            </w:rPr>
            <w:t>10</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"_Toc133485926" </w:instrText>
          </w:r>
          <w:r>
            <w:rPr>
              <w:color w:val="auto"/>
              <w:highlight w:val="none"/>
            </w:rPr>
            <w:fldChar w:fldCharType="separate"/>
          </w:r>
          <w:r>
            <w:rPr>
              <w:rStyle w:val="16"/>
              <w:rFonts w:cs="Times New Roman"/>
              <w:color w:val="auto"/>
              <w:highlight w:val="none"/>
              <w:lang w:val="en-US" w:eastAsia="zh-CN"/>
            </w:rPr>
            <w:t>Opportunity</w:t>
          </w:r>
          <w:r>
            <w:rPr>
              <w:color w:val="auto"/>
              <w:highlight w:val="none"/>
            </w:rPr>
            <w:tab/>
          </w:r>
          <w:r>
            <w:rPr>
              <w:color w:val="auto"/>
              <w:highlight w:val="none"/>
            </w:rPr>
            <w:fldChar w:fldCharType="begin"/>
          </w:r>
          <w:r>
            <w:rPr>
              <w:color w:val="auto"/>
              <w:highlight w:val="none"/>
            </w:rPr>
            <w:instrText xml:space="preserve"> PAGEREF _Toc133485926 \h </w:instrText>
          </w:r>
          <w:r>
            <w:rPr>
              <w:color w:val="auto"/>
              <w:highlight w:val="none"/>
            </w:rPr>
            <w:fldChar w:fldCharType="separate"/>
          </w:r>
          <w:r>
            <w:rPr>
              <w:color w:val="auto"/>
              <w:highlight w:val="none"/>
            </w:rPr>
            <w:t>10</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"_Toc133485927" </w:instrText>
          </w:r>
          <w:r>
            <w:rPr>
              <w:color w:val="auto"/>
              <w:highlight w:val="none"/>
            </w:rPr>
            <w:fldChar w:fldCharType="separate"/>
          </w:r>
          <w:r>
            <w:rPr>
              <w:rStyle w:val="16"/>
              <w:rFonts w:cs="Times New Roman"/>
              <w:color w:val="auto"/>
              <w:highlight w:val="none"/>
              <w:lang w:val="en-US" w:eastAsia="zh-CN"/>
            </w:rPr>
            <w:t>Threat</w:t>
          </w:r>
          <w:r>
            <w:rPr>
              <w:color w:val="auto"/>
              <w:highlight w:val="none"/>
            </w:rPr>
            <w:tab/>
          </w:r>
          <w:r>
            <w:rPr>
              <w:color w:val="auto"/>
              <w:highlight w:val="none"/>
            </w:rPr>
            <w:fldChar w:fldCharType="begin"/>
          </w:r>
          <w:r>
            <w:rPr>
              <w:color w:val="auto"/>
              <w:highlight w:val="none"/>
            </w:rPr>
            <w:instrText xml:space="preserve"> PAGEREF _Toc133485927 \h </w:instrText>
          </w:r>
          <w:r>
            <w:rPr>
              <w:color w:val="auto"/>
              <w:highlight w:val="none"/>
            </w:rPr>
            <w:fldChar w:fldCharType="separate"/>
          </w:r>
          <w:r>
            <w:rPr>
              <w:color w:val="auto"/>
              <w:highlight w:val="none"/>
            </w:rPr>
            <w:t>11</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"_Toc133485928" </w:instrText>
          </w:r>
          <w:r>
            <w:rPr>
              <w:color w:val="auto"/>
              <w:highlight w:val="none"/>
            </w:rPr>
            <w:fldChar w:fldCharType="separate"/>
          </w:r>
          <w:r>
            <w:rPr>
              <w:rStyle w:val="16"/>
              <w:rFonts w:cs="Times New Roman"/>
              <w:color w:val="auto"/>
              <w:highlight w:val="none"/>
              <w:lang w:val="en-US" w:eastAsia="zh-CN"/>
            </w:rPr>
            <w:t>Porter’s Five Forces</w:t>
          </w:r>
          <w:r>
            <w:rPr>
              <w:color w:val="auto"/>
              <w:highlight w:val="none"/>
            </w:rPr>
            <w:tab/>
          </w:r>
          <w:r>
            <w:rPr>
              <w:color w:val="auto"/>
              <w:highlight w:val="none"/>
            </w:rPr>
            <w:fldChar w:fldCharType="begin"/>
          </w:r>
          <w:r>
            <w:rPr>
              <w:color w:val="auto"/>
              <w:highlight w:val="none"/>
            </w:rPr>
            <w:instrText xml:space="preserve"> PAGEREF _Toc133485928 \h </w:instrText>
          </w:r>
          <w:r>
            <w:rPr>
              <w:color w:val="auto"/>
              <w:highlight w:val="none"/>
            </w:rPr>
            <w:fldChar w:fldCharType="separate"/>
          </w:r>
          <w:r>
            <w:rPr>
              <w:color w:val="auto"/>
              <w:highlight w:val="none"/>
            </w:rPr>
            <w:t>12</w:t>
          </w:r>
          <w:r>
            <w:rPr>
              <w:color w:val="auto"/>
              <w:highlight w:val="none"/>
            </w:rPr>
            <w:fldChar w:fldCharType="end"/>
          </w:r>
          <w:r>
            <w:rPr>
              <w:color w:val="auto"/>
              <w:highlight w:val="none"/>
            </w:rPr>
            <w:fldChar w:fldCharType="end"/>
          </w:r>
        </w:p>
        <w:p>
          <w:pPr>
            <w:pStyle w:val="10"/>
            <w:tabs>
              <w:tab w:val="left" w:pos="440"/>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"_Toc133485929" </w:instrText>
          </w:r>
          <w:r>
            <w:rPr>
              <w:color w:val="auto"/>
              <w:highlight w:val="none"/>
            </w:rPr>
            <w:fldChar w:fldCharType="separate"/>
          </w:r>
          <w:r>
            <w:rPr>
              <w:rStyle w:val="16"/>
              <w:color w:val="auto"/>
              <w:highlight w:val="none"/>
            </w:rPr>
            <w:t>3.</w:t>
          </w:r>
          <w:r>
            <w:rPr>
              <w:rFonts w:asciiTheme="minorHAnsi" w:hAnsiTheme="minorHAnsi" w:eastAsiaTheme="minorEastAsia"/>
              <w:color w:val="auto"/>
              <w:sz w:val="22"/>
              <w:highlight w:val="none"/>
              <w:lang w:val="en-US"/>
            </w:rPr>
            <w:tab/>
          </w:r>
          <w:r>
            <w:rPr>
              <w:rStyle w:val="16"/>
              <w:color w:val="auto"/>
              <w:highlight w:val="none"/>
            </w:rPr>
            <w:t>Assessment of strategic options</w:t>
          </w:r>
          <w:r>
            <w:rPr>
              <w:color w:val="auto"/>
              <w:highlight w:val="none"/>
            </w:rPr>
            <w:tab/>
          </w:r>
          <w:r>
            <w:rPr>
              <w:color w:val="auto"/>
              <w:highlight w:val="none"/>
            </w:rPr>
            <w:fldChar w:fldCharType="begin"/>
          </w:r>
          <w:r>
            <w:rPr>
              <w:color w:val="auto"/>
              <w:highlight w:val="none"/>
            </w:rPr>
            <w:instrText xml:space="preserve"> PAGEREF _Toc133485929 \h </w:instrText>
          </w:r>
          <w:r>
            <w:rPr>
              <w:color w:val="auto"/>
              <w:highlight w:val="none"/>
            </w:rPr>
            <w:fldChar w:fldCharType="separate"/>
          </w:r>
          <w:r>
            <w:rPr>
              <w:color w:val="auto"/>
              <w:highlight w:val="none"/>
            </w:rPr>
            <w:t>14</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"_Toc133485930" </w:instrText>
          </w:r>
          <w:r>
            <w:rPr>
              <w:color w:val="auto"/>
              <w:highlight w:val="none"/>
            </w:rPr>
            <w:fldChar w:fldCharType="separate"/>
          </w:r>
          <w:r>
            <w:rPr>
              <w:rStyle w:val="16"/>
              <w:rFonts w:cs="Times New Roman"/>
              <w:color w:val="auto"/>
              <w:highlight w:val="none"/>
              <w:lang w:val="en-US" w:eastAsia="zh-CN"/>
            </w:rPr>
            <w:t>Market disequilibrium</w:t>
          </w:r>
          <w:r>
            <w:rPr>
              <w:color w:val="auto"/>
              <w:highlight w:val="none"/>
            </w:rPr>
            <w:tab/>
          </w:r>
          <w:r>
            <w:rPr>
              <w:color w:val="auto"/>
              <w:highlight w:val="none"/>
            </w:rPr>
            <w:fldChar w:fldCharType="begin"/>
          </w:r>
          <w:r>
            <w:rPr>
              <w:color w:val="auto"/>
              <w:highlight w:val="none"/>
            </w:rPr>
            <w:instrText xml:space="preserve"> PAGEREF _Toc133485930 \h </w:instrText>
          </w:r>
          <w:r>
            <w:rPr>
              <w:color w:val="auto"/>
              <w:highlight w:val="none"/>
            </w:rPr>
            <w:fldChar w:fldCharType="separate"/>
          </w:r>
          <w:r>
            <w:rPr>
              <w:color w:val="auto"/>
              <w:highlight w:val="none"/>
            </w:rPr>
            <w:t>15</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"_Toc133485931" </w:instrText>
          </w:r>
          <w:r>
            <w:rPr>
              <w:color w:val="auto"/>
              <w:highlight w:val="none"/>
            </w:rPr>
            <w:fldChar w:fldCharType="separate"/>
          </w:r>
          <w:r>
            <w:rPr>
              <w:rStyle w:val="16"/>
              <w:rFonts w:cs="Times New Roman"/>
              <w:color w:val="auto"/>
              <w:highlight w:val="none"/>
              <w:lang w:val="en-US" w:eastAsia="zh-CN"/>
            </w:rPr>
            <w:t>Customer needs do not match</w:t>
          </w:r>
          <w:r>
            <w:rPr>
              <w:color w:val="auto"/>
              <w:highlight w:val="none"/>
            </w:rPr>
            <w:tab/>
          </w:r>
          <w:r>
            <w:rPr>
              <w:color w:val="auto"/>
              <w:highlight w:val="none"/>
            </w:rPr>
            <w:fldChar w:fldCharType="begin"/>
          </w:r>
          <w:r>
            <w:rPr>
              <w:color w:val="auto"/>
              <w:highlight w:val="none"/>
            </w:rPr>
            <w:instrText xml:space="preserve"> PAGEREF _Toc133485931 \h </w:instrText>
          </w:r>
          <w:r>
            <w:rPr>
              <w:color w:val="auto"/>
              <w:highlight w:val="none"/>
            </w:rPr>
            <w:fldChar w:fldCharType="separate"/>
          </w:r>
          <w:r>
            <w:rPr>
              <w:color w:val="auto"/>
              <w:highlight w:val="none"/>
            </w:rPr>
            <w:t>16</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"_Toc133485932" </w:instrText>
          </w:r>
          <w:r>
            <w:rPr>
              <w:color w:val="auto"/>
              <w:highlight w:val="none"/>
            </w:rPr>
            <w:fldChar w:fldCharType="separate"/>
          </w:r>
          <w:r>
            <w:rPr>
              <w:rStyle w:val="16"/>
              <w:rFonts w:cs="Times New Roman"/>
              <w:color w:val="auto"/>
              <w:highlight w:val="none"/>
              <w:lang w:val="en-US" w:eastAsia="zh-CN"/>
            </w:rPr>
            <w:t>Vertical management of strategy</w:t>
          </w:r>
          <w:r>
            <w:rPr>
              <w:color w:val="auto"/>
              <w:highlight w:val="none"/>
            </w:rPr>
            <w:tab/>
          </w:r>
          <w:r>
            <w:rPr>
              <w:color w:val="auto"/>
              <w:highlight w:val="none"/>
            </w:rPr>
            <w:fldChar w:fldCharType="begin"/>
          </w:r>
          <w:r>
            <w:rPr>
              <w:color w:val="auto"/>
              <w:highlight w:val="none"/>
            </w:rPr>
            <w:instrText xml:space="preserve"> PAGEREF _Toc133485932 \h </w:instrText>
          </w:r>
          <w:r>
            <w:rPr>
              <w:color w:val="auto"/>
              <w:highlight w:val="none"/>
            </w:rPr>
            <w:fldChar w:fldCharType="separate"/>
          </w:r>
          <w:r>
            <w:rPr>
              <w:color w:val="auto"/>
              <w:highlight w:val="none"/>
            </w:rPr>
            <w:t>16</w:t>
          </w:r>
          <w:r>
            <w:rPr>
              <w:color w:val="auto"/>
              <w:highlight w:val="none"/>
            </w:rPr>
            <w:fldChar w:fldCharType="end"/>
          </w:r>
          <w:r>
            <w:rPr>
              <w:color w:val="auto"/>
              <w:highlight w:val="none"/>
            </w:rPr>
            <w:fldChar w:fldCharType="end"/>
          </w:r>
        </w:p>
        <w:p>
          <w:pPr>
            <w:pStyle w:val="10"/>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"_Toc133485933" </w:instrText>
          </w:r>
          <w:r>
            <w:rPr>
              <w:color w:val="auto"/>
              <w:highlight w:val="none"/>
            </w:rPr>
            <w:fldChar w:fldCharType="separate"/>
          </w:r>
          <w:r>
            <w:rPr>
              <w:rStyle w:val="16"/>
              <w:color w:val="auto"/>
              <w:highlight w:val="none"/>
            </w:rPr>
            <w:t>4. Influence and Strategy of Strategic Organization</w:t>
          </w:r>
          <w:r>
            <w:rPr>
              <w:color w:val="auto"/>
              <w:highlight w:val="none"/>
            </w:rPr>
            <w:tab/>
          </w:r>
          <w:r>
            <w:rPr>
              <w:color w:val="auto"/>
              <w:highlight w:val="none"/>
            </w:rPr>
            <w:fldChar w:fldCharType="begin"/>
          </w:r>
          <w:r>
            <w:rPr>
              <w:color w:val="auto"/>
              <w:highlight w:val="none"/>
            </w:rPr>
            <w:instrText xml:space="preserve"> PAGEREF _Toc133485933 \h </w:instrText>
          </w:r>
          <w:r>
            <w:rPr>
              <w:color w:val="auto"/>
              <w:highlight w:val="none"/>
            </w:rPr>
            <w:fldChar w:fldCharType="separate"/>
          </w:r>
          <w:r>
            <w:rPr>
              <w:color w:val="auto"/>
              <w:highlight w:val="none"/>
            </w:rPr>
            <w:t>18</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"_Toc133485934" </w:instrText>
          </w:r>
          <w:r>
            <w:rPr>
              <w:color w:val="auto"/>
              <w:highlight w:val="none"/>
            </w:rPr>
            <w:fldChar w:fldCharType="separate"/>
          </w:r>
          <w:r>
            <w:rPr>
              <w:rStyle w:val="16"/>
              <w:rFonts w:cs="Times New Roman"/>
              <w:color w:val="auto"/>
              <w:highlight w:val="none"/>
              <w:lang w:val="en-US" w:eastAsia="zh-CN"/>
            </w:rPr>
            <w:t>Balancing the market</w:t>
          </w:r>
          <w:r>
            <w:rPr>
              <w:color w:val="auto"/>
              <w:highlight w:val="none"/>
            </w:rPr>
            <w:tab/>
          </w:r>
          <w:r>
            <w:rPr>
              <w:color w:val="auto"/>
              <w:highlight w:val="none"/>
            </w:rPr>
            <w:fldChar w:fldCharType="begin"/>
          </w:r>
          <w:r>
            <w:rPr>
              <w:color w:val="auto"/>
              <w:highlight w:val="none"/>
            </w:rPr>
            <w:instrText xml:space="preserve"> PAGEREF _Toc133485934 \h </w:instrText>
          </w:r>
          <w:r>
            <w:rPr>
              <w:color w:val="auto"/>
              <w:highlight w:val="none"/>
            </w:rPr>
            <w:fldChar w:fldCharType="separate"/>
          </w:r>
          <w:r>
            <w:rPr>
              <w:color w:val="auto"/>
              <w:highlight w:val="none"/>
            </w:rPr>
            <w:t>18</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"_Toc133485935" </w:instrText>
          </w:r>
          <w:r>
            <w:rPr>
              <w:color w:val="auto"/>
              <w:highlight w:val="none"/>
            </w:rPr>
            <w:fldChar w:fldCharType="separate"/>
          </w:r>
          <w:r>
            <w:rPr>
              <w:rStyle w:val="16"/>
              <w:rFonts w:cs="Times New Roman"/>
              <w:color w:val="auto"/>
              <w:highlight w:val="none"/>
              <w:lang w:val="en-US" w:eastAsia="zh-CN"/>
            </w:rPr>
            <w:t>Adjust positioning</w:t>
          </w:r>
          <w:r>
            <w:rPr>
              <w:color w:val="auto"/>
              <w:highlight w:val="none"/>
            </w:rPr>
            <w:tab/>
          </w:r>
          <w:r>
            <w:rPr>
              <w:color w:val="auto"/>
              <w:highlight w:val="none"/>
            </w:rPr>
            <w:fldChar w:fldCharType="begin"/>
          </w:r>
          <w:r>
            <w:rPr>
              <w:color w:val="auto"/>
              <w:highlight w:val="none"/>
            </w:rPr>
            <w:instrText xml:space="preserve"> PAGEREF _Toc133485935 \h </w:instrText>
          </w:r>
          <w:r>
            <w:rPr>
              <w:color w:val="auto"/>
              <w:highlight w:val="none"/>
            </w:rPr>
            <w:fldChar w:fldCharType="separate"/>
          </w:r>
          <w:r>
            <w:rPr>
              <w:color w:val="auto"/>
              <w:highlight w:val="none"/>
            </w:rPr>
            <w:t>19</w:t>
          </w:r>
          <w:r>
            <w:rPr>
              <w:color w:val="auto"/>
              <w:highlight w:val="none"/>
            </w:rPr>
            <w:fldChar w:fldCharType="end"/>
          </w:r>
          <w:r>
            <w:rPr>
              <w:color w:val="auto"/>
              <w:highlight w:val="none"/>
            </w:rPr>
            <w:fldChar w:fldCharType="end"/>
          </w:r>
        </w:p>
        <w:p>
          <w:pPr>
            <w:pStyle w:val="7"/>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"_Toc133485936" </w:instrText>
          </w:r>
          <w:r>
            <w:rPr>
              <w:color w:val="auto"/>
              <w:highlight w:val="none"/>
            </w:rPr>
            <w:fldChar w:fldCharType="separate"/>
          </w:r>
          <w:r>
            <w:rPr>
              <w:rStyle w:val="16"/>
              <w:rFonts w:cs="Times New Roman"/>
              <w:color w:val="auto"/>
              <w:highlight w:val="none"/>
              <w:lang w:val="en-US" w:eastAsia="zh-CN"/>
            </w:rPr>
            <w:t>Matrix management</w:t>
          </w:r>
          <w:r>
            <w:rPr>
              <w:color w:val="auto"/>
              <w:highlight w:val="none"/>
            </w:rPr>
            <w:tab/>
          </w:r>
          <w:r>
            <w:rPr>
              <w:color w:val="auto"/>
              <w:highlight w:val="none"/>
            </w:rPr>
            <w:fldChar w:fldCharType="begin"/>
          </w:r>
          <w:r>
            <w:rPr>
              <w:color w:val="auto"/>
              <w:highlight w:val="none"/>
            </w:rPr>
            <w:instrText xml:space="preserve"> PAGEREF _Toc133485936 \h </w:instrText>
          </w:r>
          <w:r>
            <w:rPr>
              <w:color w:val="auto"/>
              <w:highlight w:val="none"/>
            </w:rPr>
            <w:fldChar w:fldCharType="separate"/>
          </w:r>
          <w:r>
            <w:rPr>
              <w:color w:val="auto"/>
              <w:highlight w:val="none"/>
            </w:rPr>
            <w:t>20</w:t>
          </w:r>
          <w:r>
            <w:rPr>
              <w:color w:val="auto"/>
              <w:highlight w:val="none"/>
            </w:rPr>
            <w:fldChar w:fldCharType="end"/>
          </w:r>
          <w:r>
            <w:rPr>
              <w:color w:val="auto"/>
              <w:highlight w:val="none"/>
            </w:rPr>
            <w:fldChar w:fldCharType="end"/>
          </w:r>
        </w:p>
        <w:p>
          <w:pPr>
            <w:pStyle w:val="10"/>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"_Toc133485937" </w:instrText>
          </w:r>
          <w:r>
            <w:rPr>
              <w:color w:val="auto"/>
              <w:highlight w:val="none"/>
            </w:rPr>
            <w:fldChar w:fldCharType="separate"/>
          </w:r>
          <w:r>
            <w:rPr>
              <w:rStyle w:val="16"/>
              <w:rFonts w:cs="Times New Roman"/>
              <w:color w:val="auto"/>
              <w:highlight w:val="none"/>
            </w:rPr>
            <w:t>5. Conclusion</w:t>
          </w:r>
          <w:r>
            <w:rPr>
              <w:color w:val="auto"/>
              <w:highlight w:val="none"/>
            </w:rPr>
            <w:tab/>
          </w:r>
          <w:r>
            <w:rPr>
              <w:color w:val="auto"/>
              <w:highlight w:val="none"/>
            </w:rPr>
            <w:fldChar w:fldCharType="begin"/>
          </w:r>
          <w:r>
            <w:rPr>
              <w:color w:val="auto"/>
              <w:highlight w:val="none"/>
            </w:rPr>
            <w:instrText xml:space="preserve"> PAGEREF _Toc133485937 \h </w:instrText>
          </w:r>
          <w:r>
            <w:rPr>
              <w:color w:val="auto"/>
              <w:highlight w:val="none"/>
            </w:rPr>
            <w:fldChar w:fldCharType="separate"/>
          </w:r>
          <w:r>
            <w:rPr>
              <w:color w:val="auto"/>
              <w:highlight w:val="none"/>
            </w:rPr>
            <w:t>21</w:t>
          </w:r>
          <w:r>
            <w:rPr>
              <w:color w:val="auto"/>
              <w:highlight w:val="none"/>
            </w:rPr>
            <w:fldChar w:fldCharType="end"/>
          </w:r>
          <w:r>
            <w:rPr>
              <w:color w:val="auto"/>
              <w:highlight w:val="none"/>
            </w:rPr>
            <w:fldChar w:fldCharType="end"/>
          </w:r>
        </w:p>
        <w:p>
          <w:pPr>
            <w:pStyle w:val="10"/>
            <w:tabs>
              <w:tab w:val="right" w:leader="dot" w:pos="9016"/>
            </w:tabs>
            <w:rPr>
              <w:rFonts w:asciiTheme="minorHAnsi" w:hAnsiTheme="minorHAnsi" w:eastAsiaTheme="minorEastAsia"/>
              <w:color w:val="auto"/>
              <w:sz w:val="22"/>
              <w:highlight w:val="none"/>
              <w:lang w:val="en-US"/>
            </w:rPr>
          </w:pPr>
          <w:r>
            <w:rPr>
              <w:color w:val="auto"/>
              <w:highlight w:val="none"/>
            </w:rPr>
            <w:fldChar w:fldCharType="begin"/>
          </w:r>
          <w:r>
            <w:rPr>
              <w:color w:val="auto"/>
              <w:highlight w:val="none"/>
            </w:rPr>
            <w:instrText xml:space="preserve"> HYPERLINK \l "_Toc133485938" </w:instrText>
          </w:r>
          <w:r>
            <w:rPr>
              <w:color w:val="auto"/>
              <w:highlight w:val="none"/>
            </w:rPr>
            <w:fldChar w:fldCharType="separate"/>
          </w:r>
          <w:r>
            <w:rPr>
              <w:rStyle w:val="16"/>
              <w:rFonts w:cs="Times New Roman"/>
              <w:color w:val="auto"/>
              <w:highlight w:val="none"/>
            </w:rPr>
            <w:t>References</w:t>
          </w:r>
          <w:r>
            <w:rPr>
              <w:color w:val="auto"/>
              <w:highlight w:val="none"/>
            </w:rPr>
            <w:tab/>
          </w:r>
          <w:r>
            <w:rPr>
              <w:color w:val="auto"/>
              <w:highlight w:val="none"/>
            </w:rPr>
            <w:fldChar w:fldCharType="begin"/>
          </w:r>
          <w:r>
            <w:rPr>
              <w:color w:val="auto"/>
              <w:highlight w:val="none"/>
            </w:rPr>
            <w:instrText xml:space="preserve"> PAGEREF _Toc133485938 \h </w:instrText>
          </w:r>
          <w:r>
            <w:rPr>
              <w:color w:val="auto"/>
              <w:highlight w:val="none"/>
            </w:rPr>
            <w:fldChar w:fldCharType="separate"/>
          </w:r>
          <w:r>
            <w:rPr>
              <w:color w:val="auto"/>
              <w:highlight w:val="none"/>
            </w:rPr>
            <w:t>23</w:t>
          </w:r>
          <w:r>
            <w:rPr>
              <w:color w:val="auto"/>
              <w:highlight w:val="none"/>
            </w:rPr>
            <w:fldChar w:fldCharType="end"/>
          </w:r>
          <w:r>
            <w:rPr>
              <w:color w:val="auto"/>
              <w:highlight w:val="none"/>
            </w:rPr>
            <w:fldChar w:fldCharType="end"/>
          </w:r>
        </w:p>
        <w:p>
          <w:pPr>
            <w:spacing w:line="480" w:lineRule="auto"/>
            <w:rPr>
              <w:rFonts w:cs="Times New Roman"/>
              <w:color w:val="auto"/>
              <w:szCs w:val="24"/>
              <w:highlight w:val="none"/>
            </w:rPr>
          </w:pPr>
          <w:r>
            <w:rPr>
              <w:rFonts w:cs="Times New Roman"/>
              <w:b/>
              <w:bCs/>
              <w:color w:val="auto"/>
              <w:szCs w:val="24"/>
              <w:highlight w:val="none"/>
            </w:rPr>
            <w:fldChar w:fldCharType="end"/>
          </w:r>
        </w:p>
      </w:sdtContent>
    </w:sdt>
    <w:p>
      <w:pPr>
        <w:spacing w:after="0" w:line="240" w:lineRule="auto"/>
        <w:rPr>
          <w:rFonts w:cs="Times New Roman"/>
          <w:b/>
          <w:color w:val="auto"/>
          <w:szCs w:val="24"/>
          <w:highlight w:val="none"/>
        </w:rPr>
      </w:pPr>
      <w:r>
        <w:rPr>
          <w:rFonts w:cs="Times New Roman"/>
          <w:b/>
          <w:color w:val="auto"/>
          <w:szCs w:val="24"/>
          <w:highlight w:val="none"/>
        </w:rPr>
        <w:br w:type="page"/>
      </w:r>
    </w:p>
    <w:p>
      <w:pPr>
        <w:pStyle w:val="2"/>
        <w:spacing w:line="480" w:lineRule="auto"/>
        <w:contextualSpacing/>
        <w:rPr>
          <w:rFonts w:cs="Times New Roman"/>
          <w:b/>
          <w:color w:val="auto"/>
          <w:szCs w:val="24"/>
          <w:highlight w:val="none"/>
        </w:rPr>
      </w:pPr>
      <w:r>
        <w:rPr>
          <w:rFonts w:cs="Times New Roman"/>
          <w:b/>
          <w:color w:val="auto"/>
          <w:szCs w:val="24"/>
          <w:highlight w:val="none"/>
        </w:rPr>
        <w:t>List of Figures</w:t>
      </w:r>
    </w:p>
    <w:p>
      <w:pPr>
        <w:pStyle w:val="11"/>
        <w:tabs>
          <w:tab w:val="right" w:leader="dot" w:pos="9016"/>
        </w:tabs>
        <w:spacing w:line="480" w:lineRule="auto"/>
        <w:rPr>
          <w:color w:val="auto"/>
          <w:highlight w:val="none"/>
        </w:rPr>
      </w:pPr>
      <w:r>
        <w:rPr>
          <w:rFonts w:cs="Times New Roman"/>
          <w:b/>
          <w:color w:val="auto"/>
          <w:szCs w:val="24"/>
          <w:highlight w:val="none"/>
        </w:rPr>
        <w:fldChar w:fldCharType="begin"/>
      </w:r>
      <w:r>
        <w:rPr>
          <w:rFonts w:cs="Times New Roman"/>
          <w:b/>
          <w:color w:val="auto"/>
          <w:szCs w:val="24"/>
          <w:highlight w:val="none"/>
        </w:rPr>
        <w:instrText xml:space="preserve"> TOC \h \z \c "Figure" </w:instrText>
      </w:r>
      <w:r>
        <w:rPr>
          <w:rFonts w:cs="Times New Roman"/>
          <w:b/>
          <w:color w:val="auto"/>
          <w:szCs w:val="24"/>
          <w:highlight w:val="none"/>
        </w:rPr>
        <w:fldChar w:fldCharType="separate"/>
      </w:r>
      <w:r>
        <w:rPr>
          <w:color w:val="auto"/>
          <w:highlight w:val="none"/>
        </w:rPr>
        <w:fldChar w:fldCharType="begin"/>
      </w:r>
      <w:r>
        <w:rPr>
          <w:color w:val="auto"/>
          <w:highlight w:val="none"/>
        </w:rPr>
        <w:instrText xml:space="preserve"> HYPERLINK \l "_Toc133485940" </w:instrText>
      </w:r>
      <w:r>
        <w:rPr>
          <w:color w:val="auto"/>
          <w:highlight w:val="none"/>
        </w:rPr>
        <w:fldChar w:fldCharType="separate"/>
      </w:r>
      <w:r>
        <w:rPr>
          <w:rStyle w:val="16"/>
          <w:rFonts w:cs="Times New Roman"/>
          <w:color w:val="auto"/>
          <w:highlight w:val="none"/>
        </w:rPr>
        <w:t>Figure 1: Graph showing the price of Model T sedan from 1909 to 1925  (Hetzner, 2016)</w:t>
      </w:r>
      <w:r>
        <w:rPr>
          <w:color w:val="auto"/>
          <w:highlight w:val="none"/>
        </w:rPr>
        <w:tab/>
      </w:r>
      <w:r>
        <w:rPr>
          <w:color w:val="auto"/>
          <w:highlight w:val="none"/>
        </w:rPr>
        <w:fldChar w:fldCharType="begin"/>
      </w:r>
      <w:r>
        <w:rPr>
          <w:color w:val="auto"/>
          <w:highlight w:val="none"/>
        </w:rPr>
        <w:instrText xml:space="preserve"> PAGEREF _Toc133485940 \h </w:instrText>
      </w:r>
      <w:r>
        <w:rPr>
          <w:color w:val="auto"/>
          <w:highlight w:val="none"/>
        </w:rPr>
        <w:fldChar w:fldCharType="separate"/>
      </w:r>
      <w:r>
        <w:rPr>
          <w:color w:val="auto"/>
          <w:highlight w:val="none"/>
        </w:rPr>
        <w:t>1</w:t>
      </w:r>
      <w:r>
        <w:rPr>
          <w:color w:val="auto"/>
          <w:highlight w:val="none"/>
        </w:rPr>
        <w:fldChar w:fldCharType="end"/>
      </w:r>
      <w:r>
        <w:rPr>
          <w:color w:val="auto"/>
          <w:highlight w:val="none"/>
        </w:rPr>
        <w:fldChar w:fldCharType="end"/>
      </w:r>
    </w:p>
    <w:p>
      <w:pPr>
        <w:pStyle w:val="11"/>
        <w:tabs>
          <w:tab w:val="right" w:leader="dot" w:pos="9016"/>
        </w:tabs>
        <w:spacing w:line="480" w:lineRule="auto"/>
        <w:rPr>
          <w:color w:val="auto"/>
          <w:highlight w:val="none"/>
        </w:rPr>
      </w:pPr>
      <w:r>
        <w:rPr>
          <w:color w:val="auto"/>
          <w:highlight w:val="none"/>
        </w:rPr>
        <w:fldChar w:fldCharType="begin"/>
      </w:r>
      <w:r>
        <w:rPr>
          <w:color w:val="auto"/>
          <w:highlight w:val="none"/>
        </w:rPr>
        <w:instrText xml:space="preserve"> HYPERLINK \l "_Toc133485941" </w:instrText>
      </w:r>
      <w:r>
        <w:rPr>
          <w:color w:val="auto"/>
          <w:highlight w:val="none"/>
        </w:rPr>
        <w:fldChar w:fldCharType="separate"/>
      </w:r>
      <w:r>
        <w:rPr>
          <w:rStyle w:val="16"/>
          <w:color w:val="auto"/>
          <w:highlight w:val="none"/>
        </w:rPr>
        <w:t>Figure 2: Geographical Share of Ford’s Market (Hetzner &amp; Hetzner, 2016)</w:t>
      </w:r>
      <w:r>
        <w:rPr>
          <w:color w:val="auto"/>
          <w:highlight w:val="none"/>
        </w:rPr>
        <w:tab/>
      </w:r>
      <w:r>
        <w:rPr>
          <w:color w:val="auto"/>
          <w:highlight w:val="none"/>
        </w:rPr>
        <w:fldChar w:fldCharType="begin"/>
      </w:r>
      <w:r>
        <w:rPr>
          <w:color w:val="auto"/>
          <w:highlight w:val="none"/>
        </w:rPr>
        <w:instrText xml:space="preserve"> PAGEREF _Toc133485941 \h </w:instrText>
      </w:r>
      <w:r>
        <w:rPr>
          <w:color w:val="auto"/>
          <w:highlight w:val="none"/>
        </w:rPr>
        <w:fldChar w:fldCharType="separate"/>
      </w:r>
      <w:r>
        <w:rPr>
          <w:color w:val="auto"/>
          <w:highlight w:val="none"/>
        </w:rPr>
        <w:t>5</w:t>
      </w:r>
      <w:r>
        <w:rPr>
          <w:color w:val="auto"/>
          <w:highlight w:val="none"/>
        </w:rPr>
        <w:fldChar w:fldCharType="end"/>
      </w:r>
      <w:r>
        <w:rPr>
          <w:color w:val="auto"/>
          <w:highlight w:val="none"/>
        </w:rPr>
        <w:fldChar w:fldCharType="end"/>
      </w:r>
    </w:p>
    <w:p>
      <w:pPr>
        <w:pStyle w:val="11"/>
        <w:tabs>
          <w:tab w:val="right" w:leader="dot" w:pos="9016"/>
        </w:tabs>
        <w:spacing w:line="480" w:lineRule="auto"/>
        <w:rPr>
          <w:color w:val="auto"/>
          <w:highlight w:val="none"/>
        </w:rPr>
      </w:pPr>
      <w:r>
        <w:rPr>
          <w:color w:val="auto"/>
          <w:highlight w:val="none"/>
        </w:rPr>
        <w:fldChar w:fldCharType="begin"/>
      </w:r>
      <w:r>
        <w:rPr>
          <w:color w:val="auto"/>
          <w:highlight w:val="none"/>
        </w:rPr>
        <w:instrText xml:space="preserve"> HYPERLINK \l "_Toc133485942" </w:instrText>
      </w:r>
      <w:r>
        <w:rPr>
          <w:color w:val="auto"/>
          <w:highlight w:val="none"/>
        </w:rPr>
        <w:fldChar w:fldCharType="separate"/>
      </w:r>
      <w:r>
        <w:rPr>
          <w:rStyle w:val="16"/>
          <w:color w:val="auto"/>
          <w:highlight w:val="none"/>
        </w:rPr>
        <w:t>Figure 3: The impact of urbanization on purchasing of automobiles, (Mckinsey 2020)</w:t>
      </w:r>
      <w:r>
        <w:rPr>
          <w:color w:val="auto"/>
          <w:highlight w:val="none"/>
        </w:rPr>
        <w:tab/>
      </w:r>
      <w:r>
        <w:rPr>
          <w:color w:val="auto"/>
          <w:highlight w:val="none"/>
        </w:rPr>
        <w:fldChar w:fldCharType="begin"/>
      </w:r>
      <w:r>
        <w:rPr>
          <w:color w:val="auto"/>
          <w:highlight w:val="none"/>
        </w:rPr>
        <w:instrText xml:space="preserve"> PAGEREF _Toc133485942 \h </w:instrText>
      </w:r>
      <w:r>
        <w:rPr>
          <w:color w:val="auto"/>
          <w:highlight w:val="none"/>
        </w:rPr>
        <w:fldChar w:fldCharType="separate"/>
      </w:r>
      <w:r>
        <w:rPr>
          <w:color w:val="auto"/>
          <w:highlight w:val="none"/>
        </w:rPr>
        <w:t>7</w:t>
      </w:r>
      <w:r>
        <w:rPr>
          <w:color w:val="auto"/>
          <w:highlight w:val="none"/>
        </w:rPr>
        <w:fldChar w:fldCharType="end"/>
      </w:r>
      <w:r>
        <w:rPr>
          <w:color w:val="auto"/>
          <w:highlight w:val="none"/>
        </w:rPr>
        <w:fldChar w:fldCharType="end"/>
      </w:r>
    </w:p>
    <w:p>
      <w:pPr>
        <w:pStyle w:val="11"/>
        <w:tabs>
          <w:tab w:val="right" w:leader="dot" w:pos="9016"/>
        </w:tabs>
        <w:spacing w:line="480" w:lineRule="auto"/>
        <w:rPr>
          <w:color w:val="auto"/>
          <w:highlight w:val="none"/>
        </w:rPr>
      </w:pPr>
      <w:r>
        <w:rPr>
          <w:color w:val="auto"/>
          <w:highlight w:val="none"/>
        </w:rPr>
        <w:fldChar w:fldCharType="begin"/>
      </w:r>
      <w:r>
        <w:rPr>
          <w:color w:val="auto"/>
          <w:highlight w:val="none"/>
        </w:rPr>
        <w:instrText xml:space="preserve"> HYPERLINK \l "_Toc133485943" </w:instrText>
      </w:r>
      <w:r>
        <w:rPr>
          <w:color w:val="auto"/>
          <w:highlight w:val="none"/>
        </w:rPr>
        <w:fldChar w:fldCharType="separate"/>
      </w:r>
      <w:r>
        <w:rPr>
          <w:rStyle w:val="16"/>
          <w:rFonts w:cs="Times New Roman"/>
          <w:color w:val="auto"/>
          <w:highlight w:val="none"/>
        </w:rPr>
        <w:t>Figure 4: Market Share in the Automobile sector (Carlier 2023)</w:t>
      </w:r>
      <w:r>
        <w:rPr>
          <w:color w:val="auto"/>
          <w:highlight w:val="none"/>
        </w:rPr>
        <w:tab/>
      </w:r>
      <w:r>
        <w:rPr>
          <w:color w:val="auto"/>
          <w:highlight w:val="none"/>
        </w:rPr>
        <w:fldChar w:fldCharType="begin"/>
      </w:r>
      <w:r>
        <w:rPr>
          <w:color w:val="auto"/>
          <w:highlight w:val="none"/>
        </w:rPr>
        <w:instrText xml:space="preserve"> PAGEREF _Toc133485943 \h </w:instrText>
      </w:r>
      <w:r>
        <w:rPr>
          <w:color w:val="auto"/>
          <w:highlight w:val="none"/>
        </w:rPr>
        <w:fldChar w:fldCharType="separate"/>
      </w:r>
      <w:r>
        <w:rPr>
          <w:color w:val="auto"/>
          <w:highlight w:val="none"/>
        </w:rPr>
        <w:t>13</w:t>
      </w:r>
      <w:r>
        <w:rPr>
          <w:color w:val="auto"/>
          <w:highlight w:val="none"/>
        </w:rPr>
        <w:fldChar w:fldCharType="end"/>
      </w:r>
      <w:r>
        <w:rPr>
          <w:color w:val="auto"/>
          <w:highlight w:val="none"/>
        </w:rPr>
        <w:fldChar w:fldCharType="end"/>
      </w:r>
    </w:p>
    <w:p>
      <w:pPr>
        <w:pStyle w:val="2"/>
        <w:spacing w:line="480" w:lineRule="auto"/>
        <w:contextualSpacing/>
        <w:rPr>
          <w:rFonts w:cs="Times New Roman"/>
          <w:b/>
          <w:color w:val="auto"/>
          <w:szCs w:val="24"/>
          <w:highlight w:val="none"/>
        </w:rPr>
      </w:pPr>
      <w:r>
        <w:rPr>
          <w:rFonts w:cs="Times New Roman"/>
          <w:b/>
          <w:color w:val="auto"/>
          <w:szCs w:val="24"/>
          <w:highlight w:val="none"/>
        </w:rPr>
        <w:fldChar w:fldCharType="end"/>
      </w:r>
    </w:p>
    <w:p>
      <w:pPr>
        <w:pStyle w:val="3"/>
        <w:spacing w:line="480" w:lineRule="auto"/>
        <w:rPr>
          <w:rFonts w:cs="Times New Roman"/>
          <w:color w:val="auto"/>
          <w:sz w:val="24"/>
          <w:szCs w:val="24"/>
          <w:highlight w:val="none"/>
        </w:rPr>
      </w:pPr>
    </w:p>
    <w:p>
      <w:pPr>
        <w:pStyle w:val="2"/>
        <w:spacing w:line="480" w:lineRule="auto"/>
        <w:contextualSpacing/>
        <w:rPr>
          <w:rFonts w:cs="Times New Roman"/>
          <w:color w:val="auto"/>
          <w:szCs w:val="24"/>
          <w:highlight w:val="none"/>
        </w:rPr>
      </w:pPr>
    </w:p>
    <w:p>
      <w:pPr>
        <w:pStyle w:val="2"/>
        <w:spacing w:line="480" w:lineRule="auto"/>
        <w:contextualSpacing/>
        <w:rPr>
          <w:rFonts w:cs="Times New Roman"/>
          <w:color w:val="auto"/>
          <w:szCs w:val="24"/>
          <w:highlight w:val="none"/>
        </w:rPr>
      </w:pPr>
    </w:p>
    <w:p>
      <w:pPr>
        <w:pStyle w:val="2"/>
        <w:spacing w:line="480" w:lineRule="auto"/>
        <w:contextualSpacing/>
        <w:rPr>
          <w:rFonts w:cs="Times New Roman"/>
          <w:color w:val="auto"/>
          <w:szCs w:val="24"/>
          <w:highlight w:val="none"/>
        </w:rPr>
        <w:sectPr>
          <w:footerReference r:id="rId5" w:type="default"/>
          <w:pgSz w:w="11906" w:h="16838"/>
          <w:pgMar w:top="1440" w:right="1440" w:bottom="1440" w:left="1440" w:header="708" w:footer="708" w:gutter="0"/>
          <w:pgNumType w:fmt="lowerRoman" w:start="1"/>
          <w:cols w:space="708" w:num="1"/>
          <w:docGrid w:linePitch="360" w:charSpace="0"/>
        </w:sectPr>
      </w:pPr>
    </w:p>
    <w:p>
      <w:pPr>
        <w:pStyle w:val="3"/>
        <w:numPr>
          <w:ilvl w:val="0"/>
          <w:numId w:val="1"/>
        </w:numPr>
        <w:spacing w:line="480" w:lineRule="auto"/>
        <w:rPr>
          <w:rFonts w:cs="Times New Roman"/>
          <w:color w:val="auto"/>
          <w:highlight w:val="none"/>
        </w:rPr>
      </w:pPr>
      <w:bookmarkStart w:id="1" w:name="_Toc133485915"/>
      <w:r>
        <w:rPr>
          <w:rFonts w:cs="Times New Roman"/>
          <w:color w:val="auto"/>
          <w:highlight w:val="none"/>
        </w:rPr>
        <w:t>Introduction</w:t>
      </w:r>
      <w:bookmarkEnd w:id="1"/>
    </w:p>
    <w:p>
      <w:pPr>
        <w:spacing w:line="480" w:lineRule="auto"/>
        <w:ind w:firstLine="720"/>
        <w:rPr>
          <w:rFonts w:cs="Times New Roman"/>
          <w:color w:val="auto"/>
          <w:highlight w:val="none"/>
          <w:lang w:val="en-US" w:eastAsia="zh-CN"/>
        </w:rPr>
      </w:pPr>
      <w:r>
        <w:rPr>
          <w:rFonts w:cs="Times New Roman"/>
          <w:color w:val="auto"/>
          <w:highlight w:val="none"/>
        </w:rPr>
        <w:t xml:space="preserve">Since its founding in 1903, Ford Motor Company has grown to become one of the world's leading car manufacturers. Over the past decade, its vehicles have been distributed to customers in Europe, South Africa and Asia, confirming the company's dedication to global expansion </w:t>
      </w:r>
      <w:r>
        <w:rPr>
          <w:rFonts w:cs="Times New Roman"/>
          <w:color w:val="auto"/>
          <w:highlight w:val="none"/>
          <w:lang w:val="en-US" w:eastAsia="zh-CN"/>
        </w:rPr>
        <w:t>(McKinsey, 2020). Ford Motor Company was founded in 1903. A few weeks after its establishment, the company delivered a Model car to a customer in Canada. In 1908, the Ford Model T, produced by Ford Motor Company, came out. It was the first car for ordinary people. Since then, it has also opened the prelude to the world automobile revolution.</w:t>
      </w:r>
    </w:p>
    <w:p>
      <w:pPr>
        <w:spacing w:line="480" w:lineRule="auto"/>
        <w:ind w:firstLine="720"/>
        <w:rPr>
          <w:rFonts w:cs="Times New Roman"/>
          <w:color w:val="auto"/>
          <w:highlight w:val="none"/>
          <w:lang w:val="en-US" w:eastAsia="zh-CN"/>
        </w:rPr>
      </w:pPr>
      <w:r>
        <w:rPr>
          <w:rFonts w:cs="Times New Roman"/>
          <w:color w:val="auto"/>
          <w:highlight w:val="none"/>
          <w:lang w:val="en-US" w:eastAsia="zh-CN"/>
        </w:rPr>
        <w:t xml:space="preserve"> In the same year, Ford's first overseas sales agency, the Paris sales agency, was established. In the early days, Ford's development was through continuous improvement of its single product - the sedan. The Model T sedan manufactured in 1908 is a considerable improvement over all previous models. In its first year of production, it sold more than 10000 vehicles. In 1927, the Model T sedan began to lose the market to its competitors</w:t>
      </w:r>
      <w:r>
        <w:rPr>
          <w:rFonts w:cs="Times New Roman"/>
          <w:color w:val="auto"/>
          <w:highlight w:val="none"/>
          <w:shd w:val="clear" w:color="auto" w:fill="FFFFFF"/>
        </w:rPr>
        <w:t xml:space="preserve"> (</w:t>
      </w:r>
      <w:r>
        <w:rPr>
          <w:rFonts w:cs="Times New Roman"/>
          <w:color w:val="auto"/>
          <w:highlight w:val="none"/>
        </w:rPr>
        <w:t>Alizon et al.</w:t>
      </w:r>
      <w:r>
        <w:rPr>
          <w:rFonts w:cs="Times New Roman"/>
          <w:color w:val="auto"/>
          <w:highlight w:val="none"/>
          <w:lang w:eastAsia="zh-CN"/>
        </w:rPr>
        <w:t>, 2008)</w:t>
      </w:r>
      <w:r>
        <w:rPr>
          <w:rFonts w:cs="Times New Roman"/>
          <w:color w:val="auto"/>
          <w:highlight w:val="none"/>
          <w:lang w:val="en-US" w:eastAsia="zh-CN"/>
        </w:rPr>
        <w:t xml:space="preserve">. The graph shows that prices dropped from $ 1,000 in 1909 to $ 250 in 1925. They lowered the prices because of the competitors. </w:t>
      </w:r>
    </w:p>
    <w:p>
      <w:pPr>
        <w:spacing w:line="480" w:lineRule="auto"/>
        <w:rPr>
          <w:rFonts w:cs="Times New Roman"/>
          <w:color w:val="auto"/>
          <w:highlight w:val="none"/>
          <w:lang w:val="en-US" w:eastAsia="zh-CN"/>
        </w:rPr>
      </w:pPr>
      <w:r>
        <w:rPr>
          <w:rFonts w:cs="Times New Roman"/>
          <w:color w:val="auto"/>
          <w:highlight w:val="none"/>
          <w:lang w:val="en-US"/>
        </w:rPr>
        <w:drawing>
          <wp:inline distT="0" distB="0" distL="0" distR="0">
            <wp:extent cx="5286375" cy="2657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286375" cy="2657475"/>
                    </a:xfrm>
                    <a:prstGeom prst="rect">
                      <a:avLst/>
                    </a:prstGeom>
                  </pic:spPr>
                </pic:pic>
              </a:graphicData>
            </a:graphic>
          </wp:inline>
        </w:drawing>
      </w:r>
    </w:p>
    <w:p>
      <w:pPr>
        <w:pStyle w:val="6"/>
        <w:spacing w:line="480" w:lineRule="auto"/>
        <w:rPr>
          <w:rFonts w:cs="Times New Roman"/>
          <w:color w:val="auto"/>
          <w:highlight w:val="none"/>
          <w:lang w:val="en-US" w:eastAsia="zh-CN"/>
        </w:rPr>
      </w:pPr>
      <w:bookmarkStart w:id="2" w:name="_Toc133485940"/>
      <w:r>
        <w:rPr>
          <w:rFonts w:cs="Times New Roman"/>
          <w:color w:val="auto"/>
          <w:highlight w:val="none"/>
        </w:rPr>
        <w:t xml:space="preserve">Figure </w:t>
      </w:r>
      <w:r>
        <w:rPr>
          <w:rFonts w:cs="Times New Roman"/>
          <w:color w:val="auto"/>
          <w:highlight w:val="none"/>
        </w:rPr>
        <w:fldChar w:fldCharType="begin"/>
      </w:r>
      <w:r>
        <w:rPr>
          <w:rFonts w:cs="Times New Roman"/>
          <w:color w:val="auto"/>
          <w:highlight w:val="none"/>
        </w:rPr>
        <w:instrText xml:space="preserve"> SEQ Figure \* ARABIC </w:instrText>
      </w:r>
      <w:r>
        <w:rPr>
          <w:rFonts w:cs="Times New Roman"/>
          <w:color w:val="auto"/>
          <w:highlight w:val="none"/>
        </w:rPr>
        <w:fldChar w:fldCharType="separate"/>
      </w:r>
      <w:r>
        <w:rPr>
          <w:rFonts w:cs="Times New Roman"/>
          <w:color w:val="auto"/>
          <w:highlight w:val="none"/>
        </w:rPr>
        <w:t>1</w:t>
      </w:r>
      <w:r>
        <w:rPr>
          <w:rFonts w:cs="Times New Roman"/>
          <w:color w:val="auto"/>
          <w:highlight w:val="none"/>
        </w:rPr>
        <w:fldChar w:fldCharType="end"/>
      </w:r>
      <w:r>
        <w:rPr>
          <w:rFonts w:cs="Times New Roman"/>
          <w:color w:val="auto"/>
          <w:highlight w:val="none"/>
        </w:rPr>
        <w:t>: Graph showing the price of Model T sedan from 1909 to 1925  (Hetzner, 2016)</w:t>
      </w:r>
      <w:bookmarkEnd w:id="2"/>
    </w:p>
    <w:p>
      <w:pPr>
        <w:spacing w:line="480" w:lineRule="auto"/>
        <w:ind w:firstLine="720"/>
        <w:rPr>
          <w:rFonts w:cs="Times New Roman"/>
          <w:color w:val="auto"/>
          <w:highlight w:val="none"/>
          <w:lang w:val="en-US" w:eastAsia="zh-CN"/>
        </w:rPr>
      </w:pPr>
      <w:r>
        <w:rPr>
          <w:rFonts w:cs="Times New Roman"/>
          <w:color w:val="auto"/>
          <w:highlight w:val="none"/>
          <w:lang w:val="en-US" w:eastAsia="zh-CN"/>
        </w:rPr>
        <w:t>Ford also introduced the A sedan, popular with several body styles and colours. When the Model A sedan began to lose its market to its competitors in 1932, Ford Motor Company introduced the V-8 car. Six years later, in 1938, Mercury became a breakthrough for Ford Motor Company to develop the mid-range car market. Ford Motor Company also expanded its regional scope</w:t>
      </w:r>
      <w:r>
        <w:rPr>
          <w:rFonts w:cs="Times New Roman"/>
          <w:color w:val="auto"/>
          <w:highlight w:val="none"/>
          <w:lang w:eastAsia="zh-CN"/>
        </w:rPr>
        <w:t xml:space="preserve"> (Harter, 2015)</w:t>
      </w:r>
      <w:r>
        <w:rPr>
          <w:rFonts w:cs="Times New Roman"/>
          <w:color w:val="auto"/>
          <w:highlight w:val="none"/>
          <w:lang w:val="en-US" w:eastAsia="zh-CN"/>
        </w:rPr>
        <w:t>. Its entry into the Canadian market in 1904 proved this. Also, in its early development, Ford adopted the concentric diversification strategy. In 1917, it began to produce trucks and tractors, and in 1922, it acquired Lincoln Motor Company (Davis, 2002).</w:t>
      </w:r>
    </w:p>
    <w:p>
      <w:pPr>
        <w:spacing w:line="480" w:lineRule="auto"/>
        <w:ind w:firstLine="720"/>
        <w:rPr>
          <w:rFonts w:cs="Times New Roman"/>
          <w:color w:val="auto"/>
          <w:highlight w:val="none"/>
          <w:lang w:val="en-US" w:eastAsia="zh-CN"/>
        </w:rPr>
      </w:pPr>
      <w:bookmarkStart w:id="3" w:name="_Toc128461462"/>
      <w:r>
        <w:rPr>
          <w:rFonts w:cs="Times New Roman"/>
          <w:color w:val="auto"/>
          <w:highlight w:val="none"/>
          <w:lang w:val="en-US" w:eastAsia="zh-CN"/>
        </w:rPr>
        <w:t>The company's vision is to become the world's most trusted mobility company, designing smart vehicles for a smart world. Ford's mission is to improve people's lives by providing high-quality, safe, and sustainable mobility solutions</w:t>
      </w:r>
      <w:r>
        <w:rPr>
          <w:rFonts w:cs="Times New Roman"/>
          <w:color w:val="auto"/>
          <w:highlight w:val="none"/>
          <w:lang w:eastAsia="zh-CN"/>
        </w:rPr>
        <w:t xml:space="preserve">. </w:t>
      </w:r>
      <w:r>
        <w:rPr>
          <w:rFonts w:cs="Times New Roman"/>
          <w:color w:val="auto"/>
          <w:highlight w:val="none"/>
          <w:lang w:val="en-US" w:eastAsia="zh-CN"/>
        </w:rPr>
        <w:t>The company focuses on innovation, customer satisfaction, and community engagement to achieve this mission (Mich, 2019).</w:t>
      </w:r>
      <w:bookmarkEnd w:id="3"/>
    </w:p>
    <w:p>
      <w:pPr>
        <w:spacing w:line="480" w:lineRule="auto"/>
        <w:ind w:firstLine="720"/>
        <w:rPr>
          <w:rFonts w:cs="Times New Roman"/>
          <w:color w:val="auto"/>
          <w:highlight w:val="none"/>
          <w:lang w:val="en-US" w:eastAsia="zh-CN"/>
        </w:rPr>
      </w:pPr>
      <w:bookmarkStart w:id="4" w:name="_Toc128461463"/>
      <w:r>
        <w:rPr>
          <w:rFonts w:cs="Times New Roman"/>
          <w:color w:val="auto"/>
          <w:highlight w:val="none"/>
          <w:lang w:val="en-US" w:eastAsia="zh-CN"/>
        </w:rPr>
        <w:t>Ford's offerings include many vehicles, including cars, trucks, SUVs, and commercial vehicles. The company is committed to providing its customers with vehicles that are not only reliable but also environmentally friendly. Ford has also invested heavily in new technologies, such as autonomous vehicles, electric cars, and connected cars, to stay ahead of the competition (</w:t>
      </w:r>
      <w:r>
        <w:rPr>
          <w:rFonts w:cs="Times New Roman"/>
          <w:color w:val="auto"/>
          <w:highlight w:val="none"/>
        </w:rPr>
        <w:t>Mercer 2009)</w:t>
      </w:r>
      <w:r>
        <w:rPr>
          <w:rFonts w:cs="Times New Roman"/>
          <w:color w:val="auto"/>
          <w:highlight w:val="none"/>
          <w:lang w:val="en-US" w:eastAsia="zh-CN"/>
        </w:rPr>
        <w:t>.</w:t>
      </w:r>
      <w:bookmarkEnd w:id="4"/>
      <w:bookmarkStart w:id="5" w:name="_Toc128461464"/>
      <w:r>
        <w:rPr>
          <w:rFonts w:cs="Times New Roman"/>
          <w:color w:val="auto"/>
          <w:highlight w:val="none"/>
          <w:lang w:val="en-US" w:eastAsia="zh-CN"/>
        </w:rPr>
        <w:t xml:space="preserve"> The company's target customers range from individuals and families to businesses and government agencies. Ford has been able to cater to a wide range of customers by offering a variety of vehicles that meet different needs and preferences.</w:t>
      </w:r>
      <w:bookmarkEnd w:id="5"/>
    </w:p>
    <w:p>
      <w:pPr>
        <w:spacing w:line="480" w:lineRule="auto"/>
        <w:ind w:firstLine="720"/>
        <w:rPr>
          <w:rFonts w:cs="Times New Roman"/>
          <w:color w:val="auto"/>
          <w:highlight w:val="none"/>
          <w:lang w:val="en-US" w:eastAsia="zh-CN"/>
        </w:rPr>
      </w:pPr>
      <w:bookmarkStart w:id="6" w:name="_Toc128461465"/>
      <w:r>
        <w:rPr>
          <w:rFonts w:cs="Times New Roman"/>
          <w:color w:val="auto"/>
          <w:highlight w:val="none"/>
          <w:lang w:val="en-US" w:eastAsia="zh-CN"/>
        </w:rPr>
        <w:t>Over the years, Ford has established itself as a leading player in the global automotive industry. The company's strong brand image, innovative products, and customer satisfaction commitment have helped it achieve impressive financial performance. Despite facing numerous challenges, including the recent COVID-19 pandemic, Ford has continued to adapt and evolve to remain competitive.</w:t>
      </w:r>
      <w:bookmarkEnd w:id="6"/>
    </w:p>
    <w:p>
      <w:pPr>
        <w:pStyle w:val="2"/>
        <w:spacing w:line="480" w:lineRule="auto"/>
        <w:rPr>
          <w:rFonts w:cs="Times New Roman" w:eastAsiaTheme="majorEastAsia"/>
          <w:color w:val="auto"/>
          <w:highlight w:val="none"/>
          <w:lang w:val="en-US" w:eastAsia="zh-CN"/>
        </w:rPr>
      </w:pPr>
      <w:r>
        <w:rPr>
          <w:rFonts w:cs="Times New Roman"/>
          <w:color w:val="auto"/>
          <w:highlight w:val="none"/>
          <w:lang w:val="en-US" w:eastAsia="zh-CN"/>
        </w:rPr>
        <w:br w:type="page"/>
      </w:r>
    </w:p>
    <w:p>
      <w:pPr>
        <w:pStyle w:val="3"/>
        <w:numPr>
          <w:ilvl w:val="0"/>
          <w:numId w:val="1"/>
        </w:numPr>
        <w:spacing w:line="480" w:lineRule="auto"/>
        <w:rPr>
          <w:rFonts w:cs="Times New Roman"/>
          <w:color w:val="auto"/>
          <w:highlight w:val="none"/>
        </w:rPr>
      </w:pPr>
      <w:bookmarkStart w:id="7" w:name="_Toc133485916"/>
      <w:r>
        <w:rPr>
          <w:rFonts w:cs="Times New Roman"/>
          <w:color w:val="auto"/>
          <w:highlight w:val="none"/>
        </w:rPr>
        <w:t>Comprehensive strategic analysis</w:t>
      </w:r>
      <w:bookmarkEnd w:id="7"/>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Facing the challenge of "global competition" and COVID-19, Ford, which accounts for 13.9% of the global automobile market share, believes that only the "core" is outstanding and easy to win the competition (Statista, 2022). According to recent media reports, the recent development of the American automobile industry has also encountered difficulties due to the general economic weakness and the impact of terrorist incidents.</w:t>
      </w:r>
    </w:p>
    <w:p>
      <w:pPr>
        <w:pStyle w:val="2"/>
        <w:spacing w:after="0" w:line="480" w:lineRule="auto"/>
        <w:ind w:firstLine="480" w:firstLineChars="200"/>
        <w:contextualSpacing/>
        <w:jc w:val="both"/>
        <w:rPr>
          <w:rFonts w:cs="Times New Roman"/>
          <w:color w:val="auto"/>
          <w:szCs w:val="24"/>
          <w:highlight w:val="none"/>
        </w:rPr>
      </w:pPr>
      <w:r>
        <w:rPr>
          <w:rFonts w:cs="Times New Roman"/>
          <w:color w:val="auto"/>
          <w:szCs w:val="24"/>
          <w:highlight w:val="none"/>
          <w:lang w:val="en-US" w:eastAsia="zh-CN"/>
        </w:rPr>
        <w:t>To eliminate difficulties as soon as possible and meet the challenge of "global competition", Ford has integrated various integrations of its employees, institutions and products since the second half of 2001 to strengthen its core business and reduce costs vigorously. At the same time, she adjusted her business strategy around the world. Therefore, the team comprehensively analyzed and understood Ford's strategy (Chesterton, 2018).</w:t>
      </w:r>
      <w:r>
        <w:rPr>
          <w:rFonts w:cs="Times New Roman"/>
          <w:color w:val="auto"/>
          <w:szCs w:val="24"/>
          <w:highlight w:val="none"/>
        </w:rPr>
        <w:t xml:space="preserve"> </w:t>
      </w:r>
    </w:p>
    <w:p>
      <w:pPr>
        <w:pStyle w:val="4"/>
        <w:spacing w:line="480" w:lineRule="auto"/>
        <w:rPr>
          <w:rFonts w:cs="Times New Roman"/>
          <w:color w:val="auto"/>
          <w:highlight w:val="none"/>
        </w:rPr>
      </w:pPr>
      <w:bookmarkStart w:id="8" w:name="_Toc133485917"/>
      <w:r>
        <w:rPr>
          <w:rFonts w:cs="Times New Roman"/>
          <w:color w:val="auto"/>
          <w:highlight w:val="none"/>
        </w:rPr>
        <w:t>2.1 Macro environment analysis</w:t>
      </w:r>
      <w:bookmarkEnd w:id="8"/>
    </w:p>
    <w:p>
      <w:pPr>
        <w:spacing w:line="480" w:lineRule="auto"/>
        <w:contextualSpacing/>
        <w:rPr>
          <w:rFonts w:cs="Times New Roman"/>
          <w:b/>
          <w:color w:val="auto"/>
          <w:szCs w:val="24"/>
          <w:highlight w:val="none"/>
          <w:lang w:val="en-US" w:eastAsia="zh-CN"/>
        </w:rPr>
      </w:pPr>
      <w:r>
        <w:rPr>
          <w:rFonts w:cs="Times New Roman"/>
          <w:color w:val="auto"/>
          <w:szCs w:val="24"/>
          <w:highlight w:val="none"/>
          <w:lang w:val="en-US" w:eastAsia="zh-CN"/>
        </w:rPr>
        <w:t xml:space="preserve">Ford Motor Company's macro environment analysis considers the external factors that can impact the company's operations, opportunities, and threats This analysis will be done using PEST analysis. </w:t>
      </w:r>
    </w:p>
    <w:p>
      <w:pPr>
        <w:pStyle w:val="5"/>
        <w:spacing w:line="480" w:lineRule="auto"/>
        <w:rPr>
          <w:rFonts w:cs="Times New Roman"/>
          <w:color w:val="auto"/>
          <w:highlight w:val="none"/>
          <w:lang w:val="en-US" w:eastAsia="zh-CN"/>
        </w:rPr>
      </w:pPr>
      <w:bookmarkStart w:id="9" w:name="_Toc133485918"/>
      <w:r>
        <w:rPr>
          <w:rFonts w:cs="Times New Roman"/>
          <w:color w:val="auto"/>
          <w:highlight w:val="none"/>
          <w:lang w:val="en-US" w:eastAsia="zh-CN"/>
        </w:rPr>
        <w:t>Political environment</w:t>
      </w:r>
      <w:bookmarkEnd w:id="9"/>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Take China, the region with the largest sales volume of Ford Motor in the world after the United States, for example, where automobile emission standards have been significantly revised to promote the sales volume of various electric vehicles. China has also formulated a comprehensive framework to urge vehicle manufacturers to achieve the market share targets of 7% in 2020 and 19% in 2025 for pure electric hybrid vehicles and plug-in hybrid vehicles and further reduce it to 3.2 litres/100km in 2030 (McKinsey, 2020).</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 In fact, many important cities in the world use green energy as a screening method for cars. For example, some countries will prohibit large diesel-powered heavy trucks from entering urban areas, bringing more urban pollution. Therefore, from this perspective, the future electric and clean energy transformations are the automobile industry's inevitable trend, which is a great challenge and opportunity for Ford Motor.</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rPr>
        <w:drawing>
          <wp:inline distT="0" distB="0" distL="0" distR="0">
            <wp:extent cx="5731510" cy="32429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3242945"/>
                    </a:xfrm>
                    <a:prstGeom prst="rect">
                      <a:avLst/>
                    </a:prstGeom>
                  </pic:spPr>
                </pic:pic>
              </a:graphicData>
            </a:graphic>
          </wp:inline>
        </w:drawing>
      </w:r>
    </w:p>
    <w:p>
      <w:pPr>
        <w:pStyle w:val="6"/>
        <w:rPr>
          <w:rFonts w:cs="Times New Roman"/>
          <w:color w:val="auto"/>
          <w:highlight w:val="none"/>
          <w:lang w:val="en-US" w:eastAsia="zh-CN"/>
        </w:rPr>
      </w:pPr>
      <w:bookmarkStart w:id="10" w:name="_Toc133485941"/>
      <w:r>
        <w:rPr>
          <w:color w:val="auto"/>
          <w:highlight w:val="none"/>
        </w:rPr>
        <w:t xml:space="preserve">Figure </w:t>
      </w:r>
      <w:r>
        <w:rPr>
          <w:color w:val="auto"/>
          <w:highlight w:val="none"/>
        </w:rPr>
        <w:fldChar w:fldCharType="begin"/>
      </w:r>
      <w:r>
        <w:rPr>
          <w:color w:val="auto"/>
          <w:highlight w:val="none"/>
        </w:rPr>
        <w:instrText xml:space="preserve"> SEQ Figure \* ARABIC </w:instrText>
      </w:r>
      <w:r>
        <w:rPr>
          <w:color w:val="auto"/>
          <w:highlight w:val="none"/>
        </w:rPr>
        <w:fldChar w:fldCharType="separate"/>
      </w:r>
      <w:r>
        <w:rPr>
          <w:color w:val="auto"/>
          <w:highlight w:val="none"/>
        </w:rPr>
        <w:t>2</w:t>
      </w:r>
      <w:r>
        <w:rPr>
          <w:color w:val="auto"/>
          <w:highlight w:val="none"/>
        </w:rPr>
        <w:fldChar w:fldCharType="end"/>
      </w:r>
      <w:r>
        <w:rPr>
          <w:color w:val="auto"/>
          <w:highlight w:val="none"/>
        </w:rPr>
        <w:t>: Geographical Share of Ford’s Market (Hetzner &amp; Hetzner, 2016)</w:t>
      </w:r>
      <w:bookmarkEnd w:id="10"/>
    </w:p>
    <w:p>
      <w:pPr>
        <w:pStyle w:val="5"/>
        <w:spacing w:line="480" w:lineRule="auto"/>
        <w:rPr>
          <w:rFonts w:cs="Times New Roman"/>
          <w:color w:val="auto"/>
          <w:highlight w:val="none"/>
          <w:lang w:val="en-US" w:eastAsia="zh-CN"/>
        </w:rPr>
      </w:pPr>
      <w:bookmarkStart w:id="11" w:name="_Toc133485919"/>
      <w:r>
        <w:rPr>
          <w:rFonts w:cs="Times New Roman"/>
          <w:color w:val="auto"/>
          <w:highlight w:val="none"/>
          <w:lang w:val="en-US" w:eastAsia="zh-CN"/>
        </w:rPr>
        <w:t>Economic environment</w:t>
      </w:r>
      <w:bookmarkEnd w:id="11"/>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The economic environment for Ford Motor Company from 2012 to 2015 was characterized by a slow and uneven recovery from the Great Recession of 2008-2009. Here are some key economic indicators and trends that affected Ford during this period:</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GDP growth: The US economy was slowly recovering from the recession, with GDP growth rates ranging from 1.6% in 2012 to 2.6% in 2015 (BLS, 2018). This gradual recovery meant that consumer spending and confidence rebounded slowly.</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Unemployment: Unemployment rates were high after the recession, peaking at 10% in October 2009. However, the unemployment rate gradually declined over the next few years, reaching 5.1% by 2015 (BLS 2018). Consumer confidence and spending improved, although some workers faced challenges finding good-paying jobs.</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Oil prices: The price of crude oil was volatile during this period, ranging from a high of over $100 per barrel in mid-2014 to a low of around $30 per barrel in early 2016 (BLS 2018). This volatility significantly impacted the auto industry, as consumers became more interested in fuel-efficient vehicles and less interested in larger, less efficient trucks and SUVs.</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Interest rates: Interest rates were low during this period, making it easier for consumers to finance car purchases. This helped to boost sales of new vehicles, although it also increased competition in the industry.</w:t>
      </w:r>
    </w:p>
    <w:p>
      <w:pPr>
        <w:pStyle w:val="2"/>
        <w:spacing w:after="0" w:line="480" w:lineRule="auto"/>
        <w:ind w:firstLine="480"/>
        <w:contextualSpacing/>
        <w:jc w:val="both"/>
        <w:rPr>
          <w:rFonts w:cs="Times New Roman"/>
          <w:color w:val="auto"/>
          <w:szCs w:val="24"/>
          <w:highlight w:val="none"/>
          <w:lang w:val="en-US" w:eastAsia="zh-CN"/>
        </w:rPr>
      </w:pPr>
      <w:r>
        <w:rPr>
          <w:rFonts w:cs="Times New Roman"/>
          <w:color w:val="auto"/>
          <w:szCs w:val="24"/>
          <w:highlight w:val="none"/>
          <w:lang w:val="en-US" w:eastAsia="zh-CN"/>
        </w:rPr>
        <w:t>Global economic conditions: The global economy was also recovering from the recession, with some countries experiencing faster growth than others. This meant that conditions in markets worldwide affected Ford's sales and profitability, including Europe, China, and Latin America (BLS 2018).</w:t>
      </w:r>
    </w:p>
    <w:p>
      <w:pPr>
        <w:pStyle w:val="2"/>
        <w:spacing w:after="0" w:line="480" w:lineRule="auto"/>
        <w:ind w:firstLine="480"/>
        <w:contextualSpacing/>
        <w:jc w:val="both"/>
        <w:rPr>
          <w:rFonts w:cs="Times New Roman"/>
          <w:color w:val="auto"/>
          <w:szCs w:val="24"/>
          <w:highlight w:val="none"/>
          <w:lang w:val="en-US" w:eastAsia="zh-CN"/>
        </w:rPr>
      </w:pPr>
      <w:r>
        <w:rPr>
          <w:rFonts w:cs="Times New Roman"/>
          <w:color w:val="auto"/>
          <w:szCs w:val="24"/>
          <w:highlight w:val="none"/>
          <w:lang w:val="en-US" w:eastAsia="zh-CN"/>
        </w:rPr>
        <w:t>Overall, the economic environment for Ford Motor Company from 2012 to 2015 was challenging but slowly improving. The company faced competition from other automakers and changing consumer preferences but maintained its market position through cost-cutting measures and innovative product offerings.</w:t>
      </w:r>
    </w:p>
    <w:p>
      <w:pPr>
        <w:pStyle w:val="5"/>
        <w:spacing w:line="480" w:lineRule="auto"/>
        <w:rPr>
          <w:rFonts w:cs="Times New Roman"/>
          <w:color w:val="auto"/>
          <w:highlight w:val="none"/>
          <w:lang w:val="en-US" w:eastAsia="zh-CN"/>
        </w:rPr>
      </w:pPr>
      <w:bookmarkStart w:id="12" w:name="_Toc133485920"/>
      <w:r>
        <w:rPr>
          <w:rFonts w:cs="Times New Roman"/>
          <w:color w:val="auto"/>
          <w:highlight w:val="none"/>
          <w:lang w:val="en-US" w:eastAsia="zh-CN"/>
        </w:rPr>
        <w:t>Social and cultural environment</w:t>
      </w:r>
      <w:bookmarkEnd w:id="12"/>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Still, based on the population data collected by Ford in their strategic planning, the total population growth in the Asia Pacific region, represented by China, remains at about 7 million new people yearly. However, the significant increase in urban population and the decline in rural population are the overall trends of the past 5-6 years. It is predicted that this trend will continue in the next five years. The rising dependency ratio of the elderly in other countries shows that the world society has generally transitioned to an ageing social demographic structure (</w:t>
      </w:r>
      <w:r>
        <w:rPr>
          <w:rFonts w:cs="Times New Roman"/>
          <w:color w:val="auto"/>
          <w:highlight w:val="none"/>
        </w:rPr>
        <w:t>Ritchie and Roser 2019)</w:t>
      </w:r>
      <w:r>
        <w:rPr>
          <w:rFonts w:cs="Times New Roman"/>
          <w:color w:val="auto"/>
          <w:szCs w:val="24"/>
          <w:highlight w:val="none"/>
          <w:lang w:val="en-US" w:eastAsia="zh-CN"/>
        </w:rPr>
        <w:t>. The population decline has a huge impact on the purchasing power of automobiles.</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In addition, McKinsey &amp; Company conducted an automobile consumption survey on more than 3,000 automobile consumers worldwide in 2016. Consumption habits will change as follows: On the one hand, in the car purchase market, the appeal of the corresponding private cars will decline. Many car consumers say (about 50%) that cars are necessities (Mckinsey 2020). Still, only one-third say they must buy a private car because mobile and shared travel is becoming increasingly popular.</w:t>
      </w:r>
    </w:p>
    <w:p>
      <w:pPr>
        <w:pStyle w:val="2"/>
        <w:spacing w:after="0" w:line="480" w:lineRule="auto"/>
        <w:ind w:firstLine="480" w:firstLineChars="200"/>
        <w:contextualSpacing/>
        <w:jc w:val="both"/>
        <w:rPr>
          <w:rFonts w:cs="Times New Roman"/>
          <w:b/>
          <w:color w:val="auto"/>
          <w:szCs w:val="24"/>
          <w:highlight w:val="none"/>
          <w:lang w:val="en-US" w:eastAsia="zh-CN"/>
        </w:rPr>
      </w:pP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rPr>
        <w:drawing>
          <wp:inline distT="0" distB="0" distL="0" distR="0">
            <wp:extent cx="5731510" cy="382778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7780"/>
                    </a:xfrm>
                    <a:prstGeom prst="rect">
                      <a:avLst/>
                    </a:prstGeom>
                  </pic:spPr>
                </pic:pic>
              </a:graphicData>
            </a:graphic>
          </wp:inline>
        </w:drawing>
      </w:r>
    </w:p>
    <w:p>
      <w:pPr>
        <w:pStyle w:val="6"/>
        <w:rPr>
          <w:rFonts w:cs="Times New Roman"/>
          <w:color w:val="auto"/>
          <w:highlight w:val="none"/>
          <w:lang w:val="en-US" w:eastAsia="zh-CN"/>
        </w:rPr>
      </w:pPr>
      <w:bookmarkStart w:id="13" w:name="_Toc133485942"/>
      <w:r>
        <w:rPr>
          <w:color w:val="auto"/>
          <w:highlight w:val="none"/>
        </w:rPr>
        <w:t xml:space="preserve">Figure </w:t>
      </w:r>
      <w:r>
        <w:rPr>
          <w:color w:val="auto"/>
          <w:highlight w:val="none"/>
        </w:rPr>
        <w:fldChar w:fldCharType="begin"/>
      </w:r>
      <w:r>
        <w:rPr>
          <w:color w:val="auto"/>
          <w:highlight w:val="none"/>
        </w:rPr>
        <w:instrText xml:space="preserve"> SEQ Figure \* ARABIC </w:instrText>
      </w:r>
      <w:r>
        <w:rPr>
          <w:color w:val="auto"/>
          <w:highlight w:val="none"/>
        </w:rPr>
        <w:fldChar w:fldCharType="separate"/>
      </w:r>
      <w:r>
        <w:rPr>
          <w:color w:val="auto"/>
          <w:highlight w:val="none"/>
        </w:rPr>
        <w:t>3</w:t>
      </w:r>
      <w:r>
        <w:rPr>
          <w:color w:val="auto"/>
          <w:highlight w:val="none"/>
        </w:rPr>
        <w:fldChar w:fldCharType="end"/>
      </w:r>
      <w:r>
        <w:rPr>
          <w:color w:val="auto"/>
          <w:highlight w:val="none"/>
        </w:rPr>
        <w:t>: The impact of urbanization on purchasing of automobiles, (Mckinsey 2020)</w:t>
      </w:r>
      <w:bookmarkEnd w:id="13"/>
    </w:p>
    <w:p>
      <w:pPr>
        <w:pStyle w:val="5"/>
        <w:spacing w:line="480" w:lineRule="auto"/>
        <w:rPr>
          <w:rFonts w:cs="Times New Roman"/>
          <w:color w:val="auto"/>
          <w:highlight w:val="none"/>
          <w:lang w:val="en-US" w:eastAsia="zh-CN"/>
        </w:rPr>
      </w:pPr>
      <w:bookmarkStart w:id="14" w:name="_Toc133485921"/>
      <w:r>
        <w:rPr>
          <w:rFonts w:cs="Times New Roman"/>
          <w:color w:val="auto"/>
          <w:highlight w:val="none"/>
          <w:lang w:val="en-US" w:eastAsia="zh-CN"/>
        </w:rPr>
        <w:t>Technological Factors</w:t>
      </w:r>
      <w:bookmarkEnd w:id="14"/>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Concerning the total amount of new energy automobile industry, China has established a leading position, mainly because the market is growing rapidly and battery manufacturing has obvious advantages. In China, more than 90% of lithium batteries are produced locally. On the one hand, government subsidies are limited to enterprises that create value for the local market. On the other hand, foreign battery manufacturers cannot build factories in China due to qualification restrictions.</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 Compared with China, Japan is at a disadvantage in electric vehicle production, and its share in the world battery production has dropped to third place. At the same time, the United States ranks second (McKinsey, 2020). But regarding vehicle manufacturing technology, the R&amp;D capability of Chinese automobile manufacturers is relatively weak. Currently, they are mainly located in low-tech areas, a rare opportunity for Ford.</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Another sales area of Ford in India, the automobile industry, has grown. The government will continue to support R&amp;D and encourage investment in the automobile industry. The Indian government has also made many efforts in the automobile industry. They hope to continuously promote the National Automobile Testing and Research and Development Infrastructure Project (NATRIP). They proposed to promote the transformation of electric and new energy vehicles.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Although few global organizations will not choose India as their R&amp;D centre due to India's rich population resources and preferential tax policies, many automobile manufacturers hope to expand their markets in India, including Ford Motor. Ford Motor will focus on green R&amp;D and clean energy before 2030. Such strategic planning will not only help to update the interests of Ford Motor but also help the development of the automobile industry in the Indian market. It will also be of positive significance to serve the local market and reduce buyer costs.</w:t>
      </w:r>
    </w:p>
    <w:p>
      <w:pPr>
        <w:pStyle w:val="4"/>
        <w:spacing w:line="480" w:lineRule="auto"/>
        <w:rPr>
          <w:rFonts w:cs="Times New Roman"/>
          <w:color w:val="auto"/>
          <w:sz w:val="24"/>
          <w:szCs w:val="24"/>
          <w:highlight w:val="none"/>
          <w:lang w:val="en-US" w:eastAsia="zh-CN"/>
        </w:rPr>
      </w:pPr>
      <w:bookmarkStart w:id="15" w:name="_Toc133485922"/>
      <w:r>
        <w:rPr>
          <w:rFonts w:cs="Times New Roman"/>
          <w:color w:val="auto"/>
          <w:sz w:val="24"/>
          <w:szCs w:val="24"/>
          <w:highlight w:val="none"/>
          <w:lang w:val="en-US" w:eastAsia="zh-CN"/>
        </w:rPr>
        <w:t>2.2 Micro strategic analysis</w:t>
      </w:r>
      <w:bookmarkEnd w:id="15"/>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A micro-strategic analysis of Ford Motor Company examines its internal factors that can impact its operations, strengths, weaknesses, and competitive advantage. Using a SWOT analysis, the report pinpoints the internal and external variables affecting the performance of the organization and offers details on its current position in the market. The key areas that need improvement are also identified by the SWOT analysis, and these can then be further examined to determine the organizational strategy options. This analysis is a crucial step in the strategic planning process because it offers a comprehensive picture of the organization's current situation, which can be used to create strategies and action plans that will be successful. Additionally, an effective approach for examining the competitive factors that impact a company's operations is Porter's Five factors study. The main forces that we shall take into account in our study are as follows:</w:t>
      </w:r>
    </w:p>
    <w:p>
      <w:pPr>
        <w:pStyle w:val="5"/>
        <w:spacing w:line="480" w:lineRule="auto"/>
        <w:rPr>
          <w:rFonts w:cs="Times New Roman"/>
          <w:color w:val="auto"/>
          <w:highlight w:val="none"/>
          <w:lang w:val="en-US" w:eastAsia="zh-CN"/>
        </w:rPr>
      </w:pPr>
      <w:bookmarkStart w:id="16" w:name="_Toc133485923"/>
      <w:r>
        <w:rPr>
          <w:rFonts w:cs="Times New Roman"/>
          <w:color w:val="auto"/>
          <w:highlight w:val="none"/>
          <w:lang w:val="en-US" w:eastAsia="zh-CN"/>
        </w:rPr>
        <w:t>SWOT Analysis</w:t>
      </w:r>
      <w:bookmarkEnd w:id="16"/>
    </w:p>
    <w:p>
      <w:pPr>
        <w:pStyle w:val="5"/>
        <w:spacing w:line="480" w:lineRule="auto"/>
        <w:rPr>
          <w:rFonts w:cs="Times New Roman"/>
          <w:color w:val="auto"/>
          <w:highlight w:val="none"/>
          <w:lang w:val="en-US" w:eastAsia="zh-CN"/>
        </w:rPr>
      </w:pPr>
      <w:bookmarkStart w:id="17" w:name="_Toc133485924"/>
      <w:r>
        <w:rPr>
          <w:rFonts w:cs="Times New Roman"/>
          <w:color w:val="auto"/>
          <w:highlight w:val="none"/>
          <w:lang w:val="en-US" w:eastAsia="zh-CN"/>
        </w:rPr>
        <w:t>Strength</w:t>
      </w:r>
      <w:bookmarkEnd w:id="17"/>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In China, Ford Motor Company established Changan Ford Motor Company Limited. Ltd. entered the China automobile market through a joint venture with Changan Automobile Group. Changan Ford has five automobile factories, two motor and one transmission system factory in China (Roberto et al. 2011). These five factories are located in Chongqing (central and western regions), Hangzhou (southeast coast) and Harbin (north), covering more developed provinces and cities in China.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Changan Ford has an extensive dealer network with 850 dealers nationwide. In 2016, 944,000 cars were produced and sold, an increase of 14% compared with 830,000 cars in 2015. Products cover all levels of automobiles, compact SUVs and urban SUVs. Ford Motor Company also holds a 32% stake in Gangneung Automobile Co., Ltd.., through a joint venture with Jiangling Group. Jiangling Motors mainly produces Ford brand Quanshun commercial vehicles and Ford full-size SUVs launched in 2015 (Chesterton, 2018).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Ford Motor Company has a R&amp;D centre in China to develop products for China and Asia-Pacific markets. Ford Forester was developed by China Ford Research Center, aiming at the characteristics of China consumers. He immediately became a best-selling model, supporting Changan Ford's sales with the classic Ford focus. The sales volume of the Forrest model alone in 2016 was close to 300. In 2000, it accounted for 32% of the total annual sales of Changan Ford (Whitby, 2020).</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As China's automobile market plays an important role in the global automobile market, if Ford Motor Company and China develop the same models in other regions simultaneously, Changan Ford can take advantage of Changan Ford's advantages in the China automobile market to obtain lower prices of parts suppliers (Roberto et al. 2011).</w:t>
      </w:r>
    </w:p>
    <w:p>
      <w:pPr>
        <w:pStyle w:val="5"/>
        <w:spacing w:line="480" w:lineRule="auto"/>
        <w:rPr>
          <w:rFonts w:cs="Times New Roman"/>
          <w:color w:val="auto"/>
          <w:highlight w:val="none"/>
          <w:lang w:val="en-US" w:eastAsia="zh-CN"/>
        </w:rPr>
      </w:pPr>
      <w:bookmarkStart w:id="18" w:name="_Toc133485925"/>
      <w:r>
        <w:rPr>
          <w:rFonts w:cs="Times New Roman"/>
          <w:color w:val="auto"/>
          <w:highlight w:val="none"/>
          <w:lang w:val="en-US" w:eastAsia="zh-CN"/>
        </w:rPr>
        <w:t>Weakness</w:t>
      </w:r>
      <w:bookmarkEnd w:id="18"/>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Compared with Volkswagen and General Motors, Ford later entered the China market. After Volkswagen opened up the China market with Santana in the early years, Ford Motor Company had no new models except the old Ford Fiesta. Until the emergence of the classic Ford Focus in 2006, the Ford brand was gradually familiar to consumers in China market. Ford also enriched its China models through its 1515 Asia-Pacific Plan (15 models will be produced by the end of 2015) (Ma, 2018). Although the product line covers a wide range of products, the products at all levels are relatively single.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Ford Motor Company's model in developing countries such as China is a global synchronous development model (except Ford Focus), which is not specially designed for China market. In the process of cooperation with Changan Ford, Ford Motor Company also has a strong voice in technology research and development.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As the design and development of most products of Ford Motor Company are mainly concentrated in North America, Europe or other regions, the parent company of Ford Motor Company requires Changan Ford to choose suppliers as strategic partners of Ford Motor Company's parent company in the process of purchasing many components, which brings certain cost pressure.</w:t>
      </w:r>
    </w:p>
    <w:p>
      <w:pPr>
        <w:pStyle w:val="5"/>
        <w:spacing w:line="480" w:lineRule="auto"/>
        <w:rPr>
          <w:rFonts w:cs="Times New Roman"/>
          <w:color w:val="auto"/>
          <w:highlight w:val="none"/>
          <w:lang w:val="en-US" w:eastAsia="zh-CN"/>
        </w:rPr>
      </w:pPr>
      <w:bookmarkStart w:id="19" w:name="_Toc133485926"/>
      <w:r>
        <w:rPr>
          <w:rFonts w:cs="Times New Roman"/>
          <w:color w:val="auto"/>
          <w:highlight w:val="none"/>
          <w:lang w:val="en-US" w:eastAsia="zh-CN"/>
        </w:rPr>
        <w:t>Opportunity</w:t>
      </w:r>
      <w:bookmarkEnd w:id="19"/>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According to a McKinsey survey, Ford Motor Company, a US-based multinational automobile enterprise, was a latecomer to the developing automobile market in countries like China. However, it currently exports the highest number of cars to China annually. In fact, the survey found that between 2016 and 2020, Ford exported finished vehicles and parts worth nearly 77 billion yuan to China (McKinsey,</w:t>
      </w:r>
      <w:r>
        <w:rPr>
          <w:rFonts w:cs="Times New Roman"/>
          <w:color w:val="auto"/>
          <w:szCs w:val="24"/>
          <w:highlight w:val="none"/>
          <w:lang w:eastAsia="zh-CN"/>
        </w:rPr>
        <w:t xml:space="preserve"> 20</w:t>
      </w:r>
      <w:r>
        <w:rPr>
          <w:rFonts w:cs="Times New Roman"/>
          <w:color w:val="auto"/>
          <w:szCs w:val="24"/>
          <w:highlight w:val="none"/>
          <w:lang w:val="en-US" w:eastAsia="zh-CN"/>
        </w:rPr>
        <w:t>2</w:t>
      </w:r>
      <w:r>
        <w:rPr>
          <w:rFonts w:cs="Times New Roman"/>
          <w:color w:val="auto"/>
          <w:szCs w:val="24"/>
          <w:highlight w:val="none"/>
          <w:lang w:eastAsia="zh-CN"/>
        </w:rPr>
        <w:t>0</w:t>
      </w:r>
      <w:r>
        <w:rPr>
          <w:rFonts w:cs="Times New Roman"/>
          <w:color w:val="auto"/>
          <w:szCs w:val="24"/>
          <w:highlight w:val="none"/>
          <w:lang w:val="en-US" w:eastAsia="zh-CN"/>
        </w:rPr>
        <w:t xml:space="preserve">). One example of Ford's success in the Chinese market is its Lincoln luxury brand.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Within two years, Ford has introduced three domestic Lincoln models to Chinese consumers. The adventurer model, in particular, has experienced year-on-year growth of 67.8% in the first three quarters of this year, surpassing its sales in the US market. Ford is also investing heavily in electrification, with plans to invest over $50 billion in electrification by the end of 2025. By 2030, the company aims to have pure electric vehicles account for 40% - 50% of its global sales (Bellan 2022).</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In 2030, Lincoln will realize the electrification of all models in the global market. Regarding product development, Ford has invested in establishing a new energy vehicle research and development centre in China. Relying on the resources and advantages of Ford China's original product development centre in Nanjing, Ford focuses on R&amp;D, planning and developing new energy products and technologies more suitable for Chinese consumers.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In terms of sales mode, Ford Select, the exclusive brand of electric vehicles, was launched to create a direct marketing channel for electric vehicles directly facing consumers and create a differentiated user experience (McKinsey, 2020). Cheng Junhua introduced that Ford plans to open 25 city showrooms for direct sales of electric vehicles within the year and 100 in the next five years. </w:t>
      </w:r>
    </w:p>
    <w:p>
      <w:pPr>
        <w:pStyle w:val="5"/>
        <w:spacing w:line="480" w:lineRule="auto"/>
        <w:rPr>
          <w:rFonts w:cs="Times New Roman"/>
          <w:color w:val="auto"/>
          <w:highlight w:val="none"/>
          <w:lang w:val="en-US" w:eastAsia="zh-CN"/>
        </w:rPr>
      </w:pPr>
      <w:bookmarkStart w:id="20" w:name="_Toc133485927"/>
      <w:r>
        <w:rPr>
          <w:rFonts w:cs="Times New Roman"/>
          <w:color w:val="auto"/>
          <w:highlight w:val="none"/>
          <w:lang w:val="en-US" w:eastAsia="zh-CN"/>
        </w:rPr>
        <w:t>Threat</w:t>
      </w:r>
      <w:bookmarkEnd w:id="20"/>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In the China automobile market, Ford cannot compete with Volkswagen and General Motors, which have the same brand positioning in product diversity and market share. At the low end of the car, Ford Motor Company can't compare with China's brand in the sales price and market share (Thun, 2018). New fields, such as automatic driving and electric vehicles, have not made significant progress for Ford. In contrast, the traditional fuel vehicle business there has been seriously frustrated, and its hematopoietic capacity has been seriously threatened.</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 If Ford cannot resolve this crisis, it will have to drive into the museum to show the T-car's history to future generations. (Chesterton, 2018) In the 2008 financial crisis, both GM and Ford faced serious difficulties. However, after government support and enterprise self-help, the American system began to recover (Chrysler and Fiat, an Italian car company, merged into Fiat Chrysler to recover). </w:t>
      </w:r>
    </w:p>
    <w:p>
      <w:pPr>
        <w:pStyle w:val="5"/>
        <w:spacing w:line="480" w:lineRule="auto"/>
        <w:rPr>
          <w:rFonts w:cs="Times New Roman"/>
          <w:color w:val="auto"/>
          <w:highlight w:val="none"/>
          <w:lang w:val="en-US" w:eastAsia="zh-CN"/>
        </w:rPr>
      </w:pPr>
      <w:bookmarkStart w:id="21" w:name="_Toc133485928"/>
      <w:r>
        <w:rPr>
          <w:rFonts w:cs="Times New Roman"/>
          <w:color w:val="auto"/>
          <w:highlight w:val="none"/>
          <w:lang w:val="en-US" w:eastAsia="zh-CN"/>
        </w:rPr>
        <w:t>Porter’s Five Forces</w:t>
      </w:r>
      <w:bookmarkEnd w:id="21"/>
    </w:p>
    <w:p>
      <w:pPr>
        <w:pStyle w:val="2"/>
        <w:spacing w:after="0" w:line="480" w:lineRule="auto"/>
        <w:ind w:firstLine="480" w:firstLineChars="200"/>
        <w:contextualSpacing/>
        <w:jc w:val="both"/>
        <w:rPr>
          <w:rFonts w:cs="Times New Roman"/>
          <w:b/>
          <w:color w:val="auto"/>
          <w:szCs w:val="24"/>
          <w:highlight w:val="none"/>
          <w:lang w:val="en-US" w:eastAsia="zh-CN"/>
        </w:rPr>
      </w:pPr>
      <w:r>
        <w:rPr>
          <w:rFonts w:cs="Times New Roman"/>
          <w:b/>
          <w:color w:val="auto"/>
          <w:szCs w:val="24"/>
          <w:highlight w:val="none"/>
          <w:lang w:val="en-US" w:eastAsia="zh-CN"/>
        </w:rPr>
        <w:t xml:space="preserve">Threat of New Entrants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Due to the high capital requirements of the automotive sector, it may be challenging for new players to compete. Additionally, well-known corporations like Ford benefit from economies of scale and great brand recognition, which can make it challenging for new competitors to capture market share (Roe 2021).</w:t>
      </w:r>
    </w:p>
    <w:p>
      <w:pPr>
        <w:pStyle w:val="2"/>
        <w:spacing w:after="0" w:line="480" w:lineRule="auto"/>
        <w:ind w:firstLine="480" w:firstLineChars="200"/>
        <w:contextualSpacing/>
        <w:jc w:val="both"/>
        <w:rPr>
          <w:rFonts w:cs="Times New Roman"/>
          <w:b/>
          <w:color w:val="auto"/>
          <w:szCs w:val="24"/>
          <w:highlight w:val="none"/>
          <w:lang w:val="en-US" w:eastAsia="zh-CN"/>
        </w:rPr>
      </w:pPr>
      <w:r>
        <w:rPr>
          <w:rFonts w:cs="Times New Roman"/>
          <w:b/>
          <w:color w:val="auto"/>
          <w:szCs w:val="24"/>
          <w:highlight w:val="none"/>
          <w:lang w:val="en-US" w:eastAsia="zh-CN"/>
        </w:rPr>
        <w:t>Bargaining Power of Suppliers</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Suppliers' negotiating power is important since they supply the industry with raw materials, parts, and services. Ford is a key customer for several of its suppliers, thus it has considerable negotiating leverage over them. Additionally, throughout the years, the business has formed strong bonds with its suppliers, which may help it negotiate advantageous terms.</w:t>
      </w:r>
    </w:p>
    <w:p>
      <w:pPr>
        <w:pStyle w:val="2"/>
        <w:spacing w:after="0" w:line="480" w:lineRule="auto"/>
        <w:ind w:firstLine="480" w:firstLineChars="200"/>
        <w:contextualSpacing/>
        <w:jc w:val="both"/>
        <w:rPr>
          <w:rFonts w:cs="Times New Roman"/>
          <w:b/>
          <w:color w:val="auto"/>
          <w:szCs w:val="24"/>
          <w:highlight w:val="none"/>
          <w:lang w:val="en-US" w:eastAsia="zh-CN"/>
        </w:rPr>
      </w:pPr>
      <w:r>
        <w:rPr>
          <w:rFonts w:cs="Times New Roman"/>
          <w:b/>
          <w:color w:val="auto"/>
          <w:szCs w:val="24"/>
          <w:highlight w:val="none"/>
          <w:lang w:val="en-US" w:eastAsia="zh-CN"/>
        </w:rPr>
        <w:t>Buyers' Bargaining Power</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Due to the numerous rivals and variety of alternatives accessible to them, buyers have a lot of bargaining power in the automotive sector (Susilo, 2019). The internet has also made it simpler for customers to study and compare features and costs, which can further strengthen their negotiating position. Ford has concentrated on offering premium automobiles, first-rate customer service, and cutting-edge technologies in order to keep its consumer base.</w:t>
      </w:r>
    </w:p>
    <w:p>
      <w:pPr>
        <w:pStyle w:val="2"/>
        <w:spacing w:after="0" w:line="480" w:lineRule="auto"/>
        <w:ind w:firstLine="480" w:firstLineChars="200"/>
        <w:contextualSpacing/>
        <w:jc w:val="both"/>
        <w:rPr>
          <w:rFonts w:cs="Times New Roman"/>
          <w:b/>
          <w:color w:val="auto"/>
          <w:szCs w:val="24"/>
          <w:highlight w:val="none"/>
          <w:lang w:val="en-US" w:eastAsia="zh-CN"/>
        </w:rPr>
      </w:pPr>
      <w:r>
        <w:rPr>
          <w:rFonts w:cs="Times New Roman"/>
          <w:b/>
          <w:color w:val="auto"/>
          <w:szCs w:val="24"/>
          <w:highlight w:val="none"/>
          <w:lang w:val="en-US" w:eastAsia="zh-CN"/>
        </w:rPr>
        <w:t>Threat of substitutes</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Since there are few alternatives to automobiles and trucks for transportation, the threat of replacements is very minimal in the automotive sector. The danger of alternatives, however, could rise in the future due to shifts in consumer tastes and developments in non-traditional forms of transportation, such electric scooters and bicycles (Simons et al., 2020).</w:t>
      </w:r>
    </w:p>
    <w:p>
      <w:pPr>
        <w:pStyle w:val="2"/>
        <w:spacing w:after="0" w:line="480" w:lineRule="auto"/>
        <w:ind w:firstLine="480" w:firstLineChars="200"/>
        <w:contextualSpacing/>
        <w:jc w:val="both"/>
        <w:rPr>
          <w:rFonts w:cs="Times New Roman"/>
          <w:b/>
          <w:color w:val="auto"/>
          <w:szCs w:val="24"/>
          <w:highlight w:val="none"/>
          <w:lang w:val="en-US" w:eastAsia="zh-CN"/>
        </w:rPr>
      </w:pPr>
      <w:r>
        <w:rPr>
          <w:rFonts w:cs="Times New Roman"/>
          <w:b/>
          <w:color w:val="auto"/>
          <w:szCs w:val="24"/>
          <w:highlight w:val="none"/>
          <w:lang w:val="en-US" w:eastAsia="zh-CN"/>
        </w:rPr>
        <w:t>Competition Intensity</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The automobile business is extremely competitive, with numerous long-standing competitors and recent newcomers competing for market share. Competition is influenced by things like product differentiation, price tactics, and marketing initiatives. Ford has the smallest share (2.8%) in the automobile industry, hence faces fierce competition from strong brands like Toyota (11.5%) and Volkswagen (6.7%).</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rPr>
        <w:drawing>
          <wp:inline distT="0" distB="0" distL="0" distR="0">
            <wp:extent cx="4991100" cy="31546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996239" cy="3158491"/>
                    </a:xfrm>
                    <a:prstGeom prst="rect">
                      <a:avLst/>
                    </a:prstGeom>
                  </pic:spPr>
                </pic:pic>
              </a:graphicData>
            </a:graphic>
          </wp:inline>
        </w:drawing>
      </w:r>
    </w:p>
    <w:p>
      <w:pPr>
        <w:pStyle w:val="6"/>
        <w:spacing w:line="480" w:lineRule="auto"/>
        <w:rPr>
          <w:rFonts w:cs="Times New Roman"/>
          <w:color w:val="auto"/>
          <w:szCs w:val="24"/>
          <w:highlight w:val="none"/>
          <w:lang w:val="en-US" w:eastAsia="zh-CN"/>
        </w:rPr>
      </w:pPr>
      <w:bookmarkStart w:id="22" w:name="_Toc133485943"/>
      <w:r>
        <w:rPr>
          <w:rFonts w:cs="Times New Roman"/>
          <w:color w:val="auto"/>
          <w:highlight w:val="none"/>
        </w:rPr>
        <w:t xml:space="preserve">Figure </w:t>
      </w:r>
      <w:r>
        <w:rPr>
          <w:rFonts w:cs="Times New Roman"/>
          <w:color w:val="auto"/>
          <w:highlight w:val="none"/>
        </w:rPr>
        <w:fldChar w:fldCharType="begin"/>
      </w:r>
      <w:r>
        <w:rPr>
          <w:rFonts w:cs="Times New Roman"/>
          <w:color w:val="auto"/>
          <w:highlight w:val="none"/>
        </w:rPr>
        <w:instrText xml:space="preserve"> SEQ Figure \* ARABIC </w:instrText>
      </w:r>
      <w:r>
        <w:rPr>
          <w:rFonts w:cs="Times New Roman"/>
          <w:color w:val="auto"/>
          <w:highlight w:val="none"/>
        </w:rPr>
        <w:fldChar w:fldCharType="separate"/>
      </w:r>
      <w:r>
        <w:rPr>
          <w:rFonts w:cs="Times New Roman"/>
          <w:color w:val="auto"/>
          <w:highlight w:val="none"/>
        </w:rPr>
        <w:t>4</w:t>
      </w:r>
      <w:r>
        <w:rPr>
          <w:rFonts w:cs="Times New Roman"/>
          <w:color w:val="auto"/>
          <w:highlight w:val="none"/>
        </w:rPr>
        <w:fldChar w:fldCharType="end"/>
      </w:r>
      <w:r>
        <w:rPr>
          <w:rFonts w:cs="Times New Roman"/>
          <w:color w:val="auto"/>
          <w:highlight w:val="none"/>
        </w:rPr>
        <w:t>: Market Share in the Automobile sector (Carlier 2023)</w:t>
      </w:r>
      <w:bookmarkEnd w:id="22"/>
    </w:p>
    <w:p>
      <w:pPr>
        <w:spacing w:after="0" w:line="480" w:lineRule="auto"/>
        <w:rPr>
          <w:rFonts w:cs="Times New Roman" w:eastAsiaTheme="majorEastAsia"/>
          <w:b/>
          <w:color w:val="auto"/>
          <w:szCs w:val="24"/>
          <w:highlight w:val="none"/>
          <w:lang w:val="en-US" w:eastAsia="zh-CN"/>
        </w:rPr>
      </w:pPr>
      <w:r>
        <w:rPr>
          <w:rFonts w:cs="Times New Roman"/>
          <w:color w:val="auto"/>
          <w:szCs w:val="24"/>
          <w:highlight w:val="none"/>
          <w:lang w:val="en-US" w:eastAsia="zh-CN"/>
        </w:rPr>
        <w:br w:type="page"/>
      </w:r>
    </w:p>
    <w:p>
      <w:pPr>
        <w:pStyle w:val="3"/>
        <w:numPr>
          <w:ilvl w:val="0"/>
          <w:numId w:val="1"/>
        </w:numPr>
        <w:rPr>
          <w:color w:val="auto"/>
          <w:highlight w:val="none"/>
        </w:rPr>
      </w:pPr>
      <w:bookmarkStart w:id="23" w:name="_Toc133485929"/>
      <w:r>
        <w:rPr>
          <w:color w:val="auto"/>
          <w:highlight w:val="none"/>
        </w:rPr>
        <w:t>Assessment of strategic options</w:t>
      </w:r>
      <w:bookmarkEnd w:id="23"/>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Ford Motor Company has made good achievements in developing the Asia Pacific region in the past few years. However, the achievements are mainly due to the rapid development of the Chinese market. However, with the development of China's economy, the major auto enterprises delivered good performance reports from 2010 to 2015.  Looking at other major markets in the Asia Pacific region, India and the ASEAN region around Thailand, Thailand's earnings mainly benefited from the high-profit pickup trucks for single cars. In contrast, the continued losses in the Indian market dragged down Ford's performance in the Asia Pacific region.</w:t>
      </w:r>
      <w:r>
        <w:rPr>
          <w:rFonts w:cs="Times New Roman"/>
          <w:color w:val="auto"/>
          <w:szCs w:val="24"/>
          <w:highlight w:val="none"/>
        </w:rPr>
        <w:t xml:space="preserve"> After a decade of subpar market penetration and losses had lost almost $2 billion in the market (William, 2021)</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Thailand is a major production hub for pickup trucks, and the high demand for these vehicles has led to significant earnings for the country. Many global automakers, including Ford, have manufacturing facilities in Thailand, producing and exporting pickup trucks to various markets worldwide. As a result, the strong demand for pickup trucks has contributed to Thailand's overall economic growth and prosperity. On the other hand, Ford has been struggling in the Indian market, which has hurt its overall performance in the Asia Pacific region. Despite efforts to improve its market share in India, the company has faced challenges due to intense competition, high tariffs, and a shift towards electric vehicles (William 2021). As a result, Ford has been forced to restructure its regional operations, including cutting jobs and discontinuing some models.</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Based on the analysis of the previous chapters, Ford Motor Company's highest sales model in the Chinese market is Ford Forrest, which was developed in China, and the best-selling pickup truck in Thailand is Ranger, which was developed by Ford Motor's local team in Asia Pacific (Australia and China). All the models developed in the Indian market are products under the globalization platform.</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Looking at Maruti Suzuki, the car company with the highest proportion in the entire Indian market, the models developed by it are very consistent with the needs of the Indian market. Based on the above observation and analysis, it is found that the main problems in the existing strategic layout are as follows: the imbalance of markets in the Asia Pacific region, the difference between product positioning and customer demand in the market, and the over-concentration of vertical management of the organizational structure.</w:t>
      </w:r>
    </w:p>
    <w:p>
      <w:pPr>
        <w:pStyle w:val="5"/>
        <w:spacing w:line="480" w:lineRule="auto"/>
        <w:rPr>
          <w:rFonts w:cs="Times New Roman"/>
          <w:color w:val="auto"/>
          <w:highlight w:val="none"/>
          <w:lang w:val="en-US" w:eastAsia="zh-CN"/>
        </w:rPr>
      </w:pPr>
      <w:bookmarkStart w:id="24" w:name="_Toc133485930"/>
      <w:r>
        <w:rPr>
          <w:rFonts w:cs="Times New Roman"/>
          <w:color w:val="auto"/>
          <w:highlight w:val="none"/>
          <w:lang w:val="en-US" w:eastAsia="zh-CN"/>
        </w:rPr>
        <w:t>Market disequilibrium</w:t>
      </w:r>
      <w:bookmarkEnd w:id="24"/>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For 2016, Ford Motor made US $10.4 billion, operating profit margin of 6.7%, net income of US $4.6 billion, adjusted earnings per share of US $1.76 and cash flow of US $6.4 billion. The overall sales volume in the global market was about 6.6 million units, unchanged from the previous year. The profit before tax reached 10.4 billion US dollars, the second-best achievement in the history of Ford Motor. Of the $10.4 billion pretax profit, the pretax profit from the main automobile business was $9.4 billion (Ford, 2016).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The performance of the North American business unit was very strong, accounting for 9 billion of the 9.4 billion dollars. South America lost 1.1 billion yuan. The European market reversed the previous year's decline and made a profit of 1.2 billion dollars (McKinsey, 2020). The Middle East and Africa suffered a loss of 300 million yuan. The profit of 600 million yuan in the Asia-Pacific region is the second highest in the region's history. Profits in the Asia-Pacific region mainly come from the China market.</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 In the highly competitive Indian market, the market share is only 2%, causing losses. This imbalance makes Ford Motor Company's performance in the Asia-Pacific region too dependent on the China market. After the bubble growth of China market in the past decade, with the slowdown of GDP growth in China, the growth of the automobile industry is also slowing down. </w:t>
      </w:r>
    </w:p>
    <w:p>
      <w:pPr>
        <w:pStyle w:val="5"/>
        <w:spacing w:line="480" w:lineRule="auto"/>
        <w:rPr>
          <w:rFonts w:cs="Times New Roman"/>
          <w:color w:val="auto"/>
          <w:highlight w:val="none"/>
          <w:lang w:val="en-US" w:eastAsia="zh-CN"/>
        </w:rPr>
      </w:pPr>
      <w:bookmarkStart w:id="25" w:name="_Toc133485931"/>
      <w:r>
        <w:rPr>
          <w:rFonts w:cs="Times New Roman"/>
          <w:color w:val="auto"/>
          <w:highlight w:val="none"/>
          <w:lang w:val="en-US" w:eastAsia="zh-CN"/>
        </w:rPr>
        <w:t>Customer needs do not match</w:t>
      </w:r>
      <w:bookmarkEnd w:id="25"/>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Pay attention to the product layout of Ford Motor Company in the Asia-Pacific region. Against the background of a 6% annual GDP growth rate, the growth rate of the Indian automobile market has not slowed down. Ford Motor Company has not made much profit in this booming but highly competitive automobile market (William 2022). Compared with the best-selling models on the market, the models introduced by Ford also belong to this best-selling model.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It has prevented automobile giants worldwide from entering the Indian automobile market for many years. However, he is still in such an awkward position that his profitability is worrying. Because the models entering the Indian automobile market are not designed and improved according to the unique needs of Indian consumers. Suzuki is also a foreign brand.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After fully understanding and studying India's domestic market, it has developed a series of models for India's domestic market, fully considered the important factors of consumers' price sensitivity, studied customers' requirements for automobile functions, and developed low-cost products with low prices in the Indian market and popular with consumers. Suzuki occupies the first market share in the Indian passenger car market, accounting for about 40%.</w:t>
      </w:r>
    </w:p>
    <w:p>
      <w:pPr>
        <w:pStyle w:val="5"/>
        <w:spacing w:line="480" w:lineRule="auto"/>
        <w:rPr>
          <w:rFonts w:cs="Times New Roman"/>
          <w:color w:val="auto"/>
          <w:highlight w:val="none"/>
          <w:lang w:val="en-US" w:eastAsia="zh-CN"/>
        </w:rPr>
      </w:pPr>
      <w:bookmarkStart w:id="26" w:name="_Toc133485932"/>
      <w:r>
        <w:rPr>
          <w:rFonts w:cs="Times New Roman"/>
          <w:color w:val="auto"/>
          <w:highlight w:val="none"/>
          <w:lang w:val="en-US" w:eastAsia="zh-CN"/>
        </w:rPr>
        <w:t>Vertical management of strategy</w:t>
      </w:r>
      <w:bookmarkEnd w:id="26"/>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Ford Motor Company has a complete vertical pipeline at its headquarters. In every region of Ford, the functional department head of that region reports to the regional head and the department head. The functional department of Ford North America Headquarters closely guides the corresponding regional functional departments in three major regions of the world (America, Asia-Pacific and Europe-Africa) to get out of the actual operation process. The whole company presents a matrix organizational structure. The organizational structure within the Asia-Pacific region is also very similar. In a market with weak consumption ability or sensitivity to price, customers do not choose Ford brand cars because of the high price. Ford Motor dominates the joint venture factory, especially in product design and development. The other party of the joint venture has a low voice, so the products developed fail to meet the needs of local customers according to their preferences (Thun 2018).</w:t>
      </w:r>
    </w:p>
    <w:p>
      <w:pPr>
        <w:spacing w:line="480" w:lineRule="auto"/>
        <w:rPr>
          <w:rFonts w:cs="Times New Roman" w:eastAsiaTheme="majorEastAsia"/>
          <w:b/>
          <w:color w:val="auto"/>
          <w:szCs w:val="24"/>
          <w:highlight w:val="none"/>
          <w:lang w:val="en-US" w:eastAsia="zh-CN"/>
        </w:rPr>
      </w:pPr>
      <w:r>
        <w:rPr>
          <w:rFonts w:cs="Times New Roman"/>
          <w:color w:val="auto"/>
          <w:highlight w:val="none"/>
        </w:rPr>
        <w:t xml:space="preserve">Based on the analysis of Ford Motor Company's current strategy in the Asia Pacific region, it is clear that the company has failed to address the issues of market disequilibrium, product positioning, and vertical management of its strategies. The current strategy has led to a reliance on the Chinese market, an inability to meet customer demands in India, and a lack of local input into product development in joint venture factories. These issues have caused Ford to suffer losses in the region and have hampered its overall performance. </w:t>
      </w:r>
      <w:r>
        <w:rPr>
          <w:rFonts w:cs="Times New Roman"/>
          <w:color w:val="auto"/>
          <w:szCs w:val="24"/>
          <w:highlight w:val="none"/>
          <w:lang w:val="en-US" w:eastAsia="zh-CN"/>
        </w:rPr>
        <w:br w:type="page"/>
      </w:r>
    </w:p>
    <w:p>
      <w:pPr>
        <w:pStyle w:val="3"/>
        <w:rPr>
          <w:color w:val="auto"/>
          <w:highlight w:val="none"/>
        </w:rPr>
      </w:pPr>
      <w:bookmarkStart w:id="27" w:name="_Toc133485933"/>
      <w:r>
        <w:rPr>
          <w:color w:val="auto"/>
          <w:highlight w:val="none"/>
        </w:rPr>
        <w:t>4. Influence and Strategy of Strategic Organization</w:t>
      </w:r>
      <w:bookmarkEnd w:id="27"/>
    </w:p>
    <w:p>
      <w:pPr>
        <w:pStyle w:val="5"/>
        <w:spacing w:line="480" w:lineRule="auto"/>
        <w:rPr>
          <w:rFonts w:cs="Times New Roman"/>
          <w:color w:val="auto"/>
          <w:highlight w:val="none"/>
          <w:lang w:val="en-US" w:eastAsia="zh-CN"/>
        </w:rPr>
      </w:pPr>
      <w:bookmarkStart w:id="28" w:name="_Toc133485934"/>
      <w:r>
        <w:rPr>
          <w:rFonts w:cs="Times New Roman"/>
          <w:color w:val="auto"/>
          <w:highlight w:val="none"/>
          <w:lang w:val="en-US" w:eastAsia="zh-CN"/>
        </w:rPr>
        <w:t>Balancing the market</w:t>
      </w:r>
      <w:bookmarkEnd w:id="28"/>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The market environment faced by Ford has been discussed as follows: in the domestic market, Changan Ford is faced with the all-round squeeze of many international brands, such as Volkswagen and General Motors and national brands, such as Chery, with a small market share and no advantage in overall cost and price, so it can only adopt the standard differentiation strategy; In the macro environment, Changan Ford will face a fierce price war with the coming price cut in 2006 (Wang, 2022 With the intensification of market competition and the diversification of terminal customer demand, the market-oriented operation becomes more and more important.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Ford Group can strengthen the marketization of its operation through the following ways to be closer to the market demand to provide products and services faster and more accurately. R&amp;D and marketing departments move closer to the market. Marketing should go deep into the product planning and terminal sales and run through the entire value chain (Wang, 2022). Product planning and development teams should join the front-line marketing and sales personnel to eliminate the product development mode dominated by technical engineering and avoid being disconnected from market demand. Market-oriented operation of spare parts.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Non-core parts should be specialized and put into market operation as much as possible. It can be considered to separate Ford Group and establish an independent entity operation. From the global trend, the merger and reorganization of the parts and components industry have accelerated and developed towards globalization and scale. To reduce costs, vehicle manufacturers are increasingly inclined to global, modular and systematic procurement. Some functions and services can be outsourced to professional service companies.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For non-core functions such as services, outsourcing to professional consulting companies in the market is more efficient than its operation. Implement fine marketing. Although the current marketing system of Ford Group is relatively sound and efficient, with the further expansion of the sales scale and the comprehensive entry of the product field into the passenger car market, the complexity of marketing will increase significantly (McKinsey, 2020). Therefore, it is suggested that Ford Group implement refined marketing, comprehensively improve marketing efforts, and prepare to expand the passenger car market and expand the market share of existing commercial vehicle segments.</w:t>
      </w:r>
    </w:p>
    <w:p>
      <w:pPr>
        <w:pStyle w:val="5"/>
        <w:spacing w:line="480" w:lineRule="auto"/>
        <w:rPr>
          <w:rFonts w:cs="Times New Roman"/>
          <w:color w:val="auto"/>
          <w:highlight w:val="none"/>
          <w:lang w:val="en-US" w:eastAsia="zh-CN"/>
        </w:rPr>
      </w:pPr>
      <w:bookmarkStart w:id="29" w:name="_Toc133485935"/>
      <w:r>
        <w:rPr>
          <w:rFonts w:cs="Times New Roman"/>
          <w:color w:val="auto"/>
          <w:highlight w:val="none"/>
          <w:lang w:val="en-US" w:eastAsia="zh-CN"/>
        </w:rPr>
        <w:t>Adjust positioning</w:t>
      </w:r>
      <w:bookmarkEnd w:id="29"/>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Ford has an absolute advantage in high-end, with high sales prices and good profitability. Therefore, Ford can pass on pressure to competitors by reducing prices, increasing sales volume, expanding market share, and increasing capacity utilization (Markus, 2021). At the same time, the increase in sales volume can reduce the fixed cost of a single vehicle, further amortize various expenses, offset the decline in profitability caused by the price reduction, and provide greater space for Ford to reduce prices.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There is a lack of investment in the middle and low end. With the rise of China's rural economy and the development of urban and rural economy, the middle and low end light trucks will develop rapidly. At the same time, with the reduction of the price of the middle and low-end light trucks, and close to the agricultural vehicle market, the middle and low-end light trucks will gradually replace agricultural vehicles, and the market space will also increase sharply with the replacement of existing agricultural vehicles (Markus,2021). Therefore, Ford should seize the opportunity of rapid market growth, take advantage of the existing R&amp;D advantages and brand influence in light trucks, launch a full range of high, medium and low light truck products, and position the middle and low end as "practical, energy-saving, cost-effective", facing the vast number of existing or potential agricultural owners and consumers in urban and rural areas to fill the gap in the market.</w:t>
      </w:r>
    </w:p>
    <w:p>
      <w:pPr>
        <w:pStyle w:val="5"/>
        <w:spacing w:line="480" w:lineRule="auto"/>
        <w:rPr>
          <w:rFonts w:cs="Times New Roman"/>
          <w:color w:val="auto"/>
          <w:highlight w:val="none"/>
          <w:lang w:val="en-US" w:eastAsia="zh-CN"/>
        </w:rPr>
      </w:pPr>
      <w:bookmarkStart w:id="30" w:name="_Toc133485936"/>
      <w:r>
        <w:rPr>
          <w:rFonts w:cs="Times New Roman"/>
          <w:color w:val="auto"/>
          <w:highlight w:val="none"/>
          <w:lang w:val="en-US" w:eastAsia="zh-CN"/>
        </w:rPr>
        <w:t>Matrix management</w:t>
      </w:r>
      <w:bookmarkEnd w:id="30"/>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Ford should strengthen market research to improve the marketing system, further subdivide the market, define the target market segments of different products, and then formulate targeted product configuration positioning. </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Ford can segment industrial markets by identifying specific groups of industrial customers with distinct needs, characteristics, and behaviors. Here are some ways Ford could segment industrial markets:</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Geographic Segmentation: Ford can segment industrial markets based on geographic factors such as location, region, or country. For example, Ford can focus on developing and marketing vehicles that are suitable for specific regions with different terrain, weather, and infrastructure.</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Customer Size Segmentation: Ford can segment industrial markets by customer size, such as small businesses, mid-size companies, and large corporations. Different customer sizes may have varying needs and purchasing power, and Ford can tailor its offerings and marketing strategies accordingly.</w:t>
      </w:r>
    </w:p>
    <w:p>
      <w:pPr>
        <w:pStyle w:val="2"/>
        <w:spacing w:after="0" w:line="480" w:lineRule="auto"/>
        <w:ind w:firstLine="480" w:firstLineChars="200"/>
        <w:contextualSpacing/>
        <w:jc w:val="both"/>
        <w:rPr>
          <w:rFonts w:cs="Times New Roman"/>
          <w:color w:val="auto"/>
          <w:szCs w:val="24"/>
          <w:highlight w:val="none"/>
          <w:lang w:val="en-US" w:eastAsia="zh-CN"/>
        </w:rPr>
      </w:pPr>
      <w:r>
        <w:rPr>
          <w:rFonts w:cs="Times New Roman"/>
          <w:color w:val="auto"/>
          <w:szCs w:val="24"/>
          <w:highlight w:val="none"/>
          <w:lang w:val="en-US" w:eastAsia="zh-CN"/>
        </w:rPr>
        <w:t>Industry Segmentation: Ford can segment industrial markets based on the type of industry or sector, such as construction, agriculture, mining, or transportation. Different industries may have unique requirements and regulations, and Ford can customize its products and services to meet those needs (William, 2021).</w:t>
      </w:r>
    </w:p>
    <w:p>
      <w:pPr>
        <w:pStyle w:val="2"/>
        <w:spacing w:after="0" w:line="480" w:lineRule="auto"/>
        <w:ind w:firstLine="480"/>
        <w:contextualSpacing/>
        <w:jc w:val="both"/>
        <w:rPr>
          <w:rFonts w:cs="Times New Roman"/>
          <w:color w:val="auto"/>
          <w:szCs w:val="24"/>
          <w:highlight w:val="none"/>
          <w:lang w:val="en-US" w:eastAsia="zh-CN"/>
        </w:rPr>
      </w:pPr>
      <w:r>
        <w:rPr>
          <w:rFonts w:cs="Times New Roman"/>
          <w:color w:val="auto"/>
          <w:szCs w:val="24"/>
          <w:highlight w:val="none"/>
          <w:lang w:val="en-US" w:eastAsia="zh-CN"/>
        </w:rPr>
        <w:t xml:space="preserve">Overall, segmenting industrial markets can help Ford better understand and serve the diverse needs of its industrial customers, ultimately driving growth and profitability in this important market segment. At the same time, it should strengthen the management of customers in each market segment to further erode the market share of competitors through differentiated competition in each market segment. </w:t>
      </w:r>
    </w:p>
    <w:p>
      <w:pPr>
        <w:pStyle w:val="2"/>
        <w:spacing w:after="0" w:line="480" w:lineRule="auto"/>
        <w:ind w:firstLine="480"/>
        <w:contextualSpacing/>
        <w:jc w:val="both"/>
        <w:rPr>
          <w:rFonts w:cs="Times New Roman"/>
          <w:color w:val="auto"/>
          <w:szCs w:val="24"/>
          <w:highlight w:val="none"/>
          <w:lang w:val="en-US" w:eastAsia="zh-CN"/>
        </w:rPr>
      </w:pPr>
    </w:p>
    <w:p>
      <w:pPr>
        <w:pStyle w:val="3"/>
        <w:spacing w:line="480" w:lineRule="auto"/>
        <w:rPr>
          <w:rFonts w:cs="Times New Roman"/>
          <w:color w:val="auto"/>
          <w:highlight w:val="none"/>
        </w:rPr>
      </w:pPr>
      <w:bookmarkStart w:id="31" w:name="_Toc133485937"/>
      <w:r>
        <w:rPr>
          <w:rFonts w:cs="Times New Roman"/>
          <w:color w:val="auto"/>
          <w:highlight w:val="none"/>
        </w:rPr>
        <w:t>5. Conclusion</w:t>
      </w:r>
      <w:bookmarkEnd w:id="31"/>
    </w:p>
    <w:p>
      <w:pPr>
        <w:spacing w:line="480" w:lineRule="auto"/>
        <w:rPr>
          <w:rFonts w:cs="Times New Roman"/>
          <w:color w:val="auto"/>
          <w:szCs w:val="24"/>
          <w:highlight w:val="none"/>
          <w:lang w:val="en-US" w:eastAsia="zh-CN"/>
        </w:rPr>
      </w:pPr>
      <w:r>
        <w:rPr>
          <w:rFonts w:cs="Times New Roman"/>
          <w:color w:val="auto"/>
          <w:highlight w:val="none"/>
        </w:rPr>
        <w:t>In conclusion, Ford Motor Company has a long history of innovation and success in the global automobile industry. However, the company is facing new challenges from the global economy, changing consumer preferences, and increasing competition. To successfully navigate these challenges, Ford must continue to innovate and adjust its strategy, leveraging its strengths, mitigating its weaknesses, and taking advantage of opportunities in the market. Through comprehensive strategic analysis, Ford can ensure that its strategy is aligned with its long-term goals and objectives and that it is able to meet the needs of its customers and remain competitive in the global market</w:t>
      </w:r>
      <w:r>
        <w:rPr>
          <w:rFonts w:cs="Times New Roman"/>
          <w:color w:val="auto"/>
          <w:szCs w:val="24"/>
          <w:highlight w:val="none"/>
          <w:lang w:val="en-US" w:eastAsia="zh-CN"/>
        </w:rPr>
        <w:t>.</w:t>
      </w:r>
    </w:p>
    <w:p>
      <w:pPr>
        <w:spacing w:after="0" w:line="480" w:lineRule="auto"/>
        <w:rPr>
          <w:rFonts w:cs="Times New Roman" w:eastAsiaTheme="majorEastAsia"/>
          <w:b/>
          <w:color w:val="auto"/>
          <w:sz w:val="28"/>
          <w:szCs w:val="28"/>
          <w:highlight w:val="none"/>
          <w:lang w:val="en-US" w:eastAsia="zh-CN"/>
        </w:rPr>
      </w:pPr>
      <w:r>
        <w:rPr>
          <w:rFonts w:cs="Times New Roman"/>
          <w:b/>
          <w:color w:val="auto"/>
          <w:sz w:val="28"/>
          <w:szCs w:val="28"/>
          <w:highlight w:val="none"/>
          <w:lang w:val="en-US" w:eastAsia="zh-CN"/>
        </w:rPr>
        <w:t xml:space="preserve">6. </w:t>
      </w:r>
      <w:r>
        <w:rPr>
          <w:rStyle w:val="19"/>
          <w:color w:val="auto"/>
          <w:highlight w:val="none"/>
        </w:rPr>
        <w:t>Recommendations</w:t>
      </w:r>
    </w:p>
    <w:p>
      <w:pPr>
        <w:spacing w:line="480" w:lineRule="auto"/>
        <w:rPr>
          <w:rFonts w:cs="Times New Roman"/>
          <w:color w:val="auto"/>
          <w:highlight w:val="none"/>
          <w:lang w:val="en-US" w:eastAsia="zh-CN"/>
        </w:rPr>
      </w:pPr>
      <w:bookmarkStart w:id="32" w:name="_Toc128461487"/>
      <w:r>
        <w:rPr>
          <w:rFonts w:cs="Times New Roman"/>
          <w:color w:val="auto"/>
          <w:highlight w:val="none"/>
          <w:lang w:val="en-US" w:eastAsia="zh-CN"/>
        </w:rPr>
        <w:t>The following recommendations are general and may not be applicable or appropriate for Ford's specific circumstances. Ultimately, Ford's best strategies will depend on various factors, including its internal capabilities, external market conditions, and competitive landscape.</w:t>
      </w:r>
      <w:bookmarkEnd w:id="32"/>
    </w:p>
    <w:p>
      <w:pPr>
        <w:pStyle w:val="23"/>
        <w:numPr>
          <w:ilvl w:val="0"/>
          <w:numId w:val="2"/>
        </w:numPr>
        <w:spacing w:line="480" w:lineRule="auto"/>
        <w:rPr>
          <w:rFonts w:cs="Times New Roman"/>
          <w:color w:val="auto"/>
          <w:highlight w:val="none"/>
          <w:lang w:val="en-US" w:eastAsia="zh-CN"/>
        </w:rPr>
      </w:pPr>
      <w:bookmarkStart w:id="33" w:name="_Toc128461489"/>
      <w:r>
        <w:rPr>
          <w:rFonts w:cs="Times New Roman"/>
          <w:color w:val="auto"/>
          <w:highlight w:val="none"/>
          <w:lang w:val="en-US" w:eastAsia="zh-CN"/>
        </w:rPr>
        <w:t>Diversify the product portfolio: To remain competitive in the market, Ford should continue to invest in cutting-edge technology, such as electric and driverless vehicles, even though its product line is already varied. </w:t>
      </w:r>
    </w:p>
    <w:p>
      <w:pPr>
        <w:pStyle w:val="23"/>
        <w:numPr>
          <w:ilvl w:val="0"/>
          <w:numId w:val="2"/>
        </w:numPr>
        <w:spacing w:line="480" w:lineRule="auto"/>
        <w:rPr>
          <w:rFonts w:cs="Times New Roman"/>
          <w:color w:val="auto"/>
          <w:highlight w:val="none"/>
          <w:lang w:val="en-US" w:eastAsia="zh-CN"/>
        </w:rPr>
      </w:pPr>
      <w:r>
        <w:rPr>
          <w:rFonts w:cs="Times New Roman"/>
          <w:color w:val="auto"/>
          <w:highlight w:val="none"/>
          <w:lang w:val="en-US" w:eastAsia="zh-CN"/>
        </w:rPr>
        <w:t>Expand into new markets: Ford should concentrate on broadening its worldwide reach in order to take advantage of these potential prospects as the demand for automobiles rises in developing nations like China and India. This could help the company grow its share in the global market</w:t>
      </w:r>
    </w:p>
    <w:p>
      <w:pPr>
        <w:pStyle w:val="23"/>
        <w:numPr>
          <w:ilvl w:val="0"/>
          <w:numId w:val="2"/>
        </w:numPr>
        <w:spacing w:line="480" w:lineRule="auto"/>
        <w:rPr>
          <w:rFonts w:cs="Times New Roman"/>
          <w:color w:val="auto"/>
          <w:highlight w:val="none"/>
          <w:lang w:val="en-US" w:eastAsia="zh-CN"/>
        </w:rPr>
      </w:pPr>
      <w:r>
        <w:rPr>
          <w:rFonts w:cs="Times New Roman"/>
          <w:color w:val="auto"/>
          <w:highlight w:val="none"/>
          <w:lang w:val="en-US" w:eastAsia="zh-CN"/>
        </w:rPr>
        <w:t>Strengthen partnerships and collaborations: Ford should consider strategic partnerships and collaborations with other companies to drive innovation and growth. This can help the company stay ahead of the curve in terms of technological advancements and increase its market share.</w:t>
      </w:r>
    </w:p>
    <w:p>
      <w:pPr>
        <w:pStyle w:val="23"/>
        <w:numPr>
          <w:ilvl w:val="0"/>
          <w:numId w:val="2"/>
        </w:numPr>
        <w:spacing w:line="480" w:lineRule="auto"/>
        <w:rPr>
          <w:rFonts w:cs="Times New Roman"/>
          <w:color w:val="auto"/>
          <w:highlight w:val="none"/>
          <w:lang w:val="en-US" w:eastAsia="zh-CN"/>
        </w:rPr>
      </w:pPr>
      <w:r>
        <w:rPr>
          <w:rFonts w:cs="Times New Roman"/>
          <w:color w:val="auto"/>
          <w:highlight w:val="none"/>
          <w:lang w:val="en-US" w:eastAsia="zh-CN"/>
        </w:rPr>
        <w:t>Focus on sustainability and environmental impact: Ford should concentrate on minimizing its environmental effect and fostering sustainability in light of the growing concerns about climate change. Electric and hybrid car manufacture, as well as environmentally friendly supply chain management techniques, can help with this. </w:t>
      </w:r>
    </w:p>
    <w:p>
      <w:pPr>
        <w:pStyle w:val="23"/>
        <w:numPr>
          <w:ilvl w:val="0"/>
          <w:numId w:val="2"/>
        </w:numPr>
        <w:spacing w:line="480" w:lineRule="auto"/>
        <w:rPr>
          <w:rFonts w:cs="Times New Roman"/>
          <w:color w:val="auto"/>
          <w:highlight w:val="none"/>
          <w:lang w:val="en-US" w:eastAsia="zh-CN"/>
        </w:rPr>
      </w:pPr>
      <w:r>
        <w:rPr>
          <w:rFonts w:cs="Times New Roman"/>
          <w:color w:val="auto"/>
          <w:highlight w:val="none"/>
          <w:lang w:val="en-US" w:eastAsia="zh-CN"/>
        </w:rPr>
        <w:t>Develop a contingency plan for global events: As was evident during the COVID-19 epidemic, world events may have a big influence on the automotive sector. To lessen the effects of such occurrences, such as supply chain interruptions and changes in customer behavior, Ford should create a contingency plan such events. </w:t>
      </w:r>
    </w:p>
    <w:p>
      <w:pPr>
        <w:pStyle w:val="23"/>
        <w:numPr>
          <w:ilvl w:val="0"/>
          <w:numId w:val="2"/>
        </w:numPr>
        <w:spacing w:line="480" w:lineRule="auto"/>
        <w:rPr>
          <w:rFonts w:cs="Times New Roman"/>
          <w:color w:val="auto"/>
          <w:highlight w:val="none"/>
          <w:lang w:val="en-US" w:eastAsia="zh-CN"/>
        </w:rPr>
      </w:pPr>
      <w:r>
        <w:rPr>
          <w:rFonts w:cs="Times New Roman"/>
          <w:color w:val="auto"/>
          <w:highlight w:val="none"/>
          <w:lang w:val="en-US" w:eastAsia="zh-CN"/>
        </w:rPr>
        <w:t>Build brand identity: Developing a strong brand identity can help Ford to differentiate itself from competitors and build a loyal customer base. This can be achieved through consistent messaging, advertising, and branding strategies that emphasize the unique qualities of Ford vehicles.</w:t>
      </w:r>
      <w:bookmarkEnd w:id="33"/>
      <w:r>
        <w:rPr>
          <w:rFonts w:cs="Times New Roman"/>
          <w:color w:val="auto"/>
          <w:highlight w:val="none"/>
          <w:lang w:val="en-US" w:eastAsia="zh-CN"/>
        </w:rPr>
        <w:t xml:space="preserve"> This can help the company compete with the more established brands in the industry.</w:t>
      </w: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2"/>
        <w:spacing w:line="480" w:lineRule="auto"/>
        <w:rPr>
          <w:rFonts w:cs="Times New Roman"/>
          <w:color w:val="auto"/>
          <w:highlight w:val="none"/>
        </w:rPr>
      </w:pPr>
    </w:p>
    <w:p>
      <w:pPr>
        <w:pStyle w:val="3"/>
        <w:spacing w:line="480" w:lineRule="auto"/>
        <w:ind w:left="720"/>
        <w:jc w:val="center"/>
        <w:rPr>
          <w:rFonts w:cs="Times New Roman"/>
          <w:color w:val="auto"/>
          <w:highlight w:val="none"/>
        </w:rPr>
      </w:pPr>
      <w:bookmarkStart w:id="34" w:name="_Toc133485938"/>
      <w:r>
        <w:rPr>
          <w:rFonts w:cs="Times New Roman"/>
          <w:color w:val="auto"/>
          <w:highlight w:val="none"/>
        </w:rPr>
        <w:t>References</w:t>
      </w:r>
      <w:bookmarkEnd w:id="34"/>
    </w:p>
    <w:p>
      <w:pPr>
        <w:spacing w:line="480" w:lineRule="auto"/>
        <w:ind w:left="720" w:hanging="720"/>
        <w:rPr>
          <w:rFonts w:cs="Times New Roman"/>
          <w:color w:val="auto"/>
          <w:szCs w:val="24"/>
          <w:highlight w:val="none"/>
          <w:shd w:val="clear" w:color="auto" w:fill="FFFFFF"/>
        </w:rPr>
      </w:pPr>
      <w:r>
        <w:rPr>
          <w:rFonts w:cs="Times New Roman"/>
          <w:color w:val="auto"/>
          <w:szCs w:val="24"/>
          <w:highlight w:val="none"/>
        </w:rPr>
        <w:t>Alizon</w:t>
      </w:r>
      <w:r>
        <w:rPr>
          <w:rFonts w:cs="Times New Roman"/>
          <w:color w:val="auto"/>
          <w:szCs w:val="24"/>
          <w:highlight w:val="none"/>
          <w:shd w:val="clear" w:color="auto" w:fill="FFFFFF"/>
        </w:rPr>
        <w:t>, F., Shooter, S.B. and Simpson, T.W., 2008, January. Henry Ford and the Model T: lessons for product platforming and mass customization. In </w:t>
      </w:r>
      <w:r>
        <w:rPr>
          <w:rFonts w:cs="Times New Roman"/>
          <w:i/>
          <w:iCs/>
          <w:color w:val="auto"/>
          <w:szCs w:val="24"/>
          <w:highlight w:val="none"/>
          <w:shd w:val="clear" w:color="auto" w:fill="FFFFFF"/>
        </w:rPr>
        <w:t>International Design Engineering Technical Conferences and Computers and Information in Engineering Conference</w:t>
      </w:r>
      <w:r>
        <w:rPr>
          <w:rFonts w:cs="Times New Roman"/>
          <w:color w:val="auto"/>
          <w:szCs w:val="24"/>
          <w:highlight w:val="none"/>
          <w:shd w:val="clear" w:color="auto" w:fill="FFFFFF"/>
        </w:rPr>
        <w:t> (Vol. 43291, pp. 59-66).</w:t>
      </w:r>
    </w:p>
    <w:p>
      <w:pPr>
        <w:autoSpaceDE w:val="0"/>
        <w:autoSpaceDN w:val="0"/>
        <w:adjustRightInd w:val="0"/>
        <w:spacing w:after="200" w:line="480" w:lineRule="auto"/>
        <w:ind w:left="720" w:hanging="720"/>
        <w:rPr>
          <w:rFonts w:cs="Times New Roman"/>
          <w:color w:val="auto"/>
          <w:szCs w:val="24"/>
          <w:highlight w:val="none"/>
          <w:lang w:val="en"/>
        </w:rPr>
      </w:pPr>
      <w:r>
        <w:rPr>
          <w:rFonts w:cs="Times New Roman"/>
          <w:color w:val="auto"/>
          <w:szCs w:val="24"/>
          <w:highlight w:val="none"/>
          <w:lang w:val="en"/>
        </w:rPr>
        <w:t xml:space="preserve">Bellan, R., (2022). </w:t>
      </w:r>
      <w:r>
        <w:rPr>
          <w:rFonts w:eastAsia="宋体" w:cs="Times New Roman"/>
          <w:color w:val="auto"/>
          <w:szCs w:val="24"/>
          <w:highlight w:val="none"/>
          <w:lang w:val="en"/>
        </w:rPr>
        <w:t>Ford increases electrification spend to $50B in attempt to catch up to Tesla.</w:t>
      </w:r>
      <w:r>
        <w:rPr>
          <w:rFonts w:cs="Times New Roman"/>
          <w:color w:val="auto"/>
          <w:szCs w:val="24"/>
          <w:highlight w:val="none"/>
          <w:lang w:val="en"/>
        </w:rPr>
        <w:t xml:space="preserve"> Retrieved from</w:t>
      </w:r>
      <w:r>
        <w:rPr>
          <w:rFonts w:eastAsia="宋体" w:cs="Times New Roman"/>
          <w:color w:val="auto"/>
          <w:szCs w:val="24"/>
          <w:highlight w:val="none"/>
          <w:lang w:val="en"/>
        </w:rPr>
        <w:t xml:space="preserve"> </w:t>
      </w:r>
      <w:r>
        <w:rPr>
          <w:color w:val="auto"/>
          <w:highlight w:val="none"/>
        </w:rPr>
        <w:fldChar w:fldCharType="begin"/>
      </w:r>
      <w:r>
        <w:rPr>
          <w:color w:val="auto"/>
          <w:highlight w:val="none"/>
        </w:rPr>
        <w:instrText xml:space="preserve"> HYPERLINK "https://techcrunch.com/2022/03/02/ford-increases-electrification-spend-to-50b-in-attempt-to-catch-up-to-tesla/" </w:instrText>
      </w:r>
      <w:r>
        <w:rPr>
          <w:color w:val="auto"/>
          <w:highlight w:val="none"/>
        </w:rPr>
        <w:fldChar w:fldCharType="separate"/>
      </w:r>
      <w:r>
        <w:rPr>
          <w:rStyle w:val="16"/>
          <w:rFonts w:eastAsia="宋体" w:cs="Times New Roman"/>
          <w:color w:val="auto"/>
          <w:szCs w:val="24"/>
          <w:highlight w:val="none"/>
          <w:lang w:val="en"/>
        </w:rPr>
        <w:t>https://techcrunch.com/2022/03/02/ford-increases-electrification-spend-to-50b-in-attempt-to-catch-up-to-tesla/</w:t>
      </w:r>
      <w:r>
        <w:rPr>
          <w:rStyle w:val="16"/>
          <w:rFonts w:eastAsia="宋体" w:cs="Times New Roman"/>
          <w:color w:val="auto"/>
          <w:szCs w:val="24"/>
          <w:highlight w:val="none"/>
          <w:lang w:val="en"/>
        </w:rPr>
        <w:fldChar w:fldCharType="end"/>
      </w:r>
      <w:r>
        <w:rPr>
          <w:rFonts w:cs="Times New Roman"/>
          <w:color w:val="auto"/>
          <w:szCs w:val="24"/>
          <w:highlight w:val="none"/>
        </w:rPr>
        <w:t xml:space="preserve"> Accessed 28 February 2023</w:t>
      </w:r>
    </w:p>
    <w:p>
      <w:pPr>
        <w:pStyle w:val="13"/>
        <w:spacing w:beforeAutospacing="0" w:after="240" w:afterAutospacing="0" w:line="480" w:lineRule="auto"/>
        <w:ind w:left="720" w:hanging="720"/>
        <w:rPr>
          <w:color w:val="auto"/>
          <w:szCs w:val="24"/>
          <w:highlight w:val="none"/>
        </w:rPr>
      </w:pPr>
      <w:r>
        <w:rPr>
          <w:color w:val="auto"/>
          <w:szCs w:val="24"/>
          <w:highlight w:val="none"/>
        </w:rPr>
        <w:t xml:space="preserve">Carlier, M. (2023). </w:t>
      </w:r>
      <w:r>
        <w:rPr>
          <w:i/>
          <w:iCs/>
          <w:color w:val="auto"/>
          <w:szCs w:val="24"/>
          <w:highlight w:val="none"/>
        </w:rPr>
        <w:t>Automobile market share worldwide: key manufacturers 2017 | Statista</w:t>
      </w:r>
      <w:r>
        <w:rPr>
          <w:color w:val="auto"/>
          <w:szCs w:val="24"/>
          <w:highlight w:val="none"/>
        </w:rPr>
        <w:t>. [online] Statista. Available at: https://www.statista.com/statistics/316786/global-market-share-of-the-leading-automakers/ [Accessed 27 Apr. 2023].</w:t>
      </w:r>
    </w:p>
    <w:p>
      <w:pPr>
        <w:spacing w:after="0" w:line="480" w:lineRule="auto"/>
        <w:ind w:left="720" w:hanging="720"/>
        <w:contextualSpacing/>
        <w:rPr>
          <w:rFonts w:cs="Times New Roman"/>
          <w:color w:val="auto"/>
          <w:szCs w:val="24"/>
          <w:highlight w:val="none"/>
          <w:shd w:val="clear" w:color="auto" w:fill="FFFFFF"/>
        </w:rPr>
      </w:pPr>
      <w:r>
        <w:rPr>
          <w:rFonts w:cs="Times New Roman"/>
          <w:color w:val="auto"/>
          <w:szCs w:val="24"/>
          <w:highlight w:val="none"/>
          <w:shd w:val="clear" w:color="auto" w:fill="FFFFFF"/>
        </w:rPr>
        <w:t>Chesterton, G.K., 2018. The Freeman and the Ford Car. </w:t>
      </w:r>
      <w:r>
        <w:rPr>
          <w:rFonts w:cs="Times New Roman"/>
          <w:i/>
          <w:iCs/>
          <w:color w:val="auto"/>
          <w:szCs w:val="24"/>
          <w:highlight w:val="none"/>
          <w:shd w:val="clear" w:color="auto" w:fill="FFFFFF"/>
        </w:rPr>
        <w:t>The Chesterton Review</w:t>
      </w:r>
      <w:r>
        <w:rPr>
          <w:rFonts w:cs="Times New Roman"/>
          <w:color w:val="auto"/>
          <w:szCs w:val="24"/>
          <w:highlight w:val="none"/>
          <w:shd w:val="clear" w:color="auto" w:fill="FFFFFF"/>
        </w:rPr>
        <w:t>, </w:t>
      </w:r>
      <w:r>
        <w:rPr>
          <w:rFonts w:cs="Times New Roman"/>
          <w:i/>
          <w:iCs/>
          <w:color w:val="auto"/>
          <w:szCs w:val="24"/>
          <w:highlight w:val="none"/>
          <w:shd w:val="clear" w:color="auto" w:fill="FFFFFF"/>
        </w:rPr>
        <w:t>44</w:t>
      </w:r>
      <w:r>
        <w:rPr>
          <w:rFonts w:cs="Times New Roman"/>
          <w:color w:val="auto"/>
          <w:szCs w:val="24"/>
          <w:highlight w:val="none"/>
          <w:shd w:val="clear" w:color="auto" w:fill="FFFFFF"/>
        </w:rPr>
        <w:t xml:space="preserve">(1/2), pp.15-19. </w:t>
      </w:r>
    </w:p>
    <w:p>
      <w:pPr>
        <w:pStyle w:val="2"/>
        <w:spacing w:line="480" w:lineRule="auto"/>
        <w:ind w:left="720" w:hanging="720"/>
        <w:rPr>
          <w:rFonts w:cs="Times New Roman"/>
          <w:color w:val="auto"/>
          <w:szCs w:val="24"/>
          <w:highlight w:val="none"/>
          <w:shd w:val="clear" w:color="auto" w:fill="FFFFFF"/>
        </w:rPr>
      </w:pPr>
      <w:r>
        <w:rPr>
          <w:rFonts w:cs="Times New Roman"/>
          <w:color w:val="auto"/>
          <w:szCs w:val="24"/>
          <w:highlight w:val="none"/>
          <w:shd w:val="clear" w:color="auto" w:fill="FFFFFF"/>
        </w:rPr>
        <w:t>Davis, M.W., 2002. </w:t>
      </w:r>
      <w:r>
        <w:rPr>
          <w:rFonts w:cs="Times New Roman"/>
          <w:i/>
          <w:iCs/>
          <w:color w:val="auto"/>
          <w:szCs w:val="24"/>
          <w:highlight w:val="none"/>
          <w:shd w:val="clear" w:color="auto" w:fill="FFFFFF"/>
        </w:rPr>
        <w:t>Ford Dynasty: A Photographic History</w:t>
      </w:r>
      <w:r>
        <w:rPr>
          <w:rFonts w:cs="Times New Roman"/>
          <w:color w:val="auto"/>
          <w:szCs w:val="24"/>
          <w:highlight w:val="none"/>
          <w:shd w:val="clear" w:color="auto" w:fill="FFFFFF"/>
        </w:rPr>
        <w:t>. Arcadia Publishing.</w:t>
      </w:r>
    </w:p>
    <w:p>
      <w:pPr>
        <w:spacing w:line="480" w:lineRule="auto"/>
        <w:ind w:left="720" w:hanging="720"/>
        <w:rPr>
          <w:rFonts w:cs="Times New Roman"/>
          <w:color w:val="auto"/>
          <w:szCs w:val="24"/>
          <w:highlight w:val="none"/>
          <w:lang w:val="en"/>
        </w:rPr>
      </w:pPr>
      <w:r>
        <w:rPr>
          <w:rFonts w:cs="Times New Roman"/>
          <w:color w:val="auto"/>
          <w:szCs w:val="24"/>
          <w:highlight w:val="none"/>
          <w:lang w:val="en"/>
        </w:rPr>
        <w:t xml:space="preserve">Ford (2 0 1 6). Full - Year and Four The Quarter Financial Results. Retrieved from </w:t>
      </w:r>
      <w:r>
        <w:rPr>
          <w:color w:val="auto"/>
          <w:highlight w:val="none"/>
        </w:rPr>
        <w:fldChar w:fldCharType="begin"/>
      </w:r>
      <w:r>
        <w:rPr>
          <w:color w:val="auto"/>
          <w:highlight w:val="none"/>
        </w:rPr>
        <w:instrText xml:space="preserve"> HYPERLINK "https://media.ford.com/content/dam/fordmedia/North%20America/US/2017/01/26/012617-financial_results.pdf" </w:instrText>
      </w:r>
      <w:r>
        <w:rPr>
          <w:color w:val="auto"/>
          <w:highlight w:val="none"/>
        </w:rPr>
        <w:fldChar w:fldCharType="separate"/>
      </w:r>
      <w:r>
        <w:rPr>
          <w:rStyle w:val="16"/>
          <w:rFonts w:cs="Times New Roman"/>
          <w:color w:val="auto"/>
          <w:szCs w:val="24"/>
          <w:highlight w:val="none"/>
          <w:lang w:val="en"/>
        </w:rPr>
        <w:t>https://media.ford.com/content/dam/fordmedia/North%20America/US/2017/01/26/012617-financial_results.pdf</w:t>
      </w:r>
      <w:r>
        <w:rPr>
          <w:rStyle w:val="16"/>
          <w:rFonts w:cs="Times New Roman"/>
          <w:color w:val="auto"/>
          <w:szCs w:val="24"/>
          <w:highlight w:val="none"/>
          <w:lang w:val="en"/>
        </w:rPr>
        <w:fldChar w:fldCharType="end"/>
      </w:r>
      <w:r>
        <w:rPr>
          <w:rFonts w:cs="Times New Roman"/>
          <w:color w:val="auto"/>
          <w:szCs w:val="24"/>
          <w:highlight w:val="none"/>
          <w:lang w:val="en"/>
        </w:rPr>
        <w:t xml:space="preserve"> </w:t>
      </w:r>
      <w:r>
        <w:rPr>
          <w:rFonts w:cs="Times New Roman"/>
          <w:color w:val="auto"/>
          <w:szCs w:val="24"/>
          <w:highlight w:val="none"/>
        </w:rPr>
        <w:t>Accessed 28 February 2023</w:t>
      </w:r>
    </w:p>
    <w:p>
      <w:pPr>
        <w:pStyle w:val="2"/>
        <w:spacing w:line="480" w:lineRule="auto"/>
        <w:ind w:left="480" w:hanging="720"/>
        <w:rPr>
          <w:rFonts w:cs="Times New Roman"/>
          <w:color w:val="auto"/>
          <w:szCs w:val="24"/>
          <w:highlight w:val="none"/>
          <w:shd w:val="clear" w:color="auto" w:fill="FFFFFF"/>
        </w:rPr>
      </w:pPr>
      <w:r>
        <w:rPr>
          <w:rFonts w:cs="Times New Roman"/>
          <w:color w:val="auto"/>
          <w:szCs w:val="24"/>
          <w:highlight w:val="none"/>
          <w:shd w:val="clear" w:color="auto" w:fill="FFFFFF"/>
        </w:rPr>
        <w:t>Harter, J., 2015. </w:t>
      </w:r>
      <w:r>
        <w:rPr>
          <w:rFonts w:cs="Times New Roman"/>
          <w:i/>
          <w:iCs/>
          <w:color w:val="auto"/>
          <w:szCs w:val="24"/>
          <w:highlight w:val="none"/>
          <w:shd w:val="clear" w:color="auto" w:fill="FFFFFF"/>
        </w:rPr>
        <w:t>Early Automobiles: A History in Advertising Line Art, 1890-1930</w:t>
      </w:r>
      <w:r>
        <w:rPr>
          <w:rFonts w:cs="Times New Roman"/>
          <w:color w:val="auto"/>
          <w:szCs w:val="24"/>
          <w:highlight w:val="none"/>
          <w:shd w:val="clear" w:color="auto" w:fill="FFFFFF"/>
        </w:rPr>
        <w:t>. Wings Press.</w:t>
      </w:r>
    </w:p>
    <w:p>
      <w:pPr>
        <w:pStyle w:val="2"/>
        <w:spacing w:after="0" w:line="480" w:lineRule="auto"/>
        <w:ind w:left="480" w:hanging="720"/>
        <w:contextualSpacing/>
        <w:rPr>
          <w:rFonts w:cs="Times New Roman"/>
          <w:color w:val="auto"/>
          <w:szCs w:val="24"/>
          <w:highlight w:val="none"/>
          <w:lang w:val="en-US" w:eastAsia="zh-CN"/>
        </w:rPr>
      </w:pPr>
      <w:r>
        <w:rPr>
          <w:rFonts w:cs="Times New Roman"/>
          <w:color w:val="auto"/>
          <w:szCs w:val="24"/>
          <w:highlight w:val="none"/>
          <w:lang w:val="en-US" w:eastAsia="zh-CN"/>
        </w:rPr>
        <w:t xml:space="preserve">Hetzner, C., (2016) Ford small-car strategy in Europe overhauled. Retrieved from </w:t>
      </w:r>
      <w:r>
        <w:rPr>
          <w:color w:val="auto"/>
          <w:highlight w:val="none"/>
        </w:rPr>
        <w:fldChar w:fldCharType="begin"/>
      </w:r>
      <w:r>
        <w:rPr>
          <w:color w:val="auto"/>
          <w:highlight w:val="none"/>
        </w:rPr>
        <w:instrText xml:space="preserve"> HYPERLINK "https://www.autonews.com/article/20160620/OEM/306209963/ford-small-car-strategy-in-europe-overhauled" </w:instrText>
      </w:r>
      <w:r>
        <w:rPr>
          <w:color w:val="auto"/>
          <w:highlight w:val="none"/>
        </w:rPr>
        <w:fldChar w:fldCharType="separate"/>
      </w:r>
      <w:r>
        <w:rPr>
          <w:rStyle w:val="16"/>
          <w:rFonts w:cs="Times New Roman"/>
          <w:color w:val="auto"/>
          <w:szCs w:val="24"/>
          <w:highlight w:val="none"/>
          <w:lang w:val="en-US" w:eastAsia="zh-CN"/>
        </w:rPr>
        <w:t>https://www.autonews.com/article/20160620/OEM/306209963/ford-small-car-strategy-in-europe-overhauled</w:t>
      </w:r>
      <w:r>
        <w:rPr>
          <w:rStyle w:val="16"/>
          <w:rFonts w:cs="Times New Roman"/>
          <w:color w:val="auto"/>
          <w:szCs w:val="24"/>
          <w:highlight w:val="none"/>
          <w:lang w:val="en-US" w:eastAsia="zh-CN"/>
        </w:rPr>
        <w:fldChar w:fldCharType="end"/>
      </w:r>
      <w:r>
        <w:rPr>
          <w:rFonts w:cs="Times New Roman"/>
          <w:color w:val="auto"/>
          <w:szCs w:val="24"/>
          <w:highlight w:val="none"/>
          <w:lang w:val="en-US" w:eastAsia="zh-CN"/>
        </w:rPr>
        <w:t xml:space="preserve"> Accessed 28 February 2023</w:t>
      </w:r>
    </w:p>
    <w:p>
      <w:pPr>
        <w:pStyle w:val="2"/>
        <w:spacing w:line="480" w:lineRule="auto"/>
        <w:ind w:left="480" w:hanging="720"/>
        <w:rPr>
          <w:rFonts w:cs="Times New Roman"/>
          <w:color w:val="auto"/>
          <w:szCs w:val="24"/>
          <w:highlight w:val="none"/>
          <w:shd w:val="clear" w:color="auto" w:fill="FFFFFF"/>
        </w:rPr>
      </w:pPr>
      <w:r>
        <w:rPr>
          <w:rFonts w:cs="Times New Roman"/>
          <w:color w:val="auto"/>
          <w:szCs w:val="24"/>
          <w:highlight w:val="none"/>
          <w:shd w:val="clear" w:color="auto" w:fill="FFFFFF"/>
        </w:rPr>
        <w:t>Ma, D., 2018. </w:t>
      </w:r>
      <w:r>
        <w:rPr>
          <w:rFonts w:cs="Times New Roman"/>
          <w:i/>
          <w:iCs/>
          <w:color w:val="auto"/>
          <w:szCs w:val="24"/>
          <w:highlight w:val="none"/>
          <w:shd w:val="clear" w:color="auto" w:fill="FFFFFF"/>
        </w:rPr>
        <w:t>Essays in Marketing, Economics, and Optimization</w:t>
      </w:r>
      <w:r>
        <w:rPr>
          <w:rFonts w:cs="Times New Roman"/>
          <w:color w:val="auto"/>
          <w:szCs w:val="24"/>
          <w:highlight w:val="none"/>
          <w:shd w:val="clear" w:color="auto" w:fill="FFFFFF"/>
        </w:rPr>
        <w:t>. stanford university.</w:t>
      </w:r>
    </w:p>
    <w:p>
      <w:pPr>
        <w:autoSpaceDE w:val="0"/>
        <w:autoSpaceDN w:val="0"/>
        <w:adjustRightInd w:val="0"/>
        <w:spacing w:after="200" w:line="480" w:lineRule="auto"/>
        <w:ind w:left="480" w:hanging="720"/>
        <w:rPr>
          <w:rFonts w:eastAsia="宋体" w:cs="Times New Roman"/>
          <w:color w:val="auto"/>
          <w:szCs w:val="24"/>
          <w:highlight w:val="none"/>
          <w:lang w:val="en"/>
        </w:rPr>
      </w:pPr>
      <w:r>
        <w:rPr>
          <w:rFonts w:cs="Times New Roman"/>
          <w:color w:val="auto"/>
          <w:szCs w:val="24"/>
          <w:highlight w:val="none"/>
          <w:shd w:val="clear" w:color="auto" w:fill="FFFFFF"/>
        </w:rPr>
        <w:t>McKinsey (20</w:t>
      </w:r>
      <w:r>
        <w:rPr>
          <w:rFonts w:eastAsia="宋体" w:cs="Times New Roman"/>
          <w:color w:val="auto"/>
          <w:szCs w:val="24"/>
          <w:highlight w:val="none"/>
          <w:shd w:val="clear" w:color="auto" w:fill="FFFFFF"/>
          <w:lang w:val="en-US" w:eastAsia="zh-CN"/>
        </w:rPr>
        <w:t>2</w:t>
      </w:r>
      <w:r>
        <w:rPr>
          <w:rFonts w:cs="Times New Roman"/>
          <w:color w:val="auto"/>
          <w:szCs w:val="24"/>
          <w:highlight w:val="none"/>
          <w:shd w:val="clear" w:color="auto" w:fill="FFFFFF"/>
        </w:rPr>
        <w:t xml:space="preserve">0). The care of one Hyperpersonalization of customer care. </w:t>
      </w:r>
      <w:r>
        <w:rPr>
          <w:rFonts w:eastAsia="宋体" w:cs="Times New Roman"/>
          <w:color w:val="auto"/>
          <w:szCs w:val="24"/>
          <w:highlight w:val="none"/>
          <w:shd w:val="clear" w:color="auto" w:fill="FFFFFF"/>
          <w:lang w:val="en-US" w:eastAsia="zh-CN"/>
        </w:rPr>
        <w:t>Mckinsey Company</w:t>
      </w:r>
      <w:r>
        <w:rPr>
          <w:rFonts w:cs="Times New Roman"/>
          <w:color w:val="auto"/>
          <w:szCs w:val="24"/>
          <w:highlight w:val="none"/>
          <w:shd w:val="clear" w:color="auto" w:fill="FFFFFF"/>
        </w:rPr>
        <w:t xml:space="preserve">. Retrieved from </w:t>
      </w:r>
      <w:r>
        <w:rPr>
          <w:color w:val="auto"/>
          <w:highlight w:val="none"/>
        </w:rPr>
        <w:fldChar w:fldCharType="begin"/>
      </w:r>
      <w:r>
        <w:rPr>
          <w:color w:val="auto"/>
          <w:highlight w:val="none"/>
        </w:rPr>
        <w:instrText xml:space="preserve"> HYPERLINK "https://www.mckinsey.com/capabilities/operations/our-insights/the-care-of-one-hyperpersonalization-of-customer-care" </w:instrText>
      </w:r>
      <w:r>
        <w:rPr>
          <w:color w:val="auto"/>
          <w:highlight w:val="none"/>
        </w:rPr>
        <w:fldChar w:fldCharType="separate"/>
      </w:r>
      <w:r>
        <w:rPr>
          <w:rStyle w:val="16"/>
          <w:rFonts w:cs="Times New Roman"/>
          <w:color w:val="auto"/>
          <w:szCs w:val="24"/>
          <w:highlight w:val="none"/>
          <w:shd w:val="clear" w:color="auto" w:fill="FFFFFF"/>
        </w:rPr>
        <w:t>https://www.mckinsey.com/capabilities/operations/our-insights/the-care-of-one-hyperpersonalization-of-customer-care</w:t>
      </w:r>
      <w:r>
        <w:rPr>
          <w:rStyle w:val="16"/>
          <w:rFonts w:cs="Times New Roman"/>
          <w:color w:val="auto"/>
          <w:szCs w:val="24"/>
          <w:highlight w:val="none"/>
          <w:shd w:val="clear" w:color="auto" w:fill="FFFFFF"/>
        </w:rPr>
        <w:fldChar w:fldCharType="end"/>
      </w:r>
      <w:r>
        <w:rPr>
          <w:rFonts w:cs="Times New Roman"/>
          <w:color w:val="auto"/>
          <w:szCs w:val="24"/>
          <w:highlight w:val="none"/>
          <w:shd w:val="clear" w:color="auto" w:fill="FFFFFF"/>
        </w:rPr>
        <w:t xml:space="preserve"> </w:t>
      </w:r>
      <w:r>
        <w:rPr>
          <w:rFonts w:cs="Times New Roman"/>
          <w:color w:val="auto"/>
          <w:szCs w:val="24"/>
          <w:highlight w:val="none"/>
        </w:rPr>
        <w:t>Accessed 28 February 2023</w:t>
      </w:r>
    </w:p>
    <w:p>
      <w:pPr>
        <w:pStyle w:val="2"/>
        <w:spacing w:line="480" w:lineRule="auto"/>
        <w:ind w:left="480" w:hanging="720"/>
        <w:rPr>
          <w:rFonts w:cs="Times New Roman"/>
          <w:color w:val="auto"/>
          <w:szCs w:val="24"/>
          <w:highlight w:val="none"/>
          <w:shd w:val="clear" w:color="auto" w:fill="FFFFFF"/>
        </w:rPr>
      </w:pPr>
      <w:r>
        <w:rPr>
          <w:rFonts w:cs="Times New Roman"/>
          <w:color w:val="auto"/>
          <w:szCs w:val="24"/>
          <w:highlight w:val="none"/>
        </w:rPr>
        <w:t>Mercer</w:t>
      </w:r>
      <w:r>
        <w:rPr>
          <w:rFonts w:cs="Times New Roman"/>
          <w:color w:val="auto"/>
          <w:szCs w:val="24"/>
          <w:highlight w:val="none"/>
          <w:shd w:val="clear" w:color="auto" w:fill="FFFFFF"/>
        </w:rPr>
        <w:t>, G., 2009. Ford, 1993–2007: Losing Its Way?. </w:t>
      </w:r>
      <w:r>
        <w:rPr>
          <w:rFonts w:cs="Times New Roman"/>
          <w:i/>
          <w:iCs/>
          <w:color w:val="auto"/>
          <w:szCs w:val="24"/>
          <w:highlight w:val="none"/>
          <w:shd w:val="clear" w:color="auto" w:fill="FFFFFF"/>
        </w:rPr>
        <w:t>The Second Automobile Revolution: Trajectories of the World Carmakers in the 21st Century</w:t>
      </w:r>
      <w:r>
        <w:rPr>
          <w:rFonts w:cs="Times New Roman"/>
          <w:color w:val="auto"/>
          <w:szCs w:val="24"/>
          <w:highlight w:val="none"/>
          <w:shd w:val="clear" w:color="auto" w:fill="FFFFFF"/>
        </w:rPr>
        <w:t>, pp.185-205.</w:t>
      </w:r>
    </w:p>
    <w:p>
      <w:pPr>
        <w:autoSpaceDE w:val="0"/>
        <w:autoSpaceDN w:val="0"/>
        <w:adjustRightInd w:val="0"/>
        <w:spacing w:after="200" w:line="480" w:lineRule="auto"/>
        <w:ind w:left="480" w:hanging="720"/>
        <w:rPr>
          <w:rFonts w:cs="Times New Roman"/>
          <w:color w:val="auto"/>
          <w:szCs w:val="24"/>
          <w:highlight w:val="none"/>
        </w:rPr>
      </w:pPr>
      <w:r>
        <w:rPr>
          <w:rFonts w:cs="Times New Roman"/>
          <w:color w:val="auto"/>
          <w:szCs w:val="24"/>
          <w:highlight w:val="none"/>
          <w:lang w:val="en"/>
        </w:rPr>
        <w:t xml:space="preserve">Mich, D., (2019). </w:t>
      </w:r>
      <w:r>
        <w:rPr>
          <w:rFonts w:eastAsia="宋体" w:cs="Times New Roman"/>
          <w:color w:val="auto"/>
          <w:szCs w:val="24"/>
          <w:highlight w:val="none"/>
          <w:lang w:val="en"/>
        </w:rPr>
        <w:t xml:space="preserve">Ford Sharpens Focus on Customer Experience; Expanded Investment, Programs Save Time and Money, Reward Loyalty. </w:t>
      </w:r>
      <w:r>
        <w:rPr>
          <w:rFonts w:cs="Times New Roman"/>
          <w:color w:val="auto"/>
          <w:szCs w:val="24"/>
          <w:highlight w:val="none"/>
          <w:lang w:val="en"/>
        </w:rPr>
        <w:t xml:space="preserve">Retrieved from </w:t>
      </w:r>
      <w:r>
        <w:rPr>
          <w:color w:val="auto"/>
          <w:highlight w:val="none"/>
        </w:rPr>
        <w:fldChar w:fldCharType="begin"/>
      </w:r>
      <w:r>
        <w:rPr>
          <w:color w:val="auto"/>
          <w:highlight w:val="none"/>
        </w:rPr>
        <w:instrText xml:space="preserve"> HYPERLINK "https://media.ford.com/content/fordmedia/fna/us/en/news/2019/05/02/ford-sharpens-focus-on-customer-experience.html%20Accessed%2028%20February%202023" </w:instrText>
      </w:r>
      <w:r>
        <w:rPr>
          <w:color w:val="auto"/>
          <w:highlight w:val="none"/>
        </w:rPr>
        <w:fldChar w:fldCharType="separate"/>
      </w:r>
      <w:r>
        <w:rPr>
          <w:rStyle w:val="16"/>
          <w:rFonts w:eastAsia="宋体" w:cs="Times New Roman"/>
          <w:color w:val="auto"/>
          <w:szCs w:val="24"/>
          <w:highlight w:val="none"/>
          <w:lang w:val="en"/>
        </w:rPr>
        <w:t xml:space="preserve">https://media.ford.com/content/fordmedia/fna/us/en/news/2019/05/02/ford-sharpens-focus-on-customer-experience.html </w:t>
      </w:r>
      <w:r>
        <w:rPr>
          <w:rStyle w:val="16"/>
          <w:rFonts w:cs="Times New Roman"/>
          <w:color w:val="auto"/>
          <w:szCs w:val="24"/>
          <w:highlight w:val="none"/>
          <w:u w:val="none"/>
        </w:rPr>
        <w:t>Accessed 28 February 2023</w:t>
      </w:r>
      <w:r>
        <w:rPr>
          <w:rStyle w:val="16"/>
          <w:rFonts w:cs="Times New Roman"/>
          <w:color w:val="auto"/>
          <w:szCs w:val="24"/>
          <w:highlight w:val="none"/>
          <w:u w:val="none"/>
        </w:rPr>
        <w:fldChar w:fldCharType="end"/>
      </w:r>
    </w:p>
    <w:p>
      <w:pPr>
        <w:pStyle w:val="2"/>
        <w:spacing w:line="480" w:lineRule="auto"/>
        <w:ind w:left="720" w:hanging="720"/>
        <w:rPr>
          <w:rFonts w:cs="Times New Roman"/>
          <w:color w:val="auto"/>
          <w:highlight w:val="none"/>
        </w:rPr>
      </w:pPr>
      <w:r>
        <w:rPr>
          <w:rFonts w:cs="Times New Roman"/>
          <w:color w:val="auto"/>
          <w:highlight w:val="none"/>
        </w:rPr>
        <w:t xml:space="preserve">NLB 2018. Great Recession, great recovery? Trends from the Current Population Survey. Retrieved from </w:t>
      </w:r>
      <w:r>
        <w:rPr>
          <w:color w:val="auto"/>
          <w:highlight w:val="none"/>
        </w:rPr>
        <w:fldChar w:fldCharType="begin"/>
      </w:r>
      <w:r>
        <w:rPr>
          <w:color w:val="auto"/>
          <w:highlight w:val="none"/>
        </w:rPr>
        <w:instrText xml:space="preserve"> HYPERLINK "https://www.bls.gov/opub/mlr/2018/article/great-recession-great-recovery.htm" </w:instrText>
      </w:r>
      <w:r>
        <w:rPr>
          <w:color w:val="auto"/>
          <w:highlight w:val="none"/>
        </w:rPr>
        <w:fldChar w:fldCharType="separate"/>
      </w:r>
      <w:r>
        <w:rPr>
          <w:rStyle w:val="16"/>
          <w:rFonts w:cs="Times New Roman"/>
          <w:color w:val="auto"/>
          <w:highlight w:val="none"/>
        </w:rPr>
        <w:t>https://www.bls.gov/opub/mlr/2018/article/great-recession-great-recovery.htm</w:t>
      </w:r>
      <w:r>
        <w:rPr>
          <w:rStyle w:val="16"/>
          <w:rFonts w:cs="Times New Roman"/>
          <w:color w:val="auto"/>
          <w:highlight w:val="none"/>
        </w:rPr>
        <w:fldChar w:fldCharType="end"/>
      </w:r>
      <w:r>
        <w:rPr>
          <w:rFonts w:cs="Times New Roman"/>
          <w:color w:val="auto"/>
          <w:highlight w:val="none"/>
        </w:rPr>
        <w:t xml:space="preserve"> Accessed 28 February 2023</w:t>
      </w:r>
    </w:p>
    <w:p>
      <w:pPr>
        <w:pStyle w:val="2"/>
        <w:spacing w:line="480" w:lineRule="auto"/>
        <w:ind w:left="720" w:hanging="720"/>
        <w:rPr>
          <w:rFonts w:cs="Times New Roman"/>
          <w:color w:val="auto"/>
          <w:szCs w:val="24"/>
          <w:highlight w:val="none"/>
          <w:shd w:val="clear" w:color="auto" w:fill="FFFFFF"/>
        </w:rPr>
      </w:pPr>
      <w:r>
        <w:rPr>
          <w:rFonts w:cs="Times New Roman"/>
          <w:color w:val="auto"/>
          <w:szCs w:val="24"/>
          <w:highlight w:val="none"/>
        </w:rPr>
        <w:t>Ritchie, H. and Roser</w:t>
      </w:r>
      <w:r>
        <w:rPr>
          <w:rFonts w:cs="Times New Roman"/>
          <w:color w:val="auto"/>
          <w:szCs w:val="24"/>
          <w:highlight w:val="none"/>
          <w:shd w:val="clear" w:color="auto" w:fill="FFFFFF"/>
        </w:rPr>
        <w:t>, M., 2019. Age structure. </w:t>
      </w:r>
      <w:r>
        <w:rPr>
          <w:rFonts w:cs="Times New Roman"/>
          <w:i/>
          <w:iCs/>
          <w:color w:val="auto"/>
          <w:szCs w:val="24"/>
          <w:highlight w:val="none"/>
          <w:shd w:val="clear" w:color="auto" w:fill="FFFFFF"/>
        </w:rPr>
        <w:t>Our World in Data</w:t>
      </w:r>
      <w:r>
        <w:rPr>
          <w:rFonts w:cs="Times New Roman"/>
          <w:color w:val="auto"/>
          <w:szCs w:val="24"/>
          <w:highlight w:val="none"/>
          <w:shd w:val="clear" w:color="auto" w:fill="FFFFFF"/>
        </w:rPr>
        <w:t>.</w:t>
      </w:r>
    </w:p>
    <w:p>
      <w:pPr>
        <w:pStyle w:val="2"/>
        <w:spacing w:line="480" w:lineRule="auto"/>
        <w:ind w:left="720" w:hanging="720"/>
        <w:rPr>
          <w:rFonts w:cs="Times New Roman"/>
          <w:color w:val="auto"/>
          <w:szCs w:val="24"/>
          <w:highlight w:val="none"/>
          <w:shd w:val="clear" w:color="auto" w:fill="FFFFFF"/>
        </w:rPr>
      </w:pPr>
      <w:r>
        <w:rPr>
          <w:rFonts w:cs="Times New Roman"/>
          <w:color w:val="auto"/>
          <w:szCs w:val="24"/>
          <w:highlight w:val="none"/>
          <w:shd w:val="clear" w:color="auto" w:fill="FFFFFF"/>
        </w:rPr>
        <w:t>Roberto, M., Guo, G.C. and Jiang, C.X., 2011. Chang'an Automobile and the Chinese automotive industry. </w:t>
      </w:r>
      <w:r>
        <w:rPr>
          <w:rFonts w:cs="Times New Roman"/>
          <w:i/>
          <w:iCs/>
          <w:color w:val="auto"/>
          <w:szCs w:val="24"/>
          <w:highlight w:val="none"/>
          <w:shd w:val="clear" w:color="auto" w:fill="FFFFFF"/>
        </w:rPr>
        <w:t>Emerald Emerging Markets Case Studies</w:t>
      </w:r>
      <w:r>
        <w:rPr>
          <w:rFonts w:cs="Times New Roman"/>
          <w:color w:val="auto"/>
          <w:szCs w:val="24"/>
          <w:highlight w:val="none"/>
          <w:shd w:val="clear" w:color="auto" w:fill="FFFFFF"/>
        </w:rPr>
        <w:t>, </w:t>
      </w:r>
      <w:r>
        <w:rPr>
          <w:rFonts w:cs="Times New Roman"/>
          <w:i/>
          <w:iCs/>
          <w:color w:val="auto"/>
          <w:szCs w:val="24"/>
          <w:highlight w:val="none"/>
          <w:shd w:val="clear" w:color="auto" w:fill="FFFFFF"/>
        </w:rPr>
        <w:t>1</w:t>
      </w:r>
      <w:r>
        <w:rPr>
          <w:rFonts w:cs="Times New Roman"/>
          <w:color w:val="auto"/>
          <w:szCs w:val="24"/>
          <w:highlight w:val="none"/>
          <w:shd w:val="clear" w:color="auto" w:fill="FFFFFF"/>
        </w:rPr>
        <w:t>(4), pp.1-17.</w:t>
      </w:r>
    </w:p>
    <w:p>
      <w:pPr>
        <w:rPr>
          <w:rFonts w:cs="Times New Roman"/>
          <w:color w:val="auto"/>
          <w:szCs w:val="24"/>
          <w:highlight w:val="none"/>
        </w:rPr>
      </w:pPr>
      <w:r>
        <w:rPr>
          <w:rFonts w:cs="Times New Roman"/>
          <w:color w:val="auto"/>
          <w:szCs w:val="24"/>
          <w:highlight w:val="none"/>
          <w:shd w:val="clear" w:color="auto" w:fill="FFFFFF"/>
        </w:rPr>
        <w:t>Roe, M. J. (2021). Dodge v. Ford: What Happened and Why?. </w:t>
      </w:r>
      <w:r>
        <w:rPr>
          <w:rFonts w:cs="Times New Roman"/>
          <w:i/>
          <w:iCs/>
          <w:color w:val="auto"/>
          <w:szCs w:val="24"/>
          <w:highlight w:val="none"/>
          <w:shd w:val="clear" w:color="auto" w:fill="FFFFFF"/>
        </w:rPr>
        <w:t>Vand. L. Rev.</w:t>
      </w:r>
      <w:r>
        <w:rPr>
          <w:rFonts w:cs="Times New Roman"/>
          <w:color w:val="auto"/>
          <w:szCs w:val="24"/>
          <w:highlight w:val="none"/>
          <w:shd w:val="clear" w:color="auto" w:fill="FFFFFF"/>
        </w:rPr>
        <w:t>, </w:t>
      </w:r>
      <w:r>
        <w:rPr>
          <w:rFonts w:cs="Times New Roman"/>
          <w:i/>
          <w:iCs/>
          <w:color w:val="auto"/>
          <w:szCs w:val="24"/>
          <w:highlight w:val="none"/>
          <w:shd w:val="clear" w:color="auto" w:fill="FFFFFF"/>
        </w:rPr>
        <w:t>74</w:t>
      </w:r>
      <w:r>
        <w:rPr>
          <w:rFonts w:cs="Times New Roman"/>
          <w:color w:val="auto"/>
          <w:szCs w:val="24"/>
          <w:highlight w:val="none"/>
          <w:shd w:val="clear" w:color="auto" w:fill="FFFFFF"/>
        </w:rPr>
        <w:t>, 1755.</w:t>
      </w:r>
    </w:p>
    <w:p>
      <w:pPr>
        <w:spacing w:line="480" w:lineRule="auto"/>
        <w:ind w:left="720" w:hanging="720"/>
        <w:rPr>
          <w:rFonts w:cs="Times New Roman"/>
          <w:color w:val="auto"/>
          <w:szCs w:val="24"/>
          <w:highlight w:val="none"/>
          <w:shd w:val="clear" w:color="auto" w:fill="FFFFFF"/>
        </w:rPr>
      </w:pPr>
      <w:r>
        <w:rPr>
          <w:rFonts w:cs="Times New Roman"/>
          <w:color w:val="auto"/>
          <w:szCs w:val="24"/>
          <w:highlight w:val="none"/>
          <w:shd w:val="clear" w:color="auto" w:fill="FFFFFF"/>
        </w:rPr>
        <w:t>Simons, R. A., Richmond, J., Goldberg, H., &amp; Simons, D. J. (2020). Tastes and preferences and behavioral change in transportation modal choices and car ownership. In </w:t>
      </w:r>
      <w:r>
        <w:rPr>
          <w:rFonts w:cs="Times New Roman"/>
          <w:i/>
          <w:iCs/>
          <w:color w:val="auto"/>
          <w:szCs w:val="24"/>
          <w:highlight w:val="none"/>
          <w:shd w:val="clear" w:color="auto" w:fill="FFFFFF"/>
        </w:rPr>
        <w:t>Driverless Cars, Urban Parking and Land Use</w:t>
      </w:r>
      <w:r>
        <w:rPr>
          <w:rFonts w:cs="Times New Roman"/>
          <w:color w:val="auto"/>
          <w:szCs w:val="24"/>
          <w:highlight w:val="none"/>
          <w:shd w:val="clear" w:color="auto" w:fill="FFFFFF"/>
        </w:rPr>
        <w:t> (pp. 37-55). Routledge.</w:t>
      </w:r>
    </w:p>
    <w:p>
      <w:pPr>
        <w:spacing w:line="480" w:lineRule="auto"/>
        <w:ind w:left="720" w:hanging="720"/>
        <w:rPr>
          <w:rFonts w:cs="Times New Roman"/>
          <w:color w:val="auto"/>
          <w:szCs w:val="24"/>
          <w:highlight w:val="none"/>
          <w:shd w:val="clear" w:color="auto" w:fill="FFFFFF"/>
        </w:rPr>
      </w:pPr>
      <w:r>
        <w:rPr>
          <w:rFonts w:cs="Times New Roman"/>
          <w:color w:val="auto"/>
          <w:szCs w:val="24"/>
          <w:highlight w:val="none"/>
          <w:shd w:val="clear" w:color="auto" w:fill="FFFFFF"/>
        </w:rPr>
        <w:t>Susilo, D. (2019). Macro environment analysis of automotive industry in Indonesia. </w:t>
      </w:r>
      <w:r>
        <w:rPr>
          <w:rFonts w:cs="Times New Roman"/>
          <w:i/>
          <w:iCs/>
          <w:color w:val="auto"/>
          <w:szCs w:val="24"/>
          <w:highlight w:val="none"/>
          <w:shd w:val="clear" w:color="auto" w:fill="FFFFFF"/>
        </w:rPr>
        <w:t>BISE: Jurnal Pendidikan Bisnis dan Ekonomi</w:t>
      </w:r>
      <w:r>
        <w:rPr>
          <w:rFonts w:cs="Times New Roman"/>
          <w:color w:val="auto"/>
          <w:szCs w:val="24"/>
          <w:highlight w:val="none"/>
          <w:shd w:val="clear" w:color="auto" w:fill="FFFFFF"/>
        </w:rPr>
        <w:t>, </w:t>
      </w:r>
      <w:r>
        <w:rPr>
          <w:rFonts w:cs="Times New Roman"/>
          <w:i/>
          <w:iCs/>
          <w:color w:val="auto"/>
          <w:szCs w:val="24"/>
          <w:highlight w:val="none"/>
          <w:shd w:val="clear" w:color="auto" w:fill="FFFFFF"/>
        </w:rPr>
        <w:t>4</w:t>
      </w:r>
      <w:r>
        <w:rPr>
          <w:rFonts w:cs="Times New Roman"/>
          <w:color w:val="auto"/>
          <w:szCs w:val="24"/>
          <w:highlight w:val="none"/>
          <w:shd w:val="clear" w:color="auto" w:fill="FFFFFF"/>
        </w:rPr>
        <w:t>(2), 65-73.</w:t>
      </w:r>
    </w:p>
    <w:p>
      <w:pPr>
        <w:pStyle w:val="2"/>
        <w:spacing w:line="480" w:lineRule="auto"/>
        <w:ind w:left="720" w:hanging="720"/>
        <w:rPr>
          <w:rFonts w:cs="Times New Roman"/>
          <w:color w:val="auto"/>
          <w:szCs w:val="24"/>
          <w:highlight w:val="none"/>
          <w:shd w:val="clear" w:color="auto" w:fill="FFFFFF"/>
        </w:rPr>
      </w:pPr>
      <w:r>
        <w:rPr>
          <w:rFonts w:cs="Times New Roman"/>
          <w:color w:val="auto"/>
          <w:szCs w:val="24"/>
          <w:highlight w:val="none"/>
          <w:shd w:val="clear" w:color="auto" w:fill="FFFFFF"/>
        </w:rPr>
        <w:t>Thun, E., 2018. Innovation at the middle of the pyramid: State policy, market segmentation, and the Chinese automotive sector. </w:t>
      </w:r>
      <w:r>
        <w:rPr>
          <w:rFonts w:cs="Times New Roman"/>
          <w:i/>
          <w:iCs/>
          <w:color w:val="auto"/>
          <w:szCs w:val="24"/>
          <w:highlight w:val="none"/>
          <w:shd w:val="clear" w:color="auto" w:fill="FFFFFF"/>
        </w:rPr>
        <w:t>Technovation</w:t>
      </w:r>
      <w:r>
        <w:rPr>
          <w:rFonts w:cs="Times New Roman"/>
          <w:color w:val="auto"/>
          <w:szCs w:val="24"/>
          <w:highlight w:val="none"/>
          <w:shd w:val="clear" w:color="auto" w:fill="FFFFFF"/>
        </w:rPr>
        <w:t>, </w:t>
      </w:r>
      <w:r>
        <w:rPr>
          <w:rFonts w:cs="Times New Roman"/>
          <w:i/>
          <w:iCs/>
          <w:color w:val="auto"/>
          <w:szCs w:val="24"/>
          <w:highlight w:val="none"/>
          <w:shd w:val="clear" w:color="auto" w:fill="FFFFFF"/>
        </w:rPr>
        <w:t>70</w:t>
      </w:r>
      <w:r>
        <w:rPr>
          <w:rFonts w:cs="Times New Roman"/>
          <w:color w:val="auto"/>
          <w:szCs w:val="24"/>
          <w:highlight w:val="none"/>
          <w:shd w:val="clear" w:color="auto" w:fill="FFFFFF"/>
        </w:rPr>
        <w:t>, pp.7-19.</w:t>
      </w:r>
    </w:p>
    <w:p>
      <w:pPr>
        <w:pStyle w:val="2"/>
        <w:spacing w:line="480" w:lineRule="auto"/>
        <w:ind w:left="720" w:hanging="720"/>
        <w:rPr>
          <w:rFonts w:cs="Times New Roman"/>
          <w:color w:val="auto"/>
          <w:szCs w:val="24"/>
          <w:highlight w:val="none"/>
          <w:shd w:val="clear" w:color="auto" w:fill="FFFFFF"/>
        </w:rPr>
      </w:pPr>
      <w:r>
        <w:rPr>
          <w:rFonts w:cs="Times New Roman"/>
          <w:color w:val="auto"/>
          <w:szCs w:val="24"/>
          <w:highlight w:val="none"/>
          <w:shd w:val="clear" w:color="auto" w:fill="FFFFFF"/>
        </w:rPr>
        <w:t>Wang, S., 2022. Exploring the Sustainability of China’s New Energy Vehicle Development: Fresh Evidence from Population Symbiosis. </w:t>
      </w:r>
      <w:r>
        <w:rPr>
          <w:rFonts w:cs="Times New Roman"/>
          <w:i/>
          <w:iCs/>
          <w:color w:val="auto"/>
          <w:szCs w:val="24"/>
          <w:highlight w:val="none"/>
          <w:shd w:val="clear" w:color="auto" w:fill="FFFFFF"/>
        </w:rPr>
        <w:t>Sustainability</w:t>
      </w:r>
      <w:r>
        <w:rPr>
          <w:rFonts w:cs="Times New Roman"/>
          <w:color w:val="auto"/>
          <w:szCs w:val="24"/>
          <w:highlight w:val="none"/>
          <w:shd w:val="clear" w:color="auto" w:fill="FFFFFF"/>
        </w:rPr>
        <w:t>, </w:t>
      </w:r>
      <w:r>
        <w:rPr>
          <w:rFonts w:cs="Times New Roman"/>
          <w:i/>
          <w:iCs/>
          <w:color w:val="auto"/>
          <w:szCs w:val="24"/>
          <w:highlight w:val="none"/>
          <w:shd w:val="clear" w:color="auto" w:fill="FFFFFF"/>
        </w:rPr>
        <w:t>14</w:t>
      </w:r>
      <w:r>
        <w:rPr>
          <w:rFonts w:cs="Times New Roman"/>
          <w:color w:val="auto"/>
          <w:szCs w:val="24"/>
          <w:highlight w:val="none"/>
          <w:shd w:val="clear" w:color="auto" w:fill="FFFFFF"/>
        </w:rPr>
        <w:t>(17), p.10796.</w:t>
      </w:r>
    </w:p>
    <w:p>
      <w:pPr>
        <w:pStyle w:val="2"/>
        <w:spacing w:line="480" w:lineRule="auto"/>
        <w:ind w:left="720" w:hanging="720"/>
        <w:rPr>
          <w:rFonts w:cs="Times New Roman"/>
          <w:color w:val="auto"/>
          <w:szCs w:val="24"/>
          <w:highlight w:val="none"/>
          <w:shd w:val="clear" w:color="auto" w:fill="FFFFFF"/>
        </w:rPr>
      </w:pPr>
      <w:r>
        <w:rPr>
          <w:rFonts w:cs="Times New Roman"/>
          <w:color w:val="auto"/>
          <w:szCs w:val="24"/>
          <w:highlight w:val="none"/>
          <w:shd w:val="clear" w:color="auto" w:fill="FFFFFF"/>
        </w:rPr>
        <w:t>Whitby, R.D., 2020. Automotive Trends in Asia. In </w:t>
      </w:r>
      <w:r>
        <w:rPr>
          <w:rFonts w:cs="Times New Roman"/>
          <w:i/>
          <w:iCs/>
          <w:color w:val="auto"/>
          <w:szCs w:val="24"/>
          <w:highlight w:val="none"/>
          <w:shd w:val="clear" w:color="auto" w:fill="FFFFFF"/>
        </w:rPr>
        <w:t>Synthetics, Mineral Oils, and Bio-Based Lubricants</w:t>
      </w:r>
      <w:r>
        <w:rPr>
          <w:rFonts w:cs="Times New Roman"/>
          <w:color w:val="auto"/>
          <w:szCs w:val="24"/>
          <w:highlight w:val="none"/>
          <w:shd w:val="clear" w:color="auto" w:fill="FFFFFF"/>
        </w:rPr>
        <w:t> (pp. 973-1002). CRC Press.</w:t>
      </w:r>
    </w:p>
    <w:p>
      <w:pPr>
        <w:autoSpaceDE w:val="0"/>
        <w:autoSpaceDN w:val="0"/>
        <w:adjustRightInd w:val="0"/>
        <w:spacing w:after="200" w:line="480" w:lineRule="auto"/>
        <w:ind w:left="720" w:hanging="720"/>
        <w:rPr>
          <w:rFonts w:cs="Times New Roman"/>
          <w:color w:val="auto"/>
          <w:szCs w:val="24"/>
          <w:highlight w:val="none"/>
        </w:rPr>
      </w:pPr>
      <w:r>
        <w:rPr>
          <w:rFonts w:cs="Times New Roman"/>
          <w:color w:val="auto"/>
          <w:szCs w:val="24"/>
          <w:highlight w:val="none"/>
          <w:lang w:val="en"/>
        </w:rPr>
        <w:t xml:space="preserve">William, M., (2021). </w:t>
      </w:r>
      <w:r>
        <w:rPr>
          <w:rFonts w:eastAsia="宋体" w:cs="Times New Roman"/>
          <w:color w:val="auto"/>
          <w:szCs w:val="24"/>
          <w:highlight w:val="none"/>
          <w:lang w:val="en"/>
        </w:rPr>
        <w:t xml:space="preserve">Ford to end car production in India after decade of loss. </w:t>
      </w:r>
      <w:r>
        <w:rPr>
          <w:rFonts w:cs="Times New Roman"/>
          <w:color w:val="auto"/>
          <w:szCs w:val="24"/>
          <w:highlight w:val="none"/>
          <w:lang w:val="en"/>
        </w:rPr>
        <w:t xml:space="preserve">Retrieved from </w:t>
      </w:r>
      <w:r>
        <w:rPr>
          <w:color w:val="auto"/>
          <w:highlight w:val="none"/>
        </w:rPr>
        <w:fldChar w:fldCharType="begin"/>
      </w:r>
      <w:r>
        <w:rPr>
          <w:color w:val="auto"/>
          <w:highlight w:val="none"/>
        </w:rPr>
        <w:instrText xml:space="preserve"> HYPERLINK "https://www.automotivelogistics.media/ford/ford-to-end-car-production-in-india-after-decade-of-loss/42277.article%20Accessed%2028%20February%202023" </w:instrText>
      </w:r>
      <w:r>
        <w:rPr>
          <w:color w:val="auto"/>
          <w:highlight w:val="none"/>
        </w:rPr>
        <w:fldChar w:fldCharType="separate"/>
      </w:r>
      <w:r>
        <w:rPr>
          <w:rStyle w:val="16"/>
          <w:rFonts w:eastAsia="宋体" w:cs="Times New Roman"/>
          <w:color w:val="auto"/>
          <w:szCs w:val="24"/>
          <w:highlight w:val="none"/>
          <w:lang w:val="en"/>
        </w:rPr>
        <w:t xml:space="preserve">https://www.automotivelogistics.media/ford/ford-to-end-car-production-in-india-after-decade-of-loss/42277.article </w:t>
      </w:r>
      <w:r>
        <w:rPr>
          <w:rStyle w:val="16"/>
          <w:rFonts w:cs="Times New Roman"/>
          <w:color w:val="auto"/>
          <w:szCs w:val="24"/>
          <w:highlight w:val="none"/>
        </w:rPr>
        <w:t>Accessed 28 February 2023</w:t>
      </w:r>
      <w:r>
        <w:rPr>
          <w:rStyle w:val="16"/>
          <w:rFonts w:cs="Times New Roman"/>
          <w:color w:val="auto"/>
          <w:szCs w:val="24"/>
          <w:highlight w:val="none"/>
        </w:rPr>
        <w:fldChar w:fldCharType="end"/>
      </w:r>
    </w:p>
    <w:p>
      <w:pPr>
        <w:pStyle w:val="13"/>
        <w:spacing w:beforeAutospacing="0" w:after="240" w:afterAutospacing="0" w:line="480" w:lineRule="auto"/>
        <w:ind w:left="720" w:hanging="720"/>
        <w:rPr>
          <w:szCs w:val="24"/>
        </w:rPr>
      </w:pPr>
    </w:p>
    <w:p>
      <w:pPr>
        <w:pStyle w:val="2"/>
        <w:spacing w:line="480" w:lineRule="auto"/>
        <w:rPr>
          <w:rFonts w:cs="Times New Roman"/>
        </w:rPr>
      </w:pPr>
    </w:p>
    <w:p>
      <w:pPr>
        <w:pStyle w:val="2"/>
        <w:spacing w:after="0" w:line="480" w:lineRule="auto"/>
        <w:ind w:left="480" w:hanging="480" w:hangingChars="200"/>
        <w:contextualSpacing/>
        <w:rPr>
          <w:rFonts w:cs="Times New Roman"/>
          <w:szCs w:val="24"/>
          <w:lang w:val="en-US" w:eastAsia="zh-CN"/>
        </w:rPr>
      </w:pPr>
    </w:p>
    <w:sectPr>
      <w:pgSz w:w="11906" w:h="16838"/>
      <w:pgMar w:top="1440" w:right="1440" w:bottom="1440" w:left="1440" w:header="708" w:footer="708" w:gutter="0"/>
      <w:pgNumType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0"/>
    <w:family w:val="roman"/>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 w:name="Courier New">
    <w:panose1 w:val="02070309020205020404"/>
    <w:charset w:val="00"/>
    <w:family w:val="modern"/>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lang w:val="en-US"/>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rPr>
                              <w:rFonts w:cs="Times New Roman"/>
                              <w:sz w:val="24"/>
                              <w:szCs w:val="24"/>
                            </w:rPr>
                          </w:pPr>
                          <w:r>
                            <w:rPr>
                              <w:rFonts w:cs="Times New Roman"/>
                              <w:sz w:val="24"/>
                              <w:szCs w:val="24"/>
                            </w:rPr>
                            <w:fldChar w:fldCharType="begin"/>
                          </w:r>
                          <w:r>
                            <w:rPr>
                              <w:rFonts w:cs="Times New Roman"/>
                              <w:sz w:val="24"/>
                              <w:szCs w:val="24"/>
                            </w:rPr>
                            <w:instrText xml:space="preserve"> PAGE  \* MERGEFORMAT </w:instrText>
                          </w:r>
                          <w:r>
                            <w:rPr>
                              <w:rFonts w:cs="Times New Roman"/>
                              <w:sz w:val="24"/>
                              <w:szCs w:val="24"/>
                            </w:rPr>
                            <w:fldChar w:fldCharType="separate"/>
                          </w:r>
                          <w:r>
                            <w:rPr>
                              <w:rFonts w:cs="Times New Roman"/>
                              <w:sz w:val="24"/>
                              <w:szCs w:val="24"/>
                            </w:rPr>
                            <w:t>23</w:t>
                          </w:r>
                          <w:r>
                            <w:rPr>
                              <w:rFonts w:cs="Times New Roman"/>
                              <w:sz w:val="24"/>
                              <w:szCs w:val="24"/>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0O3bcsAgAAV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PQa5aFrd5ZHqGj&#10;eN6ujgECtrpGUToleq3QbW1l+smI7fznvo16+hssH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">
              <v:fill on="f" focussize="0,0"/>
              <v:stroke on="f" weight="0.5pt"/>
              <v:imagedata o:title=""/>
              <o:lock v:ext="edit" aspectratio="f"/>
              <v:textbox inset="0mm,0mm,0mm,0mm" style="mso-fit-shape-to-text:t;">
                <w:txbxContent>
                  <w:p>
                    <w:pPr>
                      <w:pStyle w:val="8"/>
                      <w:rPr>
                        <w:rFonts w:cs="Times New Roman"/>
                        <w:sz w:val="24"/>
                        <w:szCs w:val="24"/>
                      </w:rPr>
                    </w:pPr>
                    <w:r>
                      <w:rPr>
                        <w:rFonts w:cs="Times New Roman"/>
                        <w:sz w:val="24"/>
                        <w:szCs w:val="24"/>
                      </w:rPr>
                      <w:fldChar w:fldCharType="begin"/>
                    </w:r>
                    <w:r>
                      <w:rPr>
                        <w:rFonts w:cs="Times New Roman"/>
                        <w:sz w:val="24"/>
                        <w:szCs w:val="24"/>
                      </w:rPr>
                      <w:instrText xml:space="preserve"> PAGE  \* MERGEFORMAT </w:instrText>
                    </w:r>
                    <w:r>
                      <w:rPr>
                        <w:rFonts w:cs="Times New Roman"/>
                        <w:sz w:val="24"/>
                        <w:szCs w:val="24"/>
                      </w:rPr>
                      <w:fldChar w:fldCharType="separate"/>
                    </w:r>
                    <w:r>
                      <w:rPr>
                        <w:rFonts w:cs="Times New Roman"/>
                        <w:sz w:val="24"/>
                        <w:szCs w:val="24"/>
                      </w:rPr>
                      <w:t>23</w:t>
                    </w:r>
                    <w:r>
                      <w:rPr>
                        <w:rFonts w:cs="Times New Roman"/>
                        <w:sz w:val="24"/>
                        <w:szCs w:val="24"/>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EB571E0"/>
    <w:multiLevelType w:val="multilevel"/>
    <w:tmpl w:val="3EB571E0"/>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777B04E5"/>
    <w:multiLevelType w:val="multilevel"/>
    <w:tmpl w:val="777B04E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documentProtection w:enforcement="0"/>
  <w:defaultTabStop w:val="720"/>
  <w:noPunctuationKerning w:val="1"/>
  <w:characterSpacingControl w:val="doNotCompress"/>
  <w:footnotePr>
    <w:footnote w:id="0"/>
    <w:footnote w:id="1"/>
  </w:footnotePr>
  <w:endnotePr>
    <w:endnote w:id="0"/>
    <w:endnote w:id="1"/>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IwMzAwMDcyNjY3MjBV0lEKTi0uzszPAykwrgUAecCrlywAAAA="/>
    <w:docVar w:name="commondata" w:val="eyJoZGlkIjoiYWIyNWJkYjdmNzliNTEzOWY4ZTg0YmJjN2VjZjZkOTQifQ=="/>
    <w:docVar w:name="KSO_WPS_MARK_KEY" w:val="308e7125-515e-4c6d-bdac-1f3212952647"/>
  </w:docVars>
  <w:rsids>
    <w:rsidRoot w:val="00042132"/>
    <w:rsid w:val="00006A3A"/>
    <w:rsid w:val="00024884"/>
    <w:rsid w:val="00042132"/>
    <w:rsid w:val="00044F28"/>
    <w:rsid w:val="00050A6B"/>
    <w:rsid w:val="00073142"/>
    <w:rsid w:val="00095541"/>
    <w:rsid w:val="000E3179"/>
    <w:rsid w:val="00112207"/>
    <w:rsid w:val="00153A06"/>
    <w:rsid w:val="00182834"/>
    <w:rsid w:val="001B4BE1"/>
    <w:rsid w:val="001C2CAF"/>
    <w:rsid w:val="001C4BB2"/>
    <w:rsid w:val="00204B14"/>
    <w:rsid w:val="0029277B"/>
    <w:rsid w:val="00345D79"/>
    <w:rsid w:val="003922F9"/>
    <w:rsid w:val="00393528"/>
    <w:rsid w:val="003D7C67"/>
    <w:rsid w:val="003E631C"/>
    <w:rsid w:val="003F310F"/>
    <w:rsid w:val="00400BB3"/>
    <w:rsid w:val="00414B39"/>
    <w:rsid w:val="00433A74"/>
    <w:rsid w:val="004615AD"/>
    <w:rsid w:val="004A716A"/>
    <w:rsid w:val="004A7CC3"/>
    <w:rsid w:val="004F4E4A"/>
    <w:rsid w:val="00542D0B"/>
    <w:rsid w:val="00554E8C"/>
    <w:rsid w:val="005B7499"/>
    <w:rsid w:val="005D55D5"/>
    <w:rsid w:val="0060069D"/>
    <w:rsid w:val="00603C88"/>
    <w:rsid w:val="00617D09"/>
    <w:rsid w:val="006706FD"/>
    <w:rsid w:val="00696FA6"/>
    <w:rsid w:val="006A6C06"/>
    <w:rsid w:val="006A6C27"/>
    <w:rsid w:val="006C092D"/>
    <w:rsid w:val="006C5326"/>
    <w:rsid w:val="006E0E54"/>
    <w:rsid w:val="006F199B"/>
    <w:rsid w:val="0070780E"/>
    <w:rsid w:val="00767F1B"/>
    <w:rsid w:val="00785987"/>
    <w:rsid w:val="00787C8B"/>
    <w:rsid w:val="007B0AB9"/>
    <w:rsid w:val="007D269C"/>
    <w:rsid w:val="007D4D37"/>
    <w:rsid w:val="007F5A0F"/>
    <w:rsid w:val="008900E6"/>
    <w:rsid w:val="008A2699"/>
    <w:rsid w:val="008D6FDF"/>
    <w:rsid w:val="008E1FEE"/>
    <w:rsid w:val="00907785"/>
    <w:rsid w:val="0091157D"/>
    <w:rsid w:val="00933160"/>
    <w:rsid w:val="00961763"/>
    <w:rsid w:val="009A69A7"/>
    <w:rsid w:val="009A6D04"/>
    <w:rsid w:val="009C5E91"/>
    <w:rsid w:val="00AA1BC2"/>
    <w:rsid w:val="00AB1B4A"/>
    <w:rsid w:val="00AF40D7"/>
    <w:rsid w:val="00B561DC"/>
    <w:rsid w:val="00B671E0"/>
    <w:rsid w:val="00BC12F7"/>
    <w:rsid w:val="00C02BD2"/>
    <w:rsid w:val="00C46FFC"/>
    <w:rsid w:val="00C72D01"/>
    <w:rsid w:val="00CB6DE5"/>
    <w:rsid w:val="00CE2AEB"/>
    <w:rsid w:val="00CE60F7"/>
    <w:rsid w:val="00CF21DE"/>
    <w:rsid w:val="00D57827"/>
    <w:rsid w:val="00D97C9B"/>
    <w:rsid w:val="00DD6C8C"/>
    <w:rsid w:val="00DE723F"/>
    <w:rsid w:val="00E21937"/>
    <w:rsid w:val="00E27D4E"/>
    <w:rsid w:val="00E73C56"/>
    <w:rsid w:val="00E74E1A"/>
    <w:rsid w:val="00EE176A"/>
    <w:rsid w:val="00F149E5"/>
    <w:rsid w:val="00F23B5C"/>
    <w:rsid w:val="00F5743D"/>
    <w:rsid w:val="00FA2989"/>
    <w:rsid w:val="00FA549B"/>
    <w:rsid w:val="01384511"/>
    <w:rsid w:val="025A2CBA"/>
    <w:rsid w:val="04025BED"/>
    <w:rsid w:val="06296EB4"/>
    <w:rsid w:val="066E7A48"/>
    <w:rsid w:val="07EA6810"/>
    <w:rsid w:val="08F05ECB"/>
    <w:rsid w:val="0CD13151"/>
    <w:rsid w:val="0D364341"/>
    <w:rsid w:val="0D930259"/>
    <w:rsid w:val="0E710DAC"/>
    <w:rsid w:val="0F9E6EB3"/>
    <w:rsid w:val="101319D6"/>
    <w:rsid w:val="10426FF1"/>
    <w:rsid w:val="1049590D"/>
    <w:rsid w:val="111D7584"/>
    <w:rsid w:val="114809B7"/>
    <w:rsid w:val="134C29E0"/>
    <w:rsid w:val="15790626"/>
    <w:rsid w:val="15C915AD"/>
    <w:rsid w:val="16864E63"/>
    <w:rsid w:val="17C35773"/>
    <w:rsid w:val="18F27B86"/>
    <w:rsid w:val="1A302E2B"/>
    <w:rsid w:val="1B90327A"/>
    <w:rsid w:val="1D9C4C7C"/>
    <w:rsid w:val="1F596DE3"/>
    <w:rsid w:val="1FB52CFE"/>
    <w:rsid w:val="236944B9"/>
    <w:rsid w:val="249C273C"/>
    <w:rsid w:val="25B12B88"/>
    <w:rsid w:val="25F837E0"/>
    <w:rsid w:val="27CC3C98"/>
    <w:rsid w:val="2BBE47D0"/>
    <w:rsid w:val="2DD44BB7"/>
    <w:rsid w:val="348339DB"/>
    <w:rsid w:val="36C6306A"/>
    <w:rsid w:val="386B19DC"/>
    <w:rsid w:val="39243934"/>
    <w:rsid w:val="3C7324DC"/>
    <w:rsid w:val="3CFA00E5"/>
    <w:rsid w:val="3F8F1F95"/>
    <w:rsid w:val="41727207"/>
    <w:rsid w:val="418B48FE"/>
    <w:rsid w:val="43BE3CB6"/>
    <w:rsid w:val="458E360A"/>
    <w:rsid w:val="4987340E"/>
    <w:rsid w:val="4C447F29"/>
    <w:rsid w:val="4CAE46E6"/>
    <w:rsid w:val="4FFB5869"/>
    <w:rsid w:val="51422751"/>
    <w:rsid w:val="526A1003"/>
    <w:rsid w:val="52CE58C4"/>
    <w:rsid w:val="534F66DC"/>
    <w:rsid w:val="54CC1BD2"/>
    <w:rsid w:val="57117B3E"/>
    <w:rsid w:val="585E17C6"/>
    <w:rsid w:val="5BE30FD5"/>
    <w:rsid w:val="5D832C2F"/>
    <w:rsid w:val="5FEF62DC"/>
    <w:rsid w:val="60917218"/>
    <w:rsid w:val="63A32756"/>
    <w:rsid w:val="651009BE"/>
    <w:rsid w:val="661D0C3C"/>
    <w:rsid w:val="66246472"/>
    <w:rsid w:val="66323487"/>
    <w:rsid w:val="6807566D"/>
    <w:rsid w:val="6A772D03"/>
    <w:rsid w:val="6A845731"/>
    <w:rsid w:val="6BF44EAF"/>
    <w:rsid w:val="6C0E1B01"/>
    <w:rsid w:val="6DED1CA3"/>
    <w:rsid w:val="709D3FA2"/>
    <w:rsid w:val="72E509D8"/>
    <w:rsid w:val="74124FE8"/>
    <w:rsid w:val="744B55A6"/>
    <w:rsid w:val="74911BBA"/>
    <w:rsid w:val="755320C7"/>
    <w:rsid w:val="75E1612D"/>
    <w:rsid w:val="76454905"/>
    <w:rsid w:val="77B61176"/>
    <w:rsid w:val="77E43CB3"/>
    <w:rsid w:val="79EF0BCC"/>
    <w:rsid w:val="7C8A76B4"/>
    <w:rsid w:val="7D2452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imes New Roman" w:hAnsi="Times New Roman" w:eastAsiaTheme="minorHAnsi" w:cstheme="minorBidi"/>
      <w:sz w:val="24"/>
      <w:szCs w:val="22"/>
      <w:lang w:val="en-GB" w:eastAsia="en-US" w:bidi="ar-SA"/>
    </w:rPr>
  </w:style>
  <w:style w:type="paragraph" w:styleId="3">
    <w:name w:val="heading 1"/>
    <w:basedOn w:val="1"/>
    <w:next w:val="1"/>
    <w:link w:val="19"/>
    <w:qFormat/>
    <w:uiPriority w:val="9"/>
    <w:pPr>
      <w:keepNext/>
      <w:keepLines/>
      <w:spacing w:before="240" w:after="0"/>
      <w:outlineLvl w:val="0"/>
    </w:pPr>
    <w:rPr>
      <w:rFonts w:eastAsiaTheme="majorEastAsia" w:cstheme="majorBidi"/>
      <w:b/>
      <w:sz w:val="28"/>
      <w:szCs w:val="32"/>
    </w:rPr>
  </w:style>
  <w:style w:type="paragraph" w:styleId="4">
    <w:name w:val="heading 2"/>
    <w:basedOn w:val="1"/>
    <w:next w:val="1"/>
    <w:link w:val="20"/>
    <w:unhideWhenUsed/>
    <w:qFormat/>
    <w:uiPriority w:val="9"/>
    <w:pPr>
      <w:keepNext/>
      <w:keepLines/>
      <w:spacing w:before="40" w:after="0"/>
      <w:outlineLvl w:val="1"/>
    </w:pPr>
    <w:rPr>
      <w:rFonts w:eastAsiaTheme="majorEastAsia" w:cstheme="majorBidi"/>
      <w:b/>
      <w:sz w:val="26"/>
      <w:szCs w:val="26"/>
    </w:rPr>
  </w:style>
  <w:style w:type="paragraph" w:styleId="5">
    <w:name w:val="heading 3"/>
    <w:basedOn w:val="1"/>
    <w:next w:val="1"/>
    <w:link w:val="21"/>
    <w:unhideWhenUsed/>
    <w:qFormat/>
    <w:uiPriority w:val="9"/>
    <w:pPr>
      <w:keepNext/>
      <w:keepLines/>
      <w:spacing w:before="40" w:after="0"/>
      <w:outlineLvl w:val="2"/>
    </w:pPr>
    <w:rPr>
      <w:rFonts w:eastAsiaTheme="majorEastAsia" w:cstheme="majorBidi"/>
      <w:b/>
      <w:szCs w:val="24"/>
    </w:rPr>
  </w:style>
  <w:style w:type="character" w:default="1" w:styleId="15">
    <w:name w:val="Default Paragraph Font"/>
    <w:semiHidden/>
    <w:unhideWhenUsed/>
    <w:qFormat/>
    <w:uiPriority w:val="1"/>
  </w:style>
  <w:style w:type="table" w:default="1" w:styleId="14">
    <w:name w:val="Normal Table"/>
    <w:semiHidden/>
    <w:unhideWhenUsed/>
    <w:qFormat/>
    <w:uiPriority w:val="99"/>
    <w:tblPr>
      <w:tblCellMar>
        <w:top w:w="0" w:type="dxa"/>
        <w:left w:w="108" w:type="dxa"/>
        <w:bottom w:w="0" w:type="dxa"/>
        <w:right w:w="108" w:type="dxa"/>
      </w:tblCellMar>
    </w:tblPr>
  </w:style>
  <w:style w:type="paragraph" w:styleId="2">
    <w:name w:val="Body Text"/>
    <w:basedOn w:val="1"/>
    <w:link w:val="17"/>
    <w:unhideWhenUsed/>
    <w:qFormat/>
    <w:uiPriority w:val="99"/>
    <w:pPr>
      <w:spacing w:after="120"/>
    </w:pPr>
  </w:style>
  <w:style w:type="paragraph" w:styleId="6">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7">
    <w:name w:val="toc 3"/>
    <w:basedOn w:val="1"/>
    <w:next w:val="1"/>
    <w:unhideWhenUsed/>
    <w:uiPriority w:val="39"/>
    <w:pPr>
      <w:spacing w:after="100"/>
      <w:ind w:left="440"/>
    </w:pPr>
  </w:style>
  <w:style w:type="paragraph" w:styleId="8">
    <w:name w:val="footer"/>
    <w:basedOn w:val="1"/>
    <w:unhideWhenUsed/>
    <w:uiPriority w:val="99"/>
    <w:pPr>
      <w:tabs>
        <w:tab w:val="center" w:pos="4153"/>
        <w:tab w:val="right" w:pos="8306"/>
      </w:tabs>
      <w:snapToGrid w:val="0"/>
    </w:pPr>
    <w:rPr>
      <w:sz w:val="18"/>
    </w:rPr>
  </w:style>
  <w:style w:type="paragraph" w:styleId="9">
    <w:name w:val="header"/>
    <w:basedOn w:val="1"/>
    <w:link w:val="18"/>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pPr>
    <w:rPr>
      <w:sz w:val="18"/>
    </w:rPr>
  </w:style>
  <w:style w:type="paragraph" w:styleId="10">
    <w:name w:val="toc 1"/>
    <w:basedOn w:val="1"/>
    <w:next w:val="1"/>
    <w:unhideWhenUsed/>
    <w:uiPriority w:val="39"/>
    <w:pPr>
      <w:spacing w:after="100"/>
    </w:pPr>
  </w:style>
  <w:style w:type="paragraph" w:styleId="11">
    <w:name w:val="table of figures"/>
    <w:basedOn w:val="1"/>
    <w:next w:val="1"/>
    <w:unhideWhenUsed/>
    <w:qFormat/>
    <w:uiPriority w:val="99"/>
    <w:pPr>
      <w:spacing w:after="0"/>
    </w:pPr>
  </w:style>
  <w:style w:type="paragraph" w:styleId="12">
    <w:name w:val="toc 2"/>
    <w:basedOn w:val="1"/>
    <w:next w:val="1"/>
    <w:unhideWhenUsed/>
    <w:qFormat/>
    <w:uiPriority w:val="39"/>
    <w:pPr>
      <w:spacing w:after="100"/>
      <w:ind w:left="220"/>
    </w:pPr>
  </w:style>
  <w:style w:type="paragraph" w:styleId="13">
    <w:name w:val="Normal (Web)"/>
    <w:basedOn w:val="1"/>
    <w:semiHidden/>
    <w:unhideWhenUsed/>
    <w:qFormat/>
    <w:uiPriority w:val="99"/>
    <w:pPr>
      <w:spacing w:beforeAutospacing="1" w:after="0" w:afterAutospacing="1"/>
    </w:pPr>
    <w:rPr>
      <w:rFonts w:cs="Times New Roman"/>
      <w:lang w:val="en-US" w:eastAsia="zh-CN"/>
    </w:rPr>
  </w:style>
  <w:style w:type="character" w:styleId="16">
    <w:name w:val="Hyperlink"/>
    <w:basedOn w:val="15"/>
    <w:unhideWhenUsed/>
    <w:uiPriority w:val="99"/>
    <w:rPr>
      <w:color w:val="0563C1" w:themeColor="hyperlink"/>
      <w:u w:val="single"/>
      <w14:textFill>
        <w14:solidFill>
          <w14:schemeClr w14:val="hlink"/>
        </w14:solidFill>
      </w14:textFill>
    </w:rPr>
  </w:style>
  <w:style w:type="character" w:customStyle="1" w:styleId="17">
    <w:name w:val="Body Text Char"/>
    <w:basedOn w:val="15"/>
    <w:link w:val="2"/>
    <w:qFormat/>
    <w:uiPriority w:val="99"/>
    <w:rPr>
      <w:rFonts w:asciiTheme="minorHAnsi" w:hAnsiTheme="minorHAnsi" w:eastAsiaTheme="minorHAnsi" w:cstheme="minorBidi"/>
      <w:sz w:val="22"/>
      <w:szCs w:val="22"/>
      <w:lang w:val="en-GB"/>
    </w:rPr>
  </w:style>
  <w:style w:type="character" w:customStyle="1" w:styleId="18">
    <w:name w:val="Header Char"/>
    <w:basedOn w:val="15"/>
    <w:link w:val="9"/>
    <w:uiPriority w:val="99"/>
    <w:rPr>
      <w:rFonts w:asciiTheme="minorHAnsi" w:hAnsiTheme="minorHAnsi" w:eastAsiaTheme="minorHAnsi" w:cstheme="minorBidi"/>
      <w:sz w:val="18"/>
      <w:szCs w:val="22"/>
      <w:lang w:val="en-GB"/>
    </w:rPr>
  </w:style>
  <w:style w:type="character" w:customStyle="1" w:styleId="19">
    <w:name w:val="Heading 1 Char"/>
    <w:basedOn w:val="15"/>
    <w:link w:val="3"/>
    <w:uiPriority w:val="9"/>
    <w:rPr>
      <w:rFonts w:eastAsiaTheme="majorEastAsia" w:cstheme="majorBidi"/>
      <w:b/>
      <w:sz w:val="28"/>
      <w:szCs w:val="32"/>
      <w:lang w:val="en-GB"/>
    </w:rPr>
  </w:style>
  <w:style w:type="character" w:customStyle="1" w:styleId="20">
    <w:name w:val="Heading 2 Char"/>
    <w:basedOn w:val="15"/>
    <w:link w:val="4"/>
    <w:uiPriority w:val="9"/>
    <w:rPr>
      <w:rFonts w:eastAsiaTheme="majorEastAsia" w:cstheme="majorBidi"/>
      <w:b/>
      <w:sz w:val="26"/>
      <w:szCs w:val="26"/>
      <w:lang w:val="en-GB"/>
    </w:rPr>
  </w:style>
  <w:style w:type="character" w:customStyle="1" w:styleId="21">
    <w:name w:val="Heading 3 Char"/>
    <w:basedOn w:val="15"/>
    <w:link w:val="5"/>
    <w:qFormat/>
    <w:uiPriority w:val="9"/>
    <w:rPr>
      <w:rFonts w:eastAsiaTheme="majorEastAsia" w:cstheme="majorBidi"/>
      <w:b/>
      <w:sz w:val="24"/>
      <w:szCs w:val="24"/>
      <w:lang w:val="en-GB"/>
    </w:rPr>
  </w:style>
  <w:style w:type="paragraph" w:customStyle="1" w:styleId="22">
    <w:name w:val="TOC Heading"/>
    <w:basedOn w:val="3"/>
    <w:next w:val="1"/>
    <w:unhideWhenUsed/>
    <w:qFormat/>
    <w:uiPriority w:val="39"/>
    <w:pPr>
      <w:outlineLvl w:val="9"/>
    </w:pPr>
    <w:rPr>
      <w:lang w:val="en-US"/>
    </w:rPr>
  </w:style>
  <w:style w:type="paragraph" w:styleId="23">
    <w:name w:val="List Paragraph"/>
    <w:basedOn w:val="1"/>
    <w:uiPriority w:val="99"/>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2.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AB34C67-16C6-448F-BA9A-9784571F099F}">
  <ds:schemaRefs/>
</ds:datastoreItem>
</file>

<file path=docProps/app.xml><?xml version="1.0" encoding="utf-8"?>
<Properties xmlns="http://schemas.openxmlformats.org/officeDocument/2006/extended-properties" xmlns:vt="http://schemas.openxmlformats.org/officeDocument/2006/docPropsVTypes">
  <Template>Normal</Template>
  <Pages>29</Pages>
  <Words>6248</Words>
  <Characters>35620</Characters>
  <Lines>318</Lines>
  <Paragraphs>89</Paragraphs>
  <TotalTime>46</TotalTime>
  <ScaleCrop>false</ScaleCrop>
  <LinksUpToDate>false</LinksUpToDate>
  <CharactersWithSpaces>41792</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2023-03-07T05:55:00Z</dcterms:created>
  <dc:creator>Davina Evans</dc:creator>
  <cp:lastModifiedBy>Harrrr</cp:lastModifiedBy>
  <dcterms:modified xsi:type="dcterms:W3CDTF">2023-04-27T08:46:53Z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16360FEA5AFF4FD79000EEC0F4008B0D_13</vt:lpwstr>
  </property>
</Properties>
</file>