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E084CF" w14:textId="77777777" w:rsidR="004877C6" w:rsidRDefault="004877C6" w:rsidP="004877C6">
      <w:pPr>
        <w:pStyle w:val="ListParagraph"/>
        <w:rPr>
          <w:lang w:val="en-GB"/>
        </w:rPr>
      </w:pPr>
    </w:p>
    <w:p w14:paraId="516F05CF" w14:textId="77777777" w:rsidR="004877C6" w:rsidRDefault="004877C6" w:rsidP="004877C6">
      <w:pPr>
        <w:pStyle w:val="ListParagraph"/>
        <w:rPr>
          <w:lang w:val="en-GB"/>
        </w:rPr>
      </w:pPr>
    </w:p>
    <w:p w14:paraId="5B6256FB" w14:textId="77777777" w:rsidR="004877C6" w:rsidRDefault="004877C6" w:rsidP="004877C6">
      <w:pPr>
        <w:pStyle w:val="ListParagraph"/>
        <w:rPr>
          <w:lang w:val="en-GB"/>
        </w:rPr>
      </w:pPr>
    </w:p>
    <w:p w14:paraId="14200399" w14:textId="5E1293E8" w:rsidR="004877C6" w:rsidRPr="004877C6" w:rsidRDefault="00476FBD" w:rsidP="004877C6">
      <w:pPr>
        <w:pStyle w:val="ListParagraph"/>
        <w:rPr>
          <w:b/>
          <w:bCs/>
        </w:rPr>
      </w:pPr>
      <w:r w:rsidRPr="00476FBD">
        <w:rPr>
          <w:lang w:val="en-GB"/>
        </w:rPr>
        <w:t>Student Name:</w:t>
      </w:r>
      <w:r w:rsidRPr="00476FBD">
        <w:rPr>
          <w:lang w:val="en-GB"/>
        </w:rPr>
        <w:tab/>
      </w:r>
      <w:r w:rsidRPr="004877C6">
        <w:rPr>
          <w:b/>
          <w:bCs/>
        </w:rPr>
        <w:t>Abeer Abdelmagid</w:t>
      </w:r>
    </w:p>
    <w:p w14:paraId="1A2BBD8C" w14:textId="070E4671" w:rsidR="00476FBD" w:rsidRPr="004877C6" w:rsidRDefault="00476FBD" w:rsidP="004877C6">
      <w:pPr>
        <w:pStyle w:val="ListParagraph"/>
        <w:rPr>
          <w:b/>
          <w:bCs/>
        </w:rPr>
      </w:pPr>
      <w:r w:rsidRPr="00476FBD">
        <w:rPr>
          <w:lang w:val="en-GB"/>
        </w:rPr>
        <w:t>Student ID:</w:t>
      </w:r>
      <w:r w:rsidRPr="00476FBD">
        <w:rPr>
          <w:lang w:val="en-GB"/>
        </w:rPr>
        <w:tab/>
      </w:r>
      <w:r w:rsidR="004877C6" w:rsidRPr="004877C6">
        <w:rPr>
          <w:b/>
          <w:bCs/>
          <w:lang w:val="en-GB"/>
        </w:rPr>
        <w:t xml:space="preserve">            </w:t>
      </w:r>
      <w:r w:rsidRPr="004877C6">
        <w:rPr>
          <w:b/>
          <w:bCs/>
        </w:rPr>
        <w:t>2440089</w:t>
      </w:r>
    </w:p>
    <w:p w14:paraId="3E5E3B1F" w14:textId="77777777" w:rsidR="00F65773" w:rsidRDefault="00476FBD" w:rsidP="00F65773">
      <w:pPr>
        <w:pStyle w:val="ListParagraph"/>
        <w:rPr>
          <w:rFonts w:ascii="Source Sans Pro" w:hAnsi="Source Sans Pro"/>
          <w:color w:val="242130"/>
          <w:sz w:val="21"/>
          <w:szCs w:val="21"/>
          <w:shd w:val="clear" w:color="auto" w:fill="FFFFFF"/>
        </w:rPr>
      </w:pPr>
      <w:r w:rsidRPr="00476FBD">
        <w:rPr>
          <w:lang w:val="en-GB"/>
        </w:rPr>
        <w:t xml:space="preserve">Lecturer’s Name:  </w:t>
      </w:r>
      <w:r w:rsidR="004877C6">
        <w:rPr>
          <w:lang w:val="en-GB"/>
        </w:rPr>
        <w:t xml:space="preserve">      </w:t>
      </w:r>
      <w:r w:rsidR="00F65773" w:rsidRPr="00F65773">
        <w:rPr>
          <w:b/>
          <w:bCs/>
          <w:lang w:val="en-GB"/>
        </w:rPr>
        <w:t>Samson Oladejo</w:t>
      </w:r>
    </w:p>
    <w:p w14:paraId="6A9E38E6" w14:textId="77777777" w:rsidR="00F65773" w:rsidRDefault="00476FBD" w:rsidP="00F65773">
      <w:pPr>
        <w:pStyle w:val="ListParagraph"/>
        <w:rPr>
          <w:b/>
          <w:bCs/>
          <w:lang w:val="en-GB"/>
        </w:rPr>
      </w:pPr>
      <w:r w:rsidRPr="00476FBD">
        <w:rPr>
          <w:lang w:val="en-GB"/>
        </w:rPr>
        <w:t xml:space="preserve">Module Code: </w:t>
      </w:r>
      <w:r w:rsidRPr="00476FBD">
        <w:rPr>
          <w:lang w:val="en-GB"/>
        </w:rPr>
        <w:tab/>
        <w:t xml:space="preserve"> </w:t>
      </w:r>
      <w:r w:rsidR="004877C6">
        <w:rPr>
          <w:lang w:val="en-GB"/>
        </w:rPr>
        <w:t xml:space="preserve">           </w:t>
      </w:r>
      <w:r w:rsidRPr="004877C6">
        <w:rPr>
          <w:b/>
          <w:bCs/>
          <w:lang w:val="en-GB"/>
        </w:rPr>
        <w:t>LCLM500</w:t>
      </w:r>
      <w:r w:rsidR="00F65773">
        <w:rPr>
          <w:b/>
          <w:bCs/>
          <w:lang w:val="en-GB"/>
        </w:rPr>
        <w:t>2</w:t>
      </w:r>
    </w:p>
    <w:p w14:paraId="131CF8A2" w14:textId="46529EAD" w:rsidR="00F65773" w:rsidRPr="00E23558" w:rsidRDefault="00476FBD" w:rsidP="00F65773">
      <w:pPr>
        <w:pStyle w:val="ListParagraph"/>
        <w:rPr>
          <w:b/>
          <w:bCs/>
          <w:lang w:val="en-GB"/>
        </w:rPr>
      </w:pPr>
      <w:r w:rsidRPr="00476FBD">
        <w:rPr>
          <w:lang w:val="en-GB"/>
        </w:rPr>
        <w:t xml:space="preserve">Module Name: </w:t>
      </w:r>
      <w:r w:rsidRPr="00476FBD">
        <w:rPr>
          <w:lang w:val="en-GB"/>
        </w:rPr>
        <w:tab/>
      </w:r>
      <w:r w:rsidR="00F65773" w:rsidRPr="00E23558">
        <w:rPr>
          <w:b/>
          <w:bCs/>
          <w:lang w:val="en-GB"/>
        </w:rPr>
        <w:t xml:space="preserve">Developing and Managing Individuals and Teams </w:t>
      </w:r>
    </w:p>
    <w:p w14:paraId="2BF1BBA9" w14:textId="0A82F238" w:rsidR="00476FBD" w:rsidRDefault="004877C6" w:rsidP="004877C6">
      <w:pPr>
        <w:pStyle w:val="ListParagraph"/>
        <w:rPr>
          <w:b/>
          <w:bCs/>
          <w:color w:val="1F3864"/>
          <w:sz w:val="40"/>
          <w:szCs w:val="40"/>
        </w:rPr>
      </w:pPr>
      <w:r w:rsidRPr="00931C50">
        <w:rPr>
          <w:b/>
          <w:bCs/>
        </w:rPr>
        <w:t>  </w:t>
      </w:r>
      <w:r w:rsidRPr="00931C50">
        <w:t> </w:t>
      </w:r>
    </w:p>
    <w:p w14:paraId="631A6D57" w14:textId="77777777" w:rsidR="005F524F" w:rsidRDefault="005F524F" w:rsidP="005F524F">
      <w:pPr>
        <w:pStyle w:val="Title"/>
        <w:rPr>
          <w:sz w:val="32"/>
          <w:szCs w:val="32"/>
        </w:rPr>
      </w:pPr>
    </w:p>
    <w:p w14:paraId="75D3B502" w14:textId="3FDA1B3B" w:rsidR="005F524F" w:rsidRDefault="005F524F" w:rsidP="005F524F">
      <w:pPr>
        <w:pStyle w:val="Title"/>
        <w:rPr>
          <w:sz w:val="32"/>
          <w:szCs w:val="32"/>
        </w:rPr>
      </w:pPr>
    </w:p>
    <w:p w14:paraId="63592DB1" w14:textId="328E011B" w:rsidR="00F65773" w:rsidRPr="002B63D5" w:rsidRDefault="00F65773" w:rsidP="00F65773">
      <w:pPr>
        <w:spacing w:before="2400"/>
        <w:rPr>
          <w:u w:val="single"/>
        </w:rPr>
      </w:pPr>
      <w:r>
        <w:rPr>
          <w:b/>
          <w:bCs/>
          <w:sz w:val="40"/>
          <w:szCs w:val="40"/>
        </w:rPr>
        <w:t xml:space="preserve">      </w:t>
      </w:r>
      <w:r w:rsidRPr="002B63D5">
        <w:rPr>
          <w:b/>
          <w:bCs/>
          <w:sz w:val="40"/>
          <w:szCs w:val="40"/>
          <w:u w:val="single"/>
        </w:rPr>
        <w:t>Contemporary Human Resource Challenges</w:t>
      </w:r>
    </w:p>
    <w:p w14:paraId="6F3ABEAF" w14:textId="77777777" w:rsidR="00F65773" w:rsidRPr="002B63D5" w:rsidRDefault="00F65773" w:rsidP="00F65773">
      <w:pPr>
        <w:spacing w:before="200" w:after="200"/>
        <w:jc w:val="center"/>
        <w:rPr>
          <w:sz w:val="24"/>
          <w:szCs w:val="24"/>
          <w:u w:val="single"/>
        </w:rPr>
      </w:pPr>
      <w:r w:rsidRPr="002B63D5">
        <w:rPr>
          <w:b/>
          <w:bCs/>
          <w:color w:val="2E5395"/>
          <w:sz w:val="24"/>
          <w:szCs w:val="24"/>
          <w:u w:val="single"/>
        </w:rPr>
        <w:t xml:space="preserve">A Report on </w:t>
      </w:r>
      <w:proofErr w:type="spellStart"/>
      <w:r w:rsidRPr="002B63D5">
        <w:rPr>
          <w:b/>
          <w:bCs/>
          <w:color w:val="2E5395"/>
          <w:sz w:val="24"/>
          <w:szCs w:val="24"/>
          <w:u w:val="single"/>
        </w:rPr>
        <w:t>Currys</w:t>
      </w:r>
      <w:proofErr w:type="spellEnd"/>
      <w:r w:rsidRPr="002B63D5">
        <w:rPr>
          <w:b/>
          <w:bCs/>
          <w:color w:val="2E5395"/>
          <w:sz w:val="24"/>
          <w:szCs w:val="24"/>
          <w:u w:val="single"/>
        </w:rPr>
        <w:t xml:space="preserve"> plc</w:t>
      </w:r>
    </w:p>
    <w:p w14:paraId="03AF2716" w14:textId="77777777" w:rsidR="00913558" w:rsidRPr="005F524F" w:rsidRDefault="00913558" w:rsidP="005F524F">
      <w:pPr>
        <w:pStyle w:val="ListParagraph"/>
        <w:jc w:val="center"/>
        <w:rPr>
          <w:b/>
          <w:bCs/>
          <w:u w:val="single"/>
        </w:rPr>
      </w:pPr>
    </w:p>
    <w:p w14:paraId="1A6CEE0C" w14:textId="77777777" w:rsidR="00913558" w:rsidRDefault="00913558" w:rsidP="00913558">
      <w:pPr>
        <w:pStyle w:val="ListParagraph"/>
        <w:rPr>
          <w:b/>
          <w:bCs/>
        </w:rPr>
      </w:pPr>
    </w:p>
    <w:p w14:paraId="56B83FAF" w14:textId="77777777" w:rsidR="00913558" w:rsidRDefault="00913558" w:rsidP="00913558">
      <w:pPr>
        <w:pStyle w:val="ListParagraph"/>
        <w:rPr>
          <w:b/>
          <w:bCs/>
        </w:rPr>
      </w:pPr>
    </w:p>
    <w:p w14:paraId="6610325D" w14:textId="77777777" w:rsidR="00913558" w:rsidRDefault="00913558" w:rsidP="00913558">
      <w:pPr>
        <w:pStyle w:val="ListParagraph"/>
        <w:rPr>
          <w:b/>
          <w:bCs/>
        </w:rPr>
      </w:pPr>
    </w:p>
    <w:p w14:paraId="5692ED8D" w14:textId="77777777" w:rsidR="00913558" w:rsidRDefault="00913558" w:rsidP="00913558">
      <w:pPr>
        <w:pStyle w:val="ListParagraph"/>
        <w:rPr>
          <w:b/>
          <w:bCs/>
        </w:rPr>
      </w:pPr>
    </w:p>
    <w:p w14:paraId="4749381F" w14:textId="77777777" w:rsidR="00913558" w:rsidRDefault="00913558" w:rsidP="00913558">
      <w:pPr>
        <w:pStyle w:val="ListParagraph"/>
        <w:rPr>
          <w:b/>
          <w:bCs/>
        </w:rPr>
      </w:pPr>
    </w:p>
    <w:p w14:paraId="593A452F" w14:textId="77777777" w:rsidR="00913558" w:rsidRDefault="00913558" w:rsidP="00913558">
      <w:pPr>
        <w:pStyle w:val="ListParagraph"/>
        <w:rPr>
          <w:b/>
          <w:bCs/>
        </w:rPr>
      </w:pPr>
    </w:p>
    <w:p w14:paraId="755D1362" w14:textId="77777777" w:rsidR="00913558" w:rsidRDefault="00913558" w:rsidP="00913558">
      <w:pPr>
        <w:pStyle w:val="ListParagraph"/>
        <w:rPr>
          <w:b/>
          <w:bCs/>
        </w:rPr>
      </w:pPr>
    </w:p>
    <w:p w14:paraId="172A52CC" w14:textId="77777777" w:rsidR="00913558" w:rsidRDefault="00913558" w:rsidP="00913558">
      <w:pPr>
        <w:pStyle w:val="ListParagraph"/>
        <w:rPr>
          <w:b/>
          <w:bCs/>
        </w:rPr>
      </w:pPr>
    </w:p>
    <w:p w14:paraId="044ACEBE" w14:textId="77777777" w:rsidR="00913558" w:rsidRDefault="00913558" w:rsidP="00913558">
      <w:pPr>
        <w:pStyle w:val="ListParagraph"/>
        <w:rPr>
          <w:b/>
          <w:bCs/>
        </w:rPr>
      </w:pPr>
    </w:p>
    <w:p w14:paraId="626B8348" w14:textId="77777777" w:rsidR="00913558" w:rsidRDefault="00913558" w:rsidP="00913558">
      <w:pPr>
        <w:pStyle w:val="ListParagraph"/>
        <w:rPr>
          <w:b/>
          <w:bCs/>
        </w:rPr>
      </w:pPr>
    </w:p>
    <w:p w14:paraId="57F6BBFD" w14:textId="77777777" w:rsidR="00913558" w:rsidRDefault="00913558" w:rsidP="00913558">
      <w:pPr>
        <w:pStyle w:val="ListParagraph"/>
        <w:rPr>
          <w:b/>
          <w:bCs/>
        </w:rPr>
      </w:pPr>
    </w:p>
    <w:p w14:paraId="458A87F2" w14:textId="77777777" w:rsidR="00913558" w:rsidRDefault="00913558" w:rsidP="00913558">
      <w:pPr>
        <w:pStyle w:val="ListParagraph"/>
        <w:rPr>
          <w:b/>
          <w:bCs/>
        </w:rPr>
      </w:pPr>
    </w:p>
    <w:p w14:paraId="5DBE714B" w14:textId="77777777" w:rsidR="00913558" w:rsidRDefault="00913558" w:rsidP="00913558">
      <w:pPr>
        <w:pStyle w:val="ListParagraph"/>
        <w:rPr>
          <w:b/>
          <w:bCs/>
        </w:rPr>
      </w:pPr>
    </w:p>
    <w:p w14:paraId="0C58CD33" w14:textId="77777777" w:rsidR="00913558" w:rsidRDefault="00913558" w:rsidP="00913558">
      <w:pPr>
        <w:pStyle w:val="ListParagraph"/>
        <w:rPr>
          <w:b/>
          <w:bCs/>
        </w:rPr>
      </w:pPr>
    </w:p>
    <w:p w14:paraId="28D27936" w14:textId="77777777" w:rsidR="00913558" w:rsidRDefault="00913558" w:rsidP="00913558">
      <w:pPr>
        <w:pStyle w:val="ListParagraph"/>
        <w:rPr>
          <w:b/>
          <w:bCs/>
        </w:rPr>
      </w:pPr>
    </w:p>
    <w:p w14:paraId="7BFF1D99" w14:textId="19D6E941" w:rsidR="009344F4" w:rsidRDefault="009344F4" w:rsidP="00913558">
      <w:pPr>
        <w:pStyle w:val="ListParagraph"/>
        <w:rPr>
          <w:b/>
          <w:bCs/>
        </w:rPr>
      </w:pPr>
    </w:p>
    <w:p w14:paraId="64BF2719" w14:textId="4CCAC014" w:rsidR="00F81DFC" w:rsidRDefault="00F81DFC" w:rsidP="00913558">
      <w:pPr>
        <w:pStyle w:val="ListParagraph"/>
        <w:rPr>
          <w:b/>
          <w:bCs/>
        </w:rPr>
      </w:pPr>
    </w:p>
    <w:p w14:paraId="1937913D" w14:textId="03CBA010" w:rsidR="00F81DFC" w:rsidRDefault="00F81DFC" w:rsidP="00913558">
      <w:pPr>
        <w:pStyle w:val="ListParagraph"/>
        <w:rPr>
          <w:b/>
          <w:bCs/>
        </w:rPr>
      </w:pPr>
    </w:p>
    <w:p w14:paraId="35C8438E" w14:textId="77777777" w:rsidR="00F81DFC" w:rsidRDefault="00F81DFC" w:rsidP="00913558">
      <w:pPr>
        <w:pStyle w:val="ListParagraph"/>
        <w:rPr>
          <w:b/>
          <w:bCs/>
        </w:rPr>
      </w:pPr>
    </w:p>
    <w:sdt>
      <w:sdtPr>
        <w:rPr>
          <w:rFonts w:ascii="Arial" w:eastAsia="Arial" w:hAnsi="Arial" w:cs="Arial"/>
          <w:color w:val="auto"/>
          <w:sz w:val="22"/>
          <w:szCs w:val="22"/>
        </w:rPr>
        <w:id w:val="1828625123"/>
        <w:docPartObj>
          <w:docPartGallery w:val="Table of Contents"/>
          <w:docPartUnique/>
        </w:docPartObj>
      </w:sdtPr>
      <w:sdtEndPr>
        <w:rPr>
          <w:b/>
          <w:bCs/>
          <w:noProof/>
        </w:rPr>
      </w:sdtEndPr>
      <w:sdtContent>
        <w:p w14:paraId="6C3D7484" w14:textId="267D3D8A" w:rsidR="005D60AB" w:rsidRDefault="005D60AB">
          <w:pPr>
            <w:pStyle w:val="TOCHeading"/>
          </w:pPr>
          <w:r>
            <w:t>Contents</w:t>
          </w:r>
        </w:p>
        <w:p w14:paraId="4C654492" w14:textId="17DA1185" w:rsidR="002B63D5" w:rsidRDefault="005D60AB">
          <w:pPr>
            <w:pStyle w:val="TOC1"/>
            <w:tabs>
              <w:tab w:val="right" w:leader="dot" w:pos="9628"/>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235375063" w:history="1">
            <w:r w:rsidR="002B63D5" w:rsidRPr="00AD12AA">
              <w:rPr>
                <w:rStyle w:val="Hyperlink"/>
                <w:noProof/>
              </w:rPr>
              <w:t>Introduction</w:t>
            </w:r>
            <w:r w:rsidR="002B63D5">
              <w:rPr>
                <w:noProof/>
                <w:webHidden/>
              </w:rPr>
              <w:tab/>
            </w:r>
            <w:r w:rsidR="002B63D5">
              <w:rPr>
                <w:noProof/>
                <w:webHidden/>
              </w:rPr>
              <w:fldChar w:fldCharType="begin"/>
            </w:r>
            <w:r w:rsidR="002B63D5">
              <w:rPr>
                <w:noProof/>
                <w:webHidden/>
              </w:rPr>
              <w:instrText xml:space="preserve"> PAGEREF _Toc235375063 \h </w:instrText>
            </w:r>
            <w:r w:rsidR="002B63D5">
              <w:rPr>
                <w:noProof/>
                <w:webHidden/>
              </w:rPr>
            </w:r>
            <w:r w:rsidR="002B63D5">
              <w:rPr>
                <w:noProof/>
                <w:webHidden/>
              </w:rPr>
              <w:fldChar w:fldCharType="separate"/>
            </w:r>
            <w:r w:rsidR="002B63D5">
              <w:rPr>
                <w:noProof/>
                <w:webHidden/>
              </w:rPr>
              <w:t>3</w:t>
            </w:r>
            <w:r w:rsidR="002B63D5">
              <w:rPr>
                <w:noProof/>
                <w:webHidden/>
              </w:rPr>
              <w:fldChar w:fldCharType="end"/>
            </w:r>
          </w:hyperlink>
        </w:p>
        <w:p w14:paraId="64046D4D" w14:textId="424DE033" w:rsidR="002B63D5" w:rsidRDefault="002B63D5">
          <w:pPr>
            <w:pStyle w:val="TOC1"/>
            <w:tabs>
              <w:tab w:val="right" w:leader="dot" w:pos="9628"/>
            </w:tabs>
            <w:rPr>
              <w:rFonts w:asciiTheme="minorHAnsi" w:eastAsiaTheme="minorEastAsia" w:hAnsiTheme="minorHAnsi" w:cstheme="minorBidi"/>
              <w:noProof/>
            </w:rPr>
          </w:pPr>
          <w:hyperlink w:anchor="_Toc235375064" w:history="1">
            <w:r w:rsidRPr="00AD12AA">
              <w:rPr>
                <w:rStyle w:val="Hyperlink"/>
                <w:noProof/>
              </w:rPr>
              <w:t>Explanation of Key Factors</w:t>
            </w:r>
            <w:r>
              <w:rPr>
                <w:noProof/>
                <w:webHidden/>
              </w:rPr>
              <w:tab/>
            </w:r>
            <w:r>
              <w:rPr>
                <w:noProof/>
                <w:webHidden/>
              </w:rPr>
              <w:fldChar w:fldCharType="begin"/>
            </w:r>
            <w:r>
              <w:rPr>
                <w:noProof/>
                <w:webHidden/>
              </w:rPr>
              <w:instrText xml:space="preserve"> PAGEREF _Toc235375064 \h </w:instrText>
            </w:r>
            <w:r>
              <w:rPr>
                <w:noProof/>
                <w:webHidden/>
              </w:rPr>
            </w:r>
            <w:r>
              <w:rPr>
                <w:noProof/>
                <w:webHidden/>
              </w:rPr>
              <w:fldChar w:fldCharType="separate"/>
            </w:r>
            <w:r>
              <w:rPr>
                <w:noProof/>
                <w:webHidden/>
              </w:rPr>
              <w:t>3</w:t>
            </w:r>
            <w:r>
              <w:rPr>
                <w:noProof/>
                <w:webHidden/>
              </w:rPr>
              <w:fldChar w:fldCharType="end"/>
            </w:r>
          </w:hyperlink>
        </w:p>
        <w:p w14:paraId="18E22221" w14:textId="47165A6D" w:rsidR="002B63D5" w:rsidRDefault="002B63D5">
          <w:pPr>
            <w:pStyle w:val="TOC1"/>
            <w:tabs>
              <w:tab w:val="right" w:leader="dot" w:pos="9628"/>
            </w:tabs>
            <w:rPr>
              <w:rFonts w:asciiTheme="minorHAnsi" w:eastAsiaTheme="minorEastAsia" w:hAnsiTheme="minorHAnsi" w:cstheme="minorBidi"/>
              <w:noProof/>
            </w:rPr>
          </w:pPr>
          <w:hyperlink w:anchor="_Toc235375065" w:history="1">
            <w:r w:rsidRPr="00AD12AA">
              <w:rPr>
                <w:rStyle w:val="Hyperlink"/>
                <w:noProof/>
              </w:rPr>
              <w:t>Evaluation of Contemporary HR Practices</w:t>
            </w:r>
            <w:r>
              <w:rPr>
                <w:noProof/>
                <w:webHidden/>
              </w:rPr>
              <w:tab/>
            </w:r>
            <w:r>
              <w:rPr>
                <w:noProof/>
                <w:webHidden/>
              </w:rPr>
              <w:fldChar w:fldCharType="begin"/>
            </w:r>
            <w:r>
              <w:rPr>
                <w:noProof/>
                <w:webHidden/>
              </w:rPr>
              <w:instrText xml:space="preserve"> PAGEREF _Toc235375065 \h </w:instrText>
            </w:r>
            <w:r>
              <w:rPr>
                <w:noProof/>
                <w:webHidden/>
              </w:rPr>
            </w:r>
            <w:r>
              <w:rPr>
                <w:noProof/>
                <w:webHidden/>
              </w:rPr>
              <w:fldChar w:fldCharType="separate"/>
            </w:r>
            <w:r>
              <w:rPr>
                <w:noProof/>
                <w:webHidden/>
              </w:rPr>
              <w:t>4</w:t>
            </w:r>
            <w:r>
              <w:rPr>
                <w:noProof/>
                <w:webHidden/>
              </w:rPr>
              <w:fldChar w:fldCharType="end"/>
            </w:r>
          </w:hyperlink>
        </w:p>
        <w:p w14:paraId="364408D5" w14:textId="6D11A379" w:rsidR="002B63D5" w:rsidRDefault="002B63D5">
          <w:pPr>
            <w:pStyle w:val="TOC1"/>
            <w:tabs>
              <w:tab w:val="right" w:leader="dot" w:pos="9628"/>
            </w:tabs>
            <w:rPr>
              <w:rFonts w:asciiTheme="minorHAnsi" w:eastAsiaTheme="minorEastAsia" w:hAnsiTheme="minorHAnsi" w:cstheme="minorBidi"/>
              <w:noProof/>
            </w:rPr>
          </w:pPr>
          <w:hyperlink w:anchor="_Toc235375066" w:history="1">
            <w:r w:rsidRPr="00AD12AA">
              <w:rPr>
                <w:rStyle w:val="Hyperlink"/>
                <w:noProof/>
              </w:rPr>
              <w:t>Critical Evaluation of Managerial Implementation</w:t>
            </w:r>
            <w:r>
              <w:rPr>
                <w:noProof/>
                <w:webHidden/>
              </w:rPr>
              <w:tab/>
            </w:r>
            <w:r>
              <w:rPr>
                <w:noProof/>
                <w:webHidden/>
              </w:rPr>
              <w:fldChar w:fldCharType="begin"/>
            </w:r>
            <w:r>
              <w:rPr>
                <w:noProof/>
                <w:webHidden/>
              </w:rPr>
              <w:instrText xml:space="preserve"> PAGEREF _Toc235375066 \h </w:instrText>
            </w:r>
            <w:r>
              <w:rPr>
                <w:noProof/>
                <w:webHidden/>
              </w:rPr>
            </w:r>
            <w:r>
              <w:rPr>
                <w:noProof/>
                <w:webHidden/>
              </w:rPr>
              <w:fldChar w:fldCharType="separate"/>
            </w:r>
            <w:r>
              <w:rPr>
                <w:noProof/>
                <w:webHidden/>
              </w:rPr>
              <w:t>6</w:t>
            </w:r>
            <w:r>
              <w:rPr>
                <w:noProof/>
                <w:webHidden/>
              </w:rPr>
              <w:fldChar w:fldCharType="end"/>
            </w:r>
          </w:hyperlink>
        </w:p>
        <w:p w14:paraId="6B1399BC" w14:textId="0AAB3D75" w:rsidR="002B63D5" w:rsidRDefault="002B63D5">
          <w:pPr>
            <w:pStyle w:val="TOC1"/>
            <w:tabs>
              <w:tab w:val="right" w:leader="dot" w:pos="9628"/>
            </w:tabs>
            <w:rPr>
              <w:rFonts w:asciiTheme="minorHAnsi" w:eastAsiaTheme="minorEastAsia" w:hAnsiTheme="minorHAnsi" w:cstheme="minorBidi"/>
              <w:noProof/>
            </w:rPr>
          </w:pPr>
          <w:hyperlink w:anchor="_Toc235375067" w:history="1">
            <w:r w:rsidRPr="00AD12AA">
              <w:rPr>
                <w:rStyle w:val="Hyperlink"/>
                <w:noProof/>
              </w:rPr>
              <w:t>Conclusion</w:t>
            </w:r>
            <w:r>
              <w:rPr>
                <w:noProof/>
                <w:webHidden/>
              </w:rPr>
              <w:tab/>
            </w:r>
            <w:r>
              <w:rPr>
                <w:noProof/>
                <w:webHidden/>
              </w:rPr>
              <w:fldChar w:fldCharType="begin"/>
            </w:r>
            <w:r>
              <w:rPr>
                <w:noProof/>
                <w:webHidden/>
              </w:rPr>
              <w:instrText xml:space="preserve"> PAGEREF _Toc235375067 \h </w:instrText>
            </w:r>
            <w:r>
              <w:rPr>
                <w:noProof/>
                <w:webHidden/>
              </w:rPr>
            </w:r>
            <w:r>
              <w:rPr>
                <w:noProof/>
                <w:webHidden/>
              </w:rPr>
              <w:fldChar w:fldCharType="separate"/>
            </w:r>
            <w:r>
              <w:rPr>
                <w:noProof/>
                <w:webHidden/>
              </w:rPr>
              <w:t>6</w:t>
            </w:r>
            <w:r>
              <w:rPr>
                <w:noProof/>
                <w:webHidden/>
              </w:rPr>
              <w:fldChar w:fldCharType="end"/>
            </w:r>
          </w:hyperlink>
        </w:p>
        <w:p w14:paraId="69FDB0A3" w14:textId="7EB64676" w:rsidR="002B63D5" w:rsidRDefault="002B63D5">
          <w:pPr>
            <w:pStyle w:val="TOC1"/>
            <w:tabs>
              <w:tab w:val="right" w:leader="dot" w:pos="9628"/>
            </w:tabs>
            <w:rPr>
              <w:rFonts w:asciiTheme="minorHAnsi" w:eastAsiaTheme="minorEastAsia" w:hAnsiTheme="minorHAnsi" w:cstheme="minorBidi"/>
              <w:noProof/>
            </w:rPr>
          </w:pPr>
          <w:hyperlink w:anchor="_Toc235375068" w:history="1">
            <w:r w:rsidRPr="00AD12AA">
              <w:rPr>
                <w:rStyle w:val="Hyperlink"/>
                <w:noProof/>
              </w:rPr>
              <w:t>Recommendations</w:t>
            </w:r>
            <w:r>
              <w:rPr>
                <w:noProof/>
                <w:webHidden/>
              </w:rPr>
              <w:tab/>
            </w:r>
            <w:r>
              <w:rPr>
                <w:noProof/>
                <w:webHidden/>
              </w:rPr>
              <w:fldChar w:fldCharType="begin"/>
            </w:r>
            <w:r>
              <w:rPr>
                <w:noProof/>
                <w:webHidden/>
              </w:rPr>
              <w:instrText xml:space="preserve"> PAGEREF _Toc235375068 \h </w:instrText>
            </w:r>
            <w:r>
              <w:rPr>
                <w:noProof/>
                <w:webHidden/>
              </w:rPr>
            </w:r>
            <w:r>
              <w:rPr>
                <w:noProof/>
                <w:webHidden/>
              </w:rPr>
              <w:fldChar w:fldCharType="separate"/>
            </w:r>
            <w:r>
              <w:rPr>
                <w:noProof/>
                <w:webHidden/>
              </w:rPr>
              <w:t>7</w:t>
            </w:r>
            <w:r>
              <w:rPr>
                <w:noProof/>
                <w:webHidden/>
              </w:rPr>
              <w:fldChar w:fldCharType="end"/>
            </w:r>
          </w:hyperlink>
        </w:p>
        <w:p w14:paraId="446E5A6C" w14:textId="6822E1E1" w:rsidR="002B63D5" w:rsidRDefault="002B63D5">
          <w:pPr>
            <w:pStyle w:val="TOC1"/>
            <w:tabs>
              <w:tab w:val="right" w:leader="dot" w:pos="9628"/>
            </w:tabs>
            <w:rPr>
              <w:rFonts w:asciiTheme="minorHAnsi" w:eastAsiaTheme="minorEastAsia" w:hAnsiTheme="minorHAnsi" w:cstheme="minorBidi"/>
              <w:noProof/>
            </w:rPr>
          </w:pPr>
          <w:hyperlink w:anchor="_Toc235375069" w:history="1">
            <w:r w:rsidRPr="00AD12AA">
              <w:rPr>
                <w:rStyle w:val="Hyperlink"/>
                <w:noProof/>
              </w:rPr>
              <w:t>References</w:t>
            </w:r>
            <w:r>
              <w:rPr>
                <w:noProof/>
                <w:webHidden/>
              </w:rPr>
              <w:tab/>
            </w:r>
            <w:r>
              <w:rPr>
                <w:noProof/>
                <w:webHidden/>
              </w:rPr>
              <w:fldChar w:fldCharType="begin"/>
            </w:r>
            <w:r>
              <w:rPr>
                <w:noProof/>
                <w:webHidden/>
              </w:rPr>
              <w:instrText xml:space="preserve"> PAGEREF _Toc235375069 \h </w:instrText>
            </w:r>
            <w:r>
              <w:rPr>
                <w:noProof/>
                <w:webHidden/>
              </w:rPr>
            </w:r>
            <w:r>
              <w:rPr>
                <w:noProof/>
                <w:webHidden/>
              </w:rPr>
              <w:fldChar w:fldCharType="separate"/>
            </w:r>
            <w:r>
              <w:rPr>
                <w:noProof/>
                <w:webHidden/>
              </w:rPr>
              <w:t>8</w:t>
            </w:r>
            <w:r>
              <w:rPr>
                <w:noProof/>
                <w:webHidden/>
              </w:rPr>
              <w:fldChar w:fldCharType="end"/>
            </w:r>
          </w:hyperlink>
        </w:p>
        <w:p w14:paraId="0CABEE42" w14:textId="588FA8B7" w:rsidR="005D60AB" w:rsidRDefault="005D60AB">
          <w:r>
            <w:rPr>
              <w:b/>
              <w:bCs/>
              <w:noProof/>
            </w:rPr>
            <w:fldChar w:fldCharType="end"/>
          </w:r>
        </w:p>
      </w:sdtContent>
    </w:sdt>
    <w:p w14:paraId="212005BC" w14:textId="77777777" w:rsidR="009344F4" w:rsidRDefault="009344F4" w:rsidP="00913558">
      <w:pPr>
        <w:pStyle w:val="ListParagraph"/>
        <w:rPr>
          <w:b/>
          <w:bCs/>
        </w:rPr>
      </w:pPr>
    </w:p>
    <w:p w14:paraId="6D0BF56A" w14:textId="77777777" w:rsidR="009344F4" w:rsidRDefault="009344F4" w:rsidP="00913558">
      <w:pPr>
        <w:pStyle w:val="ListParagraph"/>
        <w:rPr>
          <w:b/>
          <w:bCs/>
        </w:rPr>
      </w:pPr>
    </w:p>
    <w:p w14:paraId="7AE3F562" w14:textId="77777777" w:rsidR="009344F4" w:rsidRDefault="009344F4" w:rsidP="00913558">
      <w:pPr>
        <w:pStyle w:val="ListParagraph"/>
        <w:rPr>
          <w:b/>
          <w:bCs/>
        </w:rPr>
      </w:pPr>
    </w:p>
    <w:p w14:paraId="2102C3C3" w14:textId="77777777" w:rsidR="009344F4" w:rsidRDefault="009344F4" w:rsidP="00913558">
      <w:pPr>
        <w:pStyle w:val="ListParagraph"/>
        <w:rPr>
          <w:b/>
          <w:bCs/>
        </w:rPr>
      </w:pPr>
    </w:p>
    <w:p w14:paraId="26B9D25D" w14:textId="77777777" w:rsidR="009344F4" w:rsidRDefault="009344F4" w:rsidP="00913558">
      <w:pPr>
        <w:pStyle w:val="ListParagraph"/>
        <w:rPr>
          <w:b/>
          <w:bCs/>
        </w:rPr>
      </w:pPr>
    </w:p>
    <w:p w14:paraId="3169C389" w14:textId="77777777" w:rsidR="009344F4" w:rsidRDefault="009344F4" w:rsidP="00913558">
      <w:pPr>
        <w:pStyle w:val="ListParagraph"/>
        <w:rPr>
          <w:b/>
          <w:bCs/>
        </w:rPr>
      </w:pPr>
    </w:p>
    <w:p w14:paraId="496941CF" w14:textId="77777777" w:rsidR="009344F4" w:rsidRDefault="009344F4" w:rsidP="00913558">
      <w:pPr>
        <w:pStyle w:val="ListParagraph"/>
        <w:rPr>
          <w:b/>
          <w:bCs/>
        </w:rPr>
      </w:pPr>
    </w:p>
    <w:p w14:paraId="5423E407" w14:textId="77777777" w:rsidR="009344F4" w:rsidRDefault="009344F4" w:rsidP="00913558">
      <w:pPr>
        <w:pStyle w:val="ListParagraph"/>
        <w:rPr>
          <w:b/>
          <w:bCs/>
        </w:rPr>
      </w:pPr>
    </w:p>
    <w:p w14:paraId="27941D92" w14:textId="0CCD3670" w:rsidR="009344F4" w:rsidRDefault="009344F4" w:rsidP="00913558">
      <w:pPr>
        <w:pStyle w:val="ListParagraph"/>
        <w:rPr>
          <w:b/>
          <w:bCs/>
        </w:rPr>
      </w:pPr>
    </w:p>
    <w:p w14:paraId="37AE210F" w14:textId="2E370308" w:rsidR="00F65773" w:rsidRDefault="00F65773" w:rsidP="00913558">
      <w:pPr>
        <w:pStyle w:val="ListParagraph"/>
        <w:rPr>
          <w:b/>
          <w:bCs/>
        </w:rPr>
      </w:pPr>
    </w:p>
    <w:p w14:paraId="0F7C27CB" w14:textId="290F6114" w:rsidR="00F65773" w:rsidRDefault="00F65773" w:rsidP="00913558">
      <w:pPr>
        <w:pStyle w:val="ListParagraph"/>
        <w:rPr>
          <w:b/>
          <w:bCs/>
        </w:rPr>
      </w:pPr>
    </w:p>
    <w:p w14:paraId="4E0BF6EF" w14:textId="5ED46BD6" w:rsidR="00F65773" w:rsidRDefault="00F65773" w:rsidP="00913558">
      <w:pPr>
        <w:pStyle w:val="ListParagraph"/>
        <w:rPr>
          <w:b/>
          <w:bCs/>
        </w:rPr>
      </w:pPr>
    </w:p>
    <w:p w14:paraId="1639D500" w14:textId="43AD15D3" w:rsidR="00F81DFC" w:rsidRDefault="00F81DFC" w:rsidP="00913558">
      <w:pPr>
        <w:pStyle w:val="ListParagraph"/>
        <w:rPr>
          <w:b/>
          <w:bCs/>
        </w:rPr>
      </w:pPr>
    </w:p>
    <w:p w14:paraId="622B1BAA" w14:textId="2AD124B2" w:rsidR="00F81DFC" w:rsidRDefault="00F81DFC" w:rsidP="00913558">
      <w:pPr>
        <w:pStyle w:val="ListParagraph"/>
        <w:rPr>
          <w:b/>
          <w:bCs/>
        </w:rPr>
      </w:pPr>
    </w:p>
    <w:p w14:paraId="347995A2" w14:textId="376E40F1" w:rsidR="00F81DFC" w:rsidRDefault="00F81DFC" w:rsidP="00913558">
      <w:pPr>
        <w:pStyle w:val="ListParagraph"/>
        <w:rPr>
          <w:b/>
          <w:bCs/>
        </w:rPr>
      </w:pPr>
    </w:p>
    <w:p w14:paraId="1BBE3645" w14:textId="6B34AAF0" w:rsidR="00F81DFC" w:rsidRDefault="00F81DFC" w:rsidP="00913558">
      <w:pPr>
        <w:pStyle w:val="ListParagraph"/>
        <w:rPr>
          <w:b/>
          <w:bCs/>
        </w:rPr>
      </w:pPr>
    </w:p>
    <w:p w14:paraId="5E8EAA07" w14:textId="221DBDAA" w:rsidR="00F81DFC" w:rsidRDefault="00F81DFC" w:rsidP="00913558">
      <w:pPr>
        <w:pStyle w:val="ListParagraph"/>
        <w:rPr>
          <w:b/>
          <w:bCs/>
        </w:rPr>
      </w:pPr>
    </w:p>
    <w:p w14:paraId="6A01E48B" w14:textId="65A994C4" w:rsidR="00F81DFC" w:rsidRDefault="00F81DFC" w:rsidP="00913558">
      <w:pPr>
        <w:pStyle w:val="ListParagraph"/>
        <w:rPr>
          <w:b/>
          <w:bCs/>
        </w:rPr>
      </w:pPr>
    </w:p>
    <w:p w14:paraId="35BD0F1A" w14:textId="30F92180" w:rsidR="00F81DFC" w:rsidRDefault="00F81DFC" w:rsidP="00913558">
      <w:pPr>
        <w:pStyle w:val="ListParagraph"/>
        <w:rPr>
          <w:b/>
          <w:bCs/>
        </w:rPr>
      </w:pPr>
    </w:p>
    <w:p w14:paraId="60870929" w14:textId="77777777" w:rsidR="00F81DFC" w:rsidRDefault="00F81DFC" w:rsidP="00913558">
      <w:pPr>
        <w:pStyle w:val="ListParagraph"/>
        <w:rPr>
          <w:b/>
          <w:bCs/>
        </w:rPr>
      </w:pPr>
    </w:p>
    <w:p w14:paraId="2DD6E384" w14:textId="77777777" w:rsidR="009344F4" w:rsidRDefault="009344F4" w:rsidP="00913558">
      <w:pPr>
        <w:pStyle w:val="ListParagraph"/>
        <w:rPr>
          <w:b/>
          <w:bCs/>
        </w:rPr>
      </w:pPr>
    </w:p>
    <w:p w14:paraId="49CB3BD4" w14:textId="619BDA57" w:rsidR="00737CC2" w:rsidRPr="00913558" w:rsidRDefault="00A70B21" w:rsidP="005D60AB">
      <w:pPr>
        <w:pStyle w:val="Heading1"/>
      </w:pPr>
      <w:bookmarkStart w:id="0" w:name="_Toc235375063"/>
      <w:r>
        <w:lastRenderedPageBreak/>
        <w:t>Introduction</w:t>
      </w:r>
      <w:bookmarkEnd w:id="0"/>
    </w:p>
    <w:p w14:paraId="08A86136" w14:textId="122A8162" w:rsidR="00A70B21" w:rsidRDefault="00A70B21" w:rsidP="00A70B21">
      <w:pPr>
        <w:spacing w:after="200"/>
        <w:jc w:val="both"/>
      </w:pPr>
      <w:r w:rsidRPr="00A70B21">
        <w:t>This report examines contemporary HR challenges</w:t>
      </w:r>
      <w:r w:rsidR="00E23558">
        <w:t>,</w:t>
      </w:r>
      <w:r>
        <w:t xml:space="preserve"> </w:t>
      </w:r>
      <w:r w:rsidRPr="00A70B21">
        <w:t xml:space="preserve">the focus will be on </w:t>
      </w:r>
      <w:r w:rsidR="00E23558" w:rsidRPr="00A70B21">
        <w:t>current</w:t>
      </w:r>
      <w:r w:rsidRPr="00A70B21">
        <w:t xml:space="preserve"> challenges that HR in </w:t>
      </w:r>
      <w:proofErr w:type="spellStart"/>
      <w:r w:rsidRPr="00A70B21">
        <w:t>Currys</w:t>
      </w:r>
      <w:proofErr w:type="spellEnd"/>
      <w:r w:rsidRPr="00A70B21">
        <w:t xml:space="preserve"> plc faces; </w:t>
      </w:r>
      <w:proofErr w:type="spellStart"/>
      <w:r w:rsidRPr="00A70B21">
        <w:t>Currys</w:t>
      </w:r>
      <w:proofErr w:type="spellEnd"/>
      <w:r w:rsidRPr="00A70B21">
        <w:t xml:space="preserve"> plc being the leading specialist electricals retailer in the UK. It aims to understand three related issues: technological development, talent recruitment and retention, and diversity, equity and inclusion, as well as understanding the HR techniques that can solve them. This report will be </w:t>
      </w:r>
      <w:r w:rsidR="00E23558" w:rsidRPr="00A70B21">
        <w:t>organized</w:t>
      </w:r>
      <w:r w:rsidRPr="00A70B21">
        <w:t xml:space="preserve"> into three sections; where the first section provides the understanding of the </w:t>
      </w:r>
      <w:r w:rsidR="00E23558" w:rsidRPr="00A70B21">
        <w:t>organizational</w:t>
      </w:r>
      <w:r w:rsidRPr="00A70B21">
        <w:t xml:space="preserve"> issues, the second section discusses the contemporary HR techniques and finally, the last part critically discusses how the managers can implement these effectively.</w:t>
      </w:r>
    </w:p>
    <w:p w14:paraId="1992C0C2" w14:textId="078019FD" w:rsidR="00737CC2" w:rsidRPr="00913558" w:rsidRDefault="00A70B21" w:rsidP="005D60AB">
      <w:pPr>
        <w:pStyle w:val="Heading1"/>
      </w:pPr>
      <w:bookmarkStart w:id="1" w:name="_Toc235375064"/>
      <w:r>
        <w:t>Explanation of Key Factors</w:t>
      </w:r>
      <w:bookmarkEnd w:id="1"/>
    </w:p>
    <w:p w14:paraId="6884BDE5" w14:textId="77777777" w:rsidR="00A70B21" w:rsidRDefault="00A70B21" w:rsidP="00A70B21">
      <w:pPr>
        <w:spacing w:after="200"/>
        <w:jc w:val="both"/>
      </w:pPr>
      <w:proofErr w:type="spellStart"/>
      <w:r>
        <w:t>Currys</w:t>
      </w:r>
      <w:proofErr w:type="spellEnd"/>
      <w:r>
        <w:t xml:space="preserve"> plc, the UK's largest specialist electricals retailer with over 700 stores and around 24,000 colleagues, operates in a sector that has been reshaped by online competition, changing consumer habits and rising cost pressures. Like most UK employers, </w:t>
      </w:r>
      <w:proofErr w:type="spellStart"/>
      <w:r>
        <w:t>Currys</w:t>
      </w:r>
      <w:proofErr w:type="spellEnd"/>
      <w:r>
        <w:t xml:space="preserve"> faces three interlinked HR challenges: keeping pace with technology, winning and keeping talent, and building a genuinely inclusive workforce.</w:t>
      </w:r>
    </w:p>
    <w:p w14:paraId="36B6AD9B" w14:textId="77777777" w:rsidR="00A70B21" w:rsidRDefault="00A70B21" w:rsidP="00A70B21">
      <w:pPr>
        <w:spacing w:after="200"/>
        <w:jc w:val="both"/>
      </w:pPr>
      <w:r>
        <w:t xml:space="preserve">Technological change is the most visible pressure. </w:t>
      </w:r>
      <w:proofErr w:type="spellStart"/>
      <w:r>
        <w:t>Currys</w:t>
      </w:r>
      <w:proofErr w:type="spellEnd"/>
      <w:r>
        <w:t xml:space="preserve"> sells and services technology, so it is expected to model best practice in its own operations, yet retail is also one of the sectors most exposed to automation, self-checkout, AI-driven customer service and e-commerce logistics. For HR, this creates a double challenge: reskilling existing store and repair colleagues so their roles evolve rather than disappear, and building the digital capability of the HR function itself, from applicant tracking systems to people analytics that can predict turnover risk. Where </w:t>
      </w:r>
      <w:proofErr w:type="spellStart"/>
      <w:r>
        <w:t>organisations</w:t>
      </w:r>
      <w:proofErr w:type="spellEnd"/>
      <w:r>
        <w:t xml:space="preserve"> fail to invest in reskilling, employees can experience anxiety about job security, which depresses engagement and productivity. Where HR itself lags behind in digital maturity, decisions on pay, scheduling and development are made on incomplete information, undermining both efficiency and fairness.</w:t>
      </w:r>
    </w:p>
    <w:p w14:paraId="747A8E1A" w14:textId="77777777" w:rsidR="00B568F1" w:rsidRDefault="00B568F1" w:rsidP="00A70B21">
      <w:pPr>
        <w:spacing w:after="200"/>
        <w:jc w:val="both"/>
      </w:pPr>
      <w:r w:rsidRPr="00B568F1">
        <w:t xml:space="preserve">One of the key challenges for </w:t>
      </w:r>
      <w:proofErr w:type="spellStart"/>
      <w:r w:rsidRPr="00B568F1">
        <w:t>Currys</w:t>
      </w:r>
      <w:proofErr w:type="spellEnd"/>
      <w:r w:rsidRPr="00B568F1">
        <w:t xml:space="preserve"> is talent attraction and retention. It is well known that high employee turnover rates have always been a problem for the retail industry, and this is true in relation to </w:t>
      </w:r>
      <w:proofErr w:type="spellStart"/>
      <w:r w:rsidRPr="00B568F1">
        <w:t>Currys</w:t>
      </w:r>
      <w:proofErr w:type="spellEnd"/>
      <w:r w:rsidRPr="00B568F1">
        <w:t xml:space="preserve"> too, where the rates of store colleague turnover increased significantly in the beginning of the 2020s due to an employee value proposition that was not aligned with the diversity of their target audience. High turnover comes at a huge cost both directly related to recruitment and training expenses, but it also negatively impacts customer services and the transfer of knowledge, both being important aspects of the technical and advice-oriented retail. Meanwhile, the competition for talent with technological background, who is needed for further development online, implies that the retailer competes not only with other retailers, but with technology companies, that provide more flexible work-from-home conditions.</w:t>
      </w:r>
    </w:p>
    <w:p w14:paraId="088C31F5" w14:textId="77777777" w:rsidR="004934F4" w:rsidRDefault="004934F4" w:rsidP="00A70B21">
      <w:pPr>
        <w:spacing w:after="200"/>
        <w:jc w:val="both"/>
      </w:pPr>
    </w:p>
    <w:p w14:paraId="3F8EF76A" w14:textId="2A332E83" w:rsidR="000D76FA" w:rsidRDefault="000D76FA" w:rsidP="00A70B21">
      <w:pPr>
        <w:spacing w:after="200"/>
        <w:jc w:val="both"/>
      </w:pPr>
      <w:r w:rsidRPr="000D76FA">
        <w:t xml:space="preserve">Diversity, Equity and Inclusion (DEI) is highly connected to both of the above-mentioned aspects. The company that lacks diversity in its staff does not have a chance to have good relations with customers and a wide range of talents available while the market is already scarce in terms of </w:t>
      </w:r>
      <w:proofErr w:type="spellStart"/>
      <w:r w:rsidRPr="000D76FA">
        <w:t>labour</w:t>
      </w:r>
      <w:proofErr w:type="spellEnd"/>
      <w:r w:rsidRPr="000D76FA">
        <w:t xml:space="preserve">. There have been claims from </w:t>
      </w:r>
      <w:proofErr w:type="spellStart"/>
      <w:r w:rsidRPr="000D76FA">
        <w:t>Currys</w:t>
      </w:r>
      <w:proofErr w:type="spellEnd"/>
      <w:r w:rsidRPr="000D76FA">
        <w:t xml:space="preserve"> itself that the staffing in its stores was over-indexing in certain ethnic groups and this prevented the firm from hiring a wider range of candidates. However, apart from attracting new people, inclusiveness can be an important factor in making the current employees feel comfortable enough to do their job properly.</w:t>
      </w:r>
    </w:p>
    <w:p w14:paraId="79B3FE4B" w14:textId="77777777" w:rsidR="00EC24CE" w:rsidRPr="00D22D99" w:rsidRDefault="00EC24CE" w:rsidP="00D22D99">
      <w:pPr>
        <w:spacing w:after="200"/>
        <w:jc w:val="both"/>
        <w:rPr>
          <w:rFonts w:asciiTheme="minorBidi" w:hAnsiTheme="minorBidi" w:cstheme="minorBidi"/>
        </w:rPr>
      </w:pPr>
      <w:r w:rsidRPr="00D22D99">
        <w:rPr>
          <w:rFonts w:asciiTheme="minorBidi" w:hAnsiTheme="minorBidi" w:cstheme="minorBidi"/>
        </w:rPr>
        <w:t>These challenges also interact with employee expectations that have shifted markedly since the pandemic. Colleagues increasingly expect flexibility, transparent progression routes and a genuine sense of purpose from their employer, not simply a wage. For a business built on a large in-store and field-based workforce, flexibility is harder to deliver than in office-based sectors, which makes retention strategy more dependent on culture, recognition and career development than on remote-working perks alone. This raises the stakes for HR to design engagement approaches that are credible and specific to a retail and repair workforce, rather than generic policies imported from other sectors.</w:t>
      </w:r>
    </w:p>
    <w:p w14:paraId="0AAEAC52" w14:textId="1EE639D8" w:rsidR="00EC24CE" w:rsidRPr="00D47D79" w:rsidRDefault="00EC24CE" w:rsidP="00D47D79">
      <w:pPr>
        <w:spacing w:after="200"/>
        <w:jc w:val="both"/>
        <w:rPr>
          <w:rFonts w:asciiTheme="minorBidi" w:hAnsiTheme="minorBidi" w:cstheme="minorBidi"/>
        </w:rPr>
      </w:pPr>
      <w:r w:rsidRPr="00D22D99">
        <w:rPr>
          <w:rFonts w:asciiTheme="minorBidi" w:hAnsiTheme="minorBidi" w:cstheme="minorBidi"/>
        </w:rPr>
        <w:t xml:space="preserve">Together, these three factors do not operate independently. Poor technology adoption limits the data HR needs to spot retention risks and inclusion gaps; </w:t>
      </w:r>
      <w:r w:rsidR="005F172E" w:rsidRPr="00D22D99">
        <w:rPr>
          <w:rFonts w:asciiTheme="minorBidi" w:hAnsiTheme="minorBidi" w:cstheme="minorBidi"/>
        </w:rPr>
        <w:t>Weak retention forces a cycle of constant recruitment, significantly compounding costs and operational disruption. This reliance on continuous hiring dramatically increases the pressure to get inclusive hiring right, as the cost of early turnover—or "bad hires"—is magnified (corentin.roux@lasuiteandco.com, 2024)</w:t>
      </w:r>
      <w:r w:rsidRPr="00D22D99">
        <w:rPr>
          <w:rFonts w:asciiTheme="minorBidi" w:hAnsiTheme="minorBidi" w:cstheme="minorBidi"/>
        </w:rPr>
        <w:t xml:space="preserve"> and a non-inclusive culture undermines the employer brand needed to compete for talent against better-resourced digital employers. For </w:t>
      </w:r>
      <w:proofErr w:type="spellStart"/>
      <w:r w:rsidRPr="00D22D99">
        <w:rPr>
          <w:rFonts w:asciiTheme="minorBidi" w:hAnsiTheme="minorBidi" w:cstheme="minorBidi"/>
        </w:rPr>
        <w:t>Currys</w:t>
      </w:r>
      <w:proofErr w:type="spellEnd"/>
      <w:r w:rsidRPr="00D22D99">
        <w:rPr>
          <w:rFonts w:asciiTheme="minorBidi" w:hAnsiTheme="minorBidi" w:cstheme="minorBidi"/>
        </w:rPr>
        <w:t>, addressing all three coherently, rather than as separate initiatives, is central to sustaining performance, engagement and long-term viability in a highly competitive, low-margin retail market.</w:t>
      </w:r>
    </w:p>
    <w:p w14:paraId="7E3F0D38" w14:textId="6E35B4D7" w:rsidR="00EC24CE" w:rsidRDefault="00FD3604" w:rsidP="00EC24CE">
      <w:pPr>
        <w:pStyle w:val="Heading1"/>
        <w:rPr>
          <w:b/>
          <w:bCs/>
          <w:highlight w:val="lightGray"/>
        </w:rPr>
      </w:pPr>
      <w:r>
        <w:t xml:space="preserve"> </w:t>
      </w:r>
      <w:bookmarkStart w:id="2" w:name="_Toc235375065"/>
      <w:r w:rsidR="00EC24CE">
        <w:t>Evaluation of Contemporary HR Practices</w:t>
      </w:r>
      <w:bookmarkEnd w:id="2"/>
      <w:r w:rsidR="00EC24CE" w:rsidRPr="00485D56">
        <w:rPr>
          <w:b/>
          <w:bCs/>
          <w:highlight w:val="lightGray"/>
        </w:rPr>
        <w:t xml:space="preserve"> </w:t>
      </w:r>
    </w:p>
    <w:p w14:paraId="7A73C79C" w14:textId="77777777" w:rsidR="00CD0F32" w:rsidRPr="00CD0F32" w:rsidRDefault="00CD0F32" w:rsidP="002F2591">
      <w:r>
        <w:rPr>
          <w:b/>
          <w:bCs/>
          <w:highlight w:val="lightGray"/>
        </w:rPr>
        <w:t xml:space="preserve"> </w:t>
      </w:r>
      <w:r w:rsidRPr="00CD0F32">
        <w:t xml:space="preserve">There are various HR practices that can be assessed in terms of the three criteria listed above, each of which has real strengths but also some practical shortcomings in application to an organization like </w:t>
      </w:r>
      <w:proofErr w:type="spellStart"/>
      <w:r w:rsidRPr="00CD0F32">
        <w:t>Currys</w:t>
      </w:r>
      <w:proofErr w:type="spellEnd"/>
      <w:r w:rsidRPr="00CD0F32">
        <w:t>.</w:t>
      </w:r>
    </w:p>
    <w:p w14:paraId="7DAB57AC" w14:textId="5D405D3C" w:rsidR="00EC24CE" w:rsidRDefault="00CD0F32" w:rsidP="002F2591">
      <w:r w:rsidRPr="00CD0F32">
        <w:t xml:space="preserve">The use of digital HR tools and analytics is the natural solution to the technological criteria. It is something that </w:t>
      </w:r>
      <w:proofErr w:type="spellStart"/>
      <w:r w:rsidRPr="00CD0F32">
        <w:t>Currys</w:t>
      </w:r>
      <w:proofErr w:type="spellEnd"/>
      <w:r w:rsidRPr="00CD0F32">
        <w:t xml:space="preserve"> has already used to analyze attrition patterns and make people decisions based on store scheduling, and advanced analytics would be able to detect potential flight risks before a wave of turnover and give HR business partners the opportunity to react to this problem at an early stage. Its strength is the fact that this method will replace guessing with facts. Its shortcoming is that the quality of the information depends on the data fed into the system, and in </w:t>
      </w:r>
      <w:r w:rsidRPr="00CD0F32">
        <w:lastRenderedPageBreak/>
        <w:t>the case of stores with high turnover, the quality of data might be rather poor; in addition, the focus on dashboarding might alienate people from making certain decisions, which is a manager's responsibility and which requires building relationships with employees.</w:t>
      </w:r>
    </w:p>
    <w:p w14:paraId="0945B10D" w14:textId="499389FD" w:rsidR="007E1C3C" w:rsidRDefault="007E1C3C" w:rsidP="002F2591">
      <w:r w:rsidRPr="007E1C3C">
        <w:t xml:space="preserve">Employer branding and strategic workforce planning take direct aim at talent acquisition. The example of </w:t>
      </w:r>
      <w:proofErr w:type="spellStart"/>
      <w:r w:rsidRPr="007E1C3C">
        <w:t>Currys</w:t>
      </w:r>
      <w:proofErr w:type="spellEnd"/>
      <w:r w:rsidRPr="007E1C3C">
        <w:t xml:space="preserve"> reworking its value proposition, from a restrictive 'tech lovers' promise to a broader value proposition designed to attract a wider range of applicants, is a sound illustration of this principle in operation; it occurred following a period of rapid staff attrition, and a realization that the existing brand was failing to resonate with the range of individuals they were hoping to recruit. Employer branding in this way works effectively since it will help to reduce cost per hire in the long run and ensure higher-quality candidates. However, the problem with employer branding is that it takes a while to turn public perception around and can result in a lack of credibility should the reality be at odds with the promise made in recruitment.</w:t>
      </w:r>
    </w:p>
    <w:p w14:paraId="3C2195F0" w14:textId="634B5EFD" w:rsidR="007E1C3C" w:rsidRDefault="007E1C3C" w:rsidP="002F2591">
      <w:r w:rsidRPr="007E1C3C">
        <w:t>Retention initiatives for employees, including programs for onboarding, recognition systems, and enhanced career paths, have proven to be effective in lowering voluntary turnover rates in positions such as retail salespeople whose greatest risk for leaving comes in the first ninety days of their employment. Their main advantage lies in their cost-effectiveness compared to the money saved on recruiting and training.</w:t>
      </w:r>
    </w:p>
    <w:p w14:paraId="5D6FA07E" w14:textId="0B7ECC35" w:rsidR="00433AC4" w:rsidRPr="00433AC4" w:rsidRDefault="00433AC4" w:rsidP="002F2591">
      <w:r w:rsidRPr="00433AC4">
        <w:t xml:space="preserve">Finally, the DEI policies and development </w:t>
      </w:r>
      <w:r w:rsidR="005805DD" w:rsidRPr="00433AC4">
        <w:t>programs</w:t>
      </w:r>
      <w:r w:rsidRPr="00433AC4">
        <w:t xml:space="preserve"> like </w:t>
      </w:r>
      <w:proofErr w:type="spellStart"/>
      <w:r w:rsidRPr="00433AC4">
        <w:t>Currys</w:t>
      </w:r>
      <w:proofErr w:type="spellEnd"/>
      <w:r w:rsidRPr="00433AC4">
        <w:t xml:space="preserve">' Employee Resource Groups and Leadership Inclusion Forum and its family and wellbeing </w:t>
      </w:r>
      <w:r w:rsidR="005805DD" w:rsidRPr="00433AC4">
        <w:t>program</w:t>
      </w:r>
      <w:r w:rsidRPr="00433AC4">
        <w:t xml:space="preserve"> send the message of </w:t>
      </w:r>
      <w:r w:rsidR="005805DD" w:rsidRPr="00433AC4">
        <w:t>organizational</w:t>
      </w:r>
      <w:r w:rsidRPr="00433AC4">
        <w:t xml:space="preserve"> commitment and provide a vehicle for expressing any concerns as well as shaping practice. This is good way of promoting inclusion beyond the mere compliance issue but success of this depends highly on whether these are sponsored by senior management and results, not just participation </w:t>
      </w:r>
      <w:r w:rsidR="005805DD" w:rsidRPr="00433AC4">
        <w:t>is</w:t>
      </w:r>
      <w:r w:rsidRPr="00433AC4">
        <w:t xml:space="preserve"> measured.</w:t>
      </w:r>
    </w:p>
    <w:p w14:paraId="1E6CDD90" w14:textId="686776D8" w:rsidR="00433AC4" w:rsidRPr="00433AC4" w:rsidRDefault="005805DD" w:rsidP="002F2591">
      <w:r>
        <w:t>N</w:t>
      </w:r>
      <w:r w:rsidR="00433AC4" w:rsidRPr="00433AC4">
        <w:t>one of the above practices alone can solve the problem. It requires the combination of decisions based on data, true employer brand delivered and not just promised and efforts to engage employees which are continuous rather than part of any campaign and inclusion practices across the whole process from hiring through progression and retention.</w:t>
      </w:r>
    </w:p>
    <w:p w14:paraId="1AE6F00F" w14:textId="77777777" w:rsidR="005805DD" w:rsidRDefault="005805DD" w:rsidP="002F2591"/>
    <w:p w14:paraId="5D880492" w14:textId="72F26336" w:rsidR="007E1C3C" w:rsidRDefault="00433AC4" w:rsidP="002F2591">
      <w:r w:rsidRPr="00433AC4">
        <w:t>Practices that are proclaimed without being supported by anything and remain isolated HR initiatives rather than shared management tasks will result only in temporary improvement of things.</w:t>
      </w:r>
    </w:p>
    <w:p w14:paraId="57D4F38B" w14:textId="1F900F1D" w:rsidR="002B63D5" w:rsidRDefault="002B63D5" w:rsidP="002F2591"/>
    <w:p w14:paraId="74A0896C" w14:textId="4DC4F5C9" w:rsidR="002B63D5" w:rsidRDefault="002B63D5" w:rsidP="002F2591"/>
    <w:p w14:paraId="1815FC1C" w14:textId="1E757AB7" w:rsidR="002B63D5" w:rsidRDefault="002B63D5" w:rsidP="002F2591"/>
    <w:p w14:paraId="1BF18F55" w14:textId="1D1462FC" w:rsidR="002B63D5" w:rsidRDefault="002B63D5" w:rsidP="002F2591"/>
    <w:p w14:paraId="32260C61" w14:textId="78B5ACDE" w:rsidR="002B63D5" w:rsidRDefault="002B63D5" w:rsidP="002F2591"/>
    <w:p w14:paraId="6CB5B35C" w14:textId="77777777" w:rsidR="002B63D5" w:rsidRPr="00CD0F32" w:rsidRDefault="002B63D5" w:rsidP="002F2591"/>
    <w:p w14:paraId="5F53B3F0" w14:textId="77777777" w:rsidR="00CD0F32" w:rsidRDefault="00CD0F32" w:rsidP="005805DD">
      <w:pPr>
        <w:rPr>
          <w:highlight w:val="lightGray"/>
        </w:rPr>
      </w:pPr>
    </w:p>
    <w:p w14:paraId="649F096B" w14:textId="1F13DF22" w:rsidR="00737CC2" w:rsidRPr="00DD0729" w:rsidRDefault="00433AC4" w:rsidP="005D60AB">
      <w:pPr>
        <w:pStyle w:val="Heading1"/>
      </w:pPr>
      <w:bookmarkStart w:id="3" w:name="_Toc235375066"/>
      <w:r>
        <w:t>Critical Evaluation of Managerial Implementation</w:t>
      </w:r>
      <w:bookmarkEnd w:id="3"/>
    </w:p>
    <w:p w14:paraId="6E748618" w14:textId="77777777" w:rsidR="00433AC4" w:rsidRDefault="00433AC4" w:rsidP="005805DD">
      <w:pPr>
        <w:spacing w:after="200" w:line="276" w:lineRule="auto"/>
        <w:jc w:val="both"/>
      </w:pPr>
      <w:r>
        <w:t>Good HR policies will work well only if they are implemented by the departmental managers on an urgent basis, and this is usually where even good policy intentions fail.</w:t>
      </w:r>
    </w:p>
    <w:p w14:paraId="28CB4BF1" w14:textId="77777777" w:rsidR="00433AC4" w:rsidRDefault="00433AC4" w:rsidP="00D5344B">
      <w:pPr>
        <w:spacing w:after="200" w:line="276" w:lineRule="auto"/>
        <w:jc w:val="both"/>
      </w:pPr>
      <w:r>
        <w:t xml:space="preserve">Accountability of the leaders comes first. For instance, at </w:t>
      </w:r>
      <w:proofErr w:type="spellStart"/>
      <w:r>
        <w:t>Currys</w:t>
      </w:r>
      <w:proofErr w:type="spellEnd"/>
      <w:r>
        <w:t>, store managers and department managers serve as the point of contact for most of the employees, and it is important for them to be responsible for DEI initiatives and retention strategies coming from the head office, say, by making people-related KPIs part of their own performance reviews and not by leaving it to HR’s sole discretion. In case the accountability is shared, initiatives that have to be urgent are easily deprioritized due to commercial needs, such as selling or shrinkage.</w:t>
      </w:r>
    </w:p>
    <w:p w14:paraId="09349AB2" w14:textId="569D0FE5" w:rsidR="00433AC4" w:rsidRDefault="00433AC4" w:rsidP="00D5344B">
      <w:pPr>
        <w:spacing w:after="200" w:line="276" w:lineRule="auto"/>
        <w:jc w:val="both"/>
      </w:pPr>
      <w:r>
        <w:t>Communication strategies determine whether managers understand not just what to do but why it matters. A common failure mode is that HR issues detailed guidance which is not translated into plain, practical direction for a busy store manager during a trading day. Two-way communication, including structured briefings, manager toolkits and forums where managers can feed operational reality back to HR, is more effective than one-way policy cascades, because it surfaces implementation barriers early and builds genuine buy-in rather than compliance.</w:t>
      </w:r>
    </w:p>
    <w:p w14:paraId="008E7E6B" w14:textId="77777777" w:rsidR="00433AC4" w:rsidRDefault="00433AC4" w:rsidP="00D5344B">
      <w:pPr>
        <w:spacing w:after="200" w:line="276" w:lineRule="auto"/>
        <w:jc w:val="both"/>
      </w:pPr>
      <w:r>
        <w:t xml:space="preserve">Monitoring and performance measurement close the loop between intention and outcome. This requires moving beyond activity metrics, such as how many colleagues attended training, toward outcome metrics, such as retention rates, engagement survey results and representation data at each level of seniority, reviewed at department level, not only at group level. </w:t>
      </w:r>
      <w:proofErr w:type="spellStart"/>
      <w:r>
        <w:t>Currys</w:t>
      </w:r>
      <w:proofErr w:type="spellEnd"/>
      <w:r>
        <w:t>' annual Inclusion and Belonging survey is a reasonable model of this, but its value depends on results being visibly acted upon at store and department level, not simply reported upward; where survey data is collected but managers see no consequence or follow-through, participation and trust in future surveys decline.</w:t>
      </w:r>
    </w:p>
    <w:p w14:paraId="759480D8" w14:textId="58EB3CEA" w:rsidR="00433AC4" w:rsidRDefault="00D5344B" w:rsidP="00D5344B">
      <w:pPr>
        <w:spacing w:after="200" w:line="276" w:lineRule="auto"/>
        <w:jc w:val="both"/>
      </w:pPr>
      <w:r>
        <w:t>Organizational</w:t>
      </w:r>
      <w:r w:rsidR="00433AC4">
        <w:t xml:space="preserve"> culture ultimately determines whether practices stick. Even well-communicated, well-monitored initiatives will falter in a department where the prevailing culture, set by day-to-day manager </w:t>
      </w:r>
      <w:r>
        <w:t>behavior</w:t>
      </w:r>
      <w:r w:rsidR="00433AC4">
        <w:t xml:space="preserve">, contradicts stated values. If a manager tolerates exclusionary </w:t>
      </w:r>
      <w:r>
        <w:t>behavior</w:t>
      </w:r>
      <w:r w:rsidR="00433AC4">
        <w:t xml:space="preserve"> or treats engagement activity as a distraction from targets, no formal policy will overcome that signal. Embedding practice therefore depends on manager role-modelling as much as on formal process.</w:t>
      </w:r>
    </w:p>
    <w:p w14:paraId="5D1FE497" w14:textId="599CE580" w:rsidR="00433AC4" w:rsidRDefault="00433AC4" w:rsidP="00D5344B">
      <w:pPr>
        <w:spacing w:after="200" w:line="276" w:lineRule="auto"/>
        <w:jc w:val="both"/>
      </w:pPr>
      <w:r>
        <w:t xml:space="preserve">Several barriers commonly limit effective implementation: competing operational pressures that push HR priorities down the list; inconsistent manager capability and confidence in handling sensitive conversations around inclusion or performance; and a perception that HR initiatives are imposed rather than co-designed with the departments that must deliver them. These barriers can be reduced by equipping managers with practical training and scripts rather than abstract policy statements, by involving frontline managers in designing initiatives before roll-out, and by ensuring senior leaders visibly </w:t>
      </w:r>
      <w:r w:rsidR="00D5344B">
        <w:t>priorities</w:t>
      </w:r>
      <w:r>
        <w:t xml:space="preserve"> and follow up on outcomes rather than treating launch as completion. Urgency is best created not through additional mandates but by tying outcomes to metrics managers already care about, such as turnover and sales performance, making the commercial case for action explicit rather than assumed.</w:t>
      </w:r>
    </w:p>
    <w:p w14:paraId="57B31D6C" w14:textId="0A978EF2" w:rsidR="00737CC2" w:rsidRPr="009344F4" w:rsidRDefault="00FD3604" w:rsidP="005D60AB">
      <w:pPr>
        <w:pStyle w:val="Heading1"/>
      </w:pPr>
      <w:r w:rsidRPr="009344F4">
        <w:t xml:space="preserve"> </w:t>
      </w:r>
      <w:bookmarkStart w:id="4" w:name="_Toc235375067"/>
      <w:r w:rsidRPr="009344F4">
        <w:t>Conclusion</w:t>
      </w:r>
      <w:bookmarkEnd w:id="4"/>
    </w:p>
    <w:p w14:paraId="7B1055A9" w14:textId="77777777" w:rsidR="002B63D5" w:rsidRDefault="0005182A" w:rsidP="0005182A">
      <w:pPr>
        <w:spacing w:after="200" w:line="276" w:lineRule="auto"/>
        <w:jc w:val="both"/>
      </w:pPr>
      <w:proofErr w:type="spellStart"/>
      <w:r>
        <w:t>Currys</w:t>
      </w:r>
      <w:proofErr w:type="spellEnd"/>
      <w:r>
        <w:t xml:space="preserve"> faces the same structural pressures affecting much of UK retail: a need to </w:t>
      </w:r>
      <w:r w:rsidR="00D5344B">
        <w:t>modernize</w:t>
      </w:r>
      <w:r>
        <w:t xml:space="preserve"> HR through data and digital capability, a need to rebuild an employer brand and retention approach after </w:t>
      </w:r>
    </w:p>
    <w:p w14:paraId="4209C280" w14:textId="77777777" w:rsidR="002B63D5" w:rsidRDefault="002B63D5" w:rsidP="0005182A">
      <w:pPr>
        <w:spacing w:after="200" w:line="276" w:lineRule="auto"/>
        <w:jc w:val="both"/>
      </w:pPr>
    </w:p>
    <w:p w14:paraId="2D794E24" w14:textId="3CB3351F" w:rsidR="0005182A" w:rsidRDefault="0005182A" w:rsidP="0005182A">
      <w:pPr>
        <w:spacing w:after="200" w:line="276" w:lineRule="auto"/>
        <w:jc w:val="both"/>
      </w:pPr>
      <w:r>
        <w:t xml:space="preserve">a period of high attrition, and a need to embed inclusion beyond policy statements into everyday store culture. The </w:t>
      </w:r>
      <w:r w:rsidR="00D5344B">
        <w:t>organization</w:t>
      </w:r>
      <w:r>
        <w:t xml:space="preserve"> has taken credible steps in each area, including workforce analytics, a redeveloped employee value proposition, Employee Resource Groups and an annual inclusion survey, but the evaluation shows that impact depends less on the existence of these practices and more on consistent managerial implementation, honest measurement of outcomes, and alignment between stated values and day-to-day manager </w:t>
      </w:r>
      <w:r w:rsidR="00D5344B">
        <w:t>behavior</w:t>
      </w:r>
      <w:r>
        <w:t>.</w:t>
      </w:r>
    </w:p>
    <w:p w14:paraId="342D0F13" w14:textId="77777777" w:rsidR="00B0345E" w:rsidRDefault="00B0345E" w:rsidP="0005182A">
      <w:pPr>
        <w:spacing w:after="200" w:line="276" w:lineRule="auto"/>
        <w:jc w:val="both"/>
      </w:pPr>
    </w:p>
    <w:p w14:paraId="32FB3243" w14:textId="0B08F4CC" w:rsidR="0005182A" w:rsidRDefault="0005182A" w:rsidP="00F81DFC">
      <w:pPr>
        <w:pStyle w:val="Heading1"/>
      </w:pPr>
      <w:bookmarkStart w:id="5" w:name="_Toc235375068"/>
      <w:r w:rsidRPr="0005182A">
        <w:t>Recommendations</w:t>
      </w:r>
      <w:bookmarkEnd w:id="5"/>
      <w:r w:rsidRPr="009344F4">
        <w:t xml:space="preserve"> </w:t>
      </w:r>
    </w:p>
    <w:p w14:paraId="69C412AC" w14:textId="77777777" w:rsidR="0005182A" w:rsidRDefault="0005182A" w:rsidP="0005182A">
      <w:pPr>
        <w:pStyle w:val="ListParagraph"/>
        <w:numPr>
          <w:ilvl w:val="0"/>
          <w:numId w:val="4"/>
        </w:numPr>
        <w:spacing w:after="150" w:line="240" w:lineRule="auto"/>
      </w:pPr>
      <w:r>
        <w:t>Build people metrics, including retention, engagement and representation data, into departmental managers' own performance objectives, not solely HR's.</w:t>
      </w:r>
    </w:p>
    <w:p w14:paraId="220D44A0" w14:textId="77777777" w:rsidR="0005182A" w:rsidRDefault="0005182A" w:rsidP="0005182A">
      <w:pPr>
        <w:pStyle w:val="ListParagraph"/>
        <w:numPr>
          <w:ilvl w:val="0"/>
          <w:numId w:val="4"/>
        </w:numPr>
        <w:spacing w:after="150" w:line="240" w:lineRule="auto"/>
      </w:pPr>
      <w:r>
        <w:t>Invest in manager capability through practical training on inclusive management and difficult conversations, rather than relying on policy documents alone.</w:t>
      </w:r>
    </w:p>
    <w:p w14:paraId="720E766E" w14:textId="77777777" w:rsidR="0005182A" w:rsidRDefault="0005182A" w:rsidP="0005182A">
      <w:pPr>
        <w:pStyle w:val="ListParagraph"/>
        <w:numPr>
          <w:ilvl w:val="0"/>
          <w:numId w:val="4"/>
        </w:numPr>
        <w:spacing w:after="150" w:line="240" w:lineRule="auto"/>
      </w:pPr>
      <w:r>
        <w:t>Strengthen feedback loops so that survey and analytics data are visibly acted upon at store level, with results reported back to the colleagues who provided them.</w:t>
      </w:r>
    </w:p>
    <w:p w14:paraId="2FE23EAA" w14:textId="77777777" w:rsidR="0005182A" w:rsidRDefault="0005182A" w:rsidP="0005182A">
      <w:pPr>
        <w:pStyle w:val="ListParagraph"/>
        <w:numPr>
          <w:ilvl w:val="0"/>
          <w:numId w:val="4"/>
        </w:numPr>
        <w:spacing w:after="150" w:line="240" w:lineRule="auto"/>
      </w:pPr>
      <w:r>
        <w:t>Ensure employer branding claims are matched by lived experience in stores, reviewed periodically against exit interview and early-attrition data.</w:t>
      </w:r>
    </w:p>
    <w:p w14:paraId="76772CE4" w14:textId="158ADE65" w:rsidR="00737CC2" w:rsidRDefault="0005182A" w:rsidP="0005182A">
      <w:pPr>
        <w:pStyle w:val="ListParagraph"/>
        <w:numPr>
          <w:ilvl w:val="0"/>
          <w:numId w:val="4"/>
        </w:numPr>
      </w:pPr>
      <w:r>
        <w:t>Treat DEI and engagement as ongoing management responsibilities embedded in daily operations, rather than as periodic HR-led campaigns</w:t>
      </w:r>
      <w:r w:rsidR="00FD3604">
        <w:br w:type="page"/>
      </w:r>
    </w:p>
    <w:p w14:paraId="77DFB7C0" w14:textId="77777777" w:rsidR="009344F4" w:rsidRDefault="009344F4" w:rsidP="009344F4">
      <w:pPr>
        <w:pStyle w:val="ListParagraph"/>
        <w:rPr>
          <w:b/>
          <w:bCs/>
        </w:rPr>
      </w:pPr>
    </w:p>
    <w:p w14:paraId="55023125" w14:textId="455563BA" w:rsidR="00737CC2" w:rsidRPr="009344F4" w:rsidRDefault="00FD3604" w:rsidP="005D60AB">
      <w:pPr>
        <w:pStyle w:val="Heading1"/>
      </w:pPr>
      <w:bookmarkStart w:id="6" w:name="_Toc235375069"/>
      <w:r w:rsidRPr="009344F4">
        <w:t>References</w:t>
      </w:r>
      <w:bookmarkEnd w:id="6"/>
    </w:p>
    <w:p w14:paraId="78D75AC6" w14:textId="77777777" w:rsidR="0005182A" w:rsidRDefault="0005182A" w:rsidP="0005182A">
      <w:pPr>
        <w:spacing w:after="120" w:line="276" w:lineRule="auto"/>
      </w:pPr>
      <w:r w:rsidRPr="0005182A">
        <w:t xml:space="preserve">Business Culture Awards (2025) </w:t>
      </w:r>
      <w:proofErr w:type="spellStart"/>
      <w:r w:rsidRPr="0005182A">
        <w:t>Currys</w:t>
      </w:r>
      <w:proofErr w:type="spellEnd"/>
      <w:r w:rsidRPr="0005182A">
        <w:t xml:space="preserve"> unlocks 'Amazing' – a people promise that works. Available at: businesscultureawards.com (Accessed: 17 July 2026).</w:t>
      </w:r>
    </w:p>
    <w:p w14:paraId="78C262C6" w14:textId="77777777" w:rsidR="0005182A" w:rsidRDefault="0005182A" w:rsidP="0005182A">
      <w:pPr>
        <w:spacing w:after="120" w:line="276" w:lineRule="auto"/>
      </w:pPr>
      <w:proofErr w:type="spellStart"/>
      <w:r w:rsidRPr="0005182A">
        <w:t>Currys</w:t>
      </w:r>
      <w:proofErr w:type="spellEnd"/>
      <w:r w:rsidRPr="0005182A">
        <w:t xml:space="preserve"> plc (2023) </w:t>
      </w:r>
      <w:proofErr w:type="spellStart"/>
      <w:r w:rsidRPr="0005182A">
        <w:t>Currys</w:t>
      </w:r>
      <w:proofErr w:type="spellEnd"/>
      <w:r w:rsidRPr="0005182A">
        <w:t xml:space="preserve"> boosts diversity &amp; inclusion with five new policies. Available at: currysplc.com (Accessed: 17 July 2026).</w:t>
      </w:r>
    </w:p>
    <w:p w14:paraId="54544814" w14:textId="77777777" w:rsidR="0005182A" w:rsidRDefault="0005182A" w:rsidP="0005182A">
      <w:pPr>
        <w:spacing w:after="120" w:line="276" w:lineRule="auto"/>
      </w:pPr>
      <w:proofErr w:type="spellStart"/>
      <w:r w:rsidRPr="0005182A">
        <w:t>Currys</w:t>
      </w:r>
      <w:proofErr w:type="spellEnd"/>
      <w:r w:rsidRPr="0005182A">
        <w:t xml:space="preserve"> plc (2025) People &amp; Careers. Available at: currysplc.com/people-careers (Accessed: 17 July 2026).</w:t>
      </w:r>
    </w:p>
    <w:p w14:paraId="405E14BC" w14:textId="77777777" w:rsidR="0005182A" w:rsidRDefault="0005182A" w:rsidP="0005182A">
      <w:pPr>
        <w:spacing w:after="120" w:line="276" w:lineRule="auto"/>
      </w:pPr>
      <w:proofErr w:type="spellStart"/>
      <w:r w:rsidRPr="0005182A">
        <w:t>Currys</w:t>
      </w:r>
      <w:proofErr w:type="spellEnd"/>
      <w:r w:rsidRPr="0005182A">
        <w:t xml:space="preserve"> plc (2025) </w:t>
      </w:r>
      <w:proofErr w:type="spellStart"/>
      <w:r w:rsidRPr="0005182A">
        <w:t>Currys</w:t>
      </w:r>
      <w:proofErr w:type="spellEnd"/>
      <w:r w:rsidRPr="0005182A">
        <w:t>' leaders named as Inclusion Role Models for second year running. Available at: currysplc.com (Accessed: 17 July 2026).</w:t>
      </w:r>
    </w:p>
    <w:p w14:paraId="744E5898" w14:textId="77777777" w:rsidR="0005182A" w:rsidRDefault="0005182A" w:rsidP="0005182A">
      <w:pPr>
        <w:spacing w:after="120" w:line="276" w:lineRule="auto"/>
      </w:pPr>
      <w:proofErr w:type="spellStart"/>
      <w:r w:rsidRPr="0005182A">
        <w:t>Currys</w:t>
      </w:r>
      <w:proofErr w:type="spellEnd"/>
      <w:r w:rsidRPr="0005182A">
        <w:t xml:space="preserve"> plc (n.d.) </w:t>
      </w:r>
      <w:proofErr w:type="spellStart"/>
      <w:r w:rsidRPr="0005182A">
        <w:t>Currys</w:t>
      </w:r>
      <w:proofErr w:type="spellEnd"/>
      <w:r w:rsidRPr="0005182A">
        <w:t xml:space="preserve"> Group Inclusion &amp; Diversity Commitment and Principles. Available at: currysplc.com (Accessed: 17 July 2026).</w:t>
      </w:r>
    </w:p>
    <w:p w14:paraId="53195DE9" w14:textId="77777777" w:rsidR="00737CC2" w:rsidRDefault="00FD3604">
      <w:pPr>
        <w:spacing w:after="160" w:line="276" w:lineRule="auto"/>
        <w:ind w:left="720" w:hanging="720"/>
      </w:pPr>
      <w:proofErr w:type="spellStart"/>
      <w:r>
        <w:t>Currys</w:t>
      </w:r>
      <w:proofErr w:type="spellEnd"/>
      <w:r>
        <w:t xml:space="preserve"> plc (2025) Annual Report and Accounts 2024/25. Available at: https://www.currysplc.com (Accessed: 8 July 2026).</w:t>
      </w:r>
    </w:p>
    <w:p w14:paraId="0F349774" w14:textId="77777777" w:rsidR="00737CC2" w:rsidRDefault="00FD3604">
      <w:pPr>
        <w:spacing w:after="160" w:line="276" w:lineRule="auto"/>
        <w:ind w:left="720" w:hanging="720"/>
      </w:pPr>
      <w:proofErr w:type="spellStart"/>
      <w:r>
        <w:t>Currys</w:t>
      </w:r>
      <w:proofErr w:type="spellEnd"/>
      <w:r>
        <w:t xml:space="preserve"> plc (2025) </w:t>
      </w:r>
      <w:proofErr w:type="spellStart"/>
      <w:r>
        <w:t>Currys</w:t>
      </w:r>
      <w:proofErr w:type="spellEnd"/>
      <w:r>
        <w:t xml:space="preserve"> Interim Results 2025/26. Available at: https://www.currysplc.com/news-media/press-releases/2025/currys-interim-results-2025-26/ (Accessed: 8 July 2026).</w:t>
      </w:r>
    </w:p>
    <w:p w14:paraId="6FA2EE84" w14:textId="77777777" w:rsidR="00737CC2" w:rsidRDefault="00FD3604">
      <w:pPr>
        <w:spacing w:after="160" w:line="276" w:lineRule="auto"/>
        <w:ind w:left="720" w:hanging="720"/>
      </w:pPr>
      <w:proofErr w:type="spellStart"/>
      <w:r>
        <w:t>Currys</w:t>
      </w:r>
      <w:proofErr w:type="spellEnd"/>
      <w:r>
        <w:t xml:space="preserve"> plc (2025) Our Approach. Available at: https://www.currysplc.com/sustainable-business/our-approach/ (Accessed: 8 July 2026).</w:t>
      </w:r>
    </w:p>
    <w:p w14:paraId="0F02085F" w14:textId="00E64558" w:rsidR="005F172E" w:rsidRDefault="00FD3604" w:rsidP="005F172E">
      <w:pPr>
        <w:spacing w:after="160" w:line="276" w:lineRule="auto"/>
        <w:ind w:left="720" w:hanging="720"/>
      </w:pPr>
      <w:proofErr w:type="spellStart"/>
      <w:r>
        <w:t>Currys</w:t>
      </w:r>
      <w:proofErr w:type="spellEnd"/>
      <w:r>
        <w:t xml:space="preserve"> plc (2025) Sustainable Business. Available at: https://www.currysplc.com/sustainable-business/ (Accessed: 8 July 2026).</w:t>
      </w:r>
    </w:p>
    <w:p w14:paraId="79BB17EE" w14:textId="77777777" w:rsidR="005F172E" w:rsidRPr="005F172E" w:rsidRDefault="005F172E" w:rsidP="005F172E">
      <w:pPr>
        <w:spacing w:line="360" w:lineRule="atLeast"/>
        <w:rPr>
          <w:rFonts w:asciiTheme="minorBidi" w:eastAsia="Times New Roman" w:hAnsiTheme="minorBidi" w:cstheme="minorBidi"/>
        </w:rPr>
      </w:pPr>
      <w:r w:rsidRPr="005F172E">
        <w:rPr>
          <w:rFonts w:asciiTheme="minorBidi" w:eastAsia="Times New Roman" w:hAnsiTheme="minorBidi" w:cstheme="minorBidi"/>
        </w:rPr>
        <w:t xml:space="preserve">corentin.roux@lasuiteandco.com (2024). </w:t>
      </w:r>
      <w:r w:rsidRPr="005F172E">
        <w:rPr>
          <w:rFonts w:asciiTheme="minorBidi" w:eastAsia="Times New Roman" w:hAnsiTheme="minorBidi" w:cstheme="minorBidi"/>
          <w:i/>
          <w:iCs/>
        </w:rPr>
        <w:t>HR trends: Retention is the new Recruitment - 365Talents</w:t>
      </w:r>
      <w:r w:rsidRPr="005F172E">
        <w:rPr>
          <w:rFonts w:asciiTheme="minorBidi" w:eastAsia="Times New Roman" w:hAnsiTheme="minorBidi" w:cstheme="minorBidi"/>
        </w:rPr>
        <w:t>. [online] 365Talents. Available at: https://365talents.com/en/resources/hr-trends-retention-is-the-new-recruitment/ [Accessed 18 July 2026].</w:t>
      </w:r>
    </w:p>
    <w:p w14:paraId="35040A6D" w14:textId="77777777" w:rsidR="005F172E" w:rsidRDefault="005F172E">
      <w:pPr>
        <w:spacing w:after="160" w:line="276" w:lineRule="auto"/>
        <w:ind w:left="720" w:hanging="720"/>
      </w:pPr>
    </w:p>
    <w:sectPr w:rsidR="005F172E">
      <w:headerReference w:type="default" r:id="rId8"/>
      <w:footerReference w:type="default" r:id="rId9"/>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BB2AAA" w14:textId="77777777" w:rsidR="007E427A" w:rsidRDefault="007E427A">
      <w:pPr>
        <w:spacing w:line="240" w:lineRule="auto"/>
      </w:pPr>
      <w:r>
        <w:separator/>
      </w:r>
    </w:p>
  </w:endnote>
  <w:endnote w:type="continuationSeparator" w:id="0">
    <w:p w14:paraId="32777ED5" w14:textId="77777777" w:rsidR="007E427A" w:rsidRDefault="007E42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ource Sans Pro">
    <w:charset w:val="00"/>
    <w:family w:val="swiss"/>
    <w:pitch w:val="variable"/>
    <w:sig w:usb0="600002F7" w:usb1="02000001"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4F2FF2" w14:textId="77777777" w:rsidR="00737CC2" w:rsidRDefault="00FD3604">
    <w:pPr>
      <w:jc w:val="center"/>
    </w:pPr>
    <w:r>
      <w:rPr>
        <w:color w:val="888888"/>
        <w:sz w:val="18"/>
        <w:szCs w:val="18"/>
      </w:rPr>
      <w:t xml:space="preserve">Page </w:t>
    </w:r>
    <w:r>
      <w:rPr>
        <w:color w:val="888888"/>
        <w:sz w:val="18"/>
        <w:szCs w:val="18"/>
      </w:rPr>
      <w:fldChar w:fldCharType="begin"/>
    </w:r>
    <w:r>
      <w:rPr>
        <w:color w:val="888888"/>
        <w:sz w:val="18"/>
        <w:szCs w:val="18"/>
      </w:rPr>
      <w:instrText>PAGE</w:instrText>
    </w:r>
    <w:r>
      <w:rPr>
        <w:color w:val="888888"/>
        <w:sz w:val="18"/>
        <w:szCs w:val="18"/>
      </w:rPr>
      <w:fldChar w:fldCharType="separate"/>
    </w:r>
    <w:r w:rsidR="00AD7BBD">
      <w:rPr>
        <w:noProof/>
        <w:color w:val="888888"/>
        <w:sz w:val="18"/>
        <w:szCs w:val="18"/>
      </w:rPr>
      <w:t>1</w:t>
    </w:r>
    <w:r>
      <w:rPr>
        <w:color w:val="888888"/>
        <w:sz w:val="18"/>
        <w:szCs w:val="18"/>
      </w:rPr>
      <w:fldChar w:fldCharType="end"/>
    </w:r>
    <w:r>
      <w:rPr>
        <w:color w:val="888888"/>
        <w:sz w:val="18"/>
        <w:szCs w:val="18"/>
      </w:rPr>
      <w:t xml:space="preserve"> of </w:t>
    </w:r>
    <w:r>
      <w:rPr>
        <w:color w:val="888888"/>
        <w:sz w:val="18"/>
        <w:szCs w:val="18"/>
      </w:rPr>
      <w:fldChar w:fldCharType="begin"/>
    </w:r>
    <w:r>
      <w:rPr>
        <w:color w:val="888888"/>
        <w:sz w:val="18"/>
        <w:szCs w:val="18"/>
      </w:rPr>
      <w:instrText>NUMPAGES</w:instrText>
    </w:r>
    <w:r>
      <w:rPr>
        <w:color w:val="888888"/>
        <w:sz w:val="18"/>
        <w:szCs w:val="18"/>
      </w:rPr>
      <w:fldChar w:fldCharType="separate"/>
    </w:r>
    <w:r w:rsidR="00AD7BBD">
      <w:rPr>
        <w:noProof/>
        <w:color w:val="888888"/>
        <w:sz w:val="18"/>
        <w:szCs w:val="18"/>
      </w:rPr>
      <w:t>2</w:t>
    </w:r>
    <w:r>
      <w:rPr>
        <w:color w:val="888888"/>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B54498" w14:textId="77777777" w:rsidR="007E427A" w:rsidRDefault="007E427A">
      <w:pPr>
        <w:spacing w:line="240" w:lineRule="auto"/>
      </w:pPr>
      <w:r>
        <w:separator/>
      </w:r>
    </w:p>
  </w:footnote>
  <w:footnote w:type="continuationSeparator" w:id="0">
    <w:p w14:paraId="7A34A546" w14:textId="77777777" w:rsidR="007E427A" w:rsidRDefault="007E427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D4E32E" w14:textId="63B65B7F" w:rsidR="00476FBD" w:rsidRDefault="00476FBD" w:rsidP="00476FBD">
    <w:pPr>
      <w:pStyle w:val="Header"/>
    </w:pPr>
    <w:r w:rsidRPr="00476FBD">
      <w:rPr>
        <w:noProof/>
      </w:rPr>
      <w:drawing>
        <wp:inline distT="0" distB="0" distL="0" distR="0" wp14:anchorId="65E109B3" wp14:editId="7B212555">
          <wp:extent cx="1181100" cy="493993"/>
          <wp:effectExtent l="0" t="0" r="0" b="1905"/>
          <wp:docPr id="1" name="Picture 12">
            <a:extLst xmlns:a="http://schemas.openxmlformats.org/drawingml/2006/main">
              <a:ext uri="{FF2B5EF4-FFF2-40B4-BE49-F238E27FC236}">
                <a16:creationId xmlns:a16="http://schemas.microsoft.com/office/drawing/2014/main" id="{4A7068EB-2FE8-4A9E-B4FB-4D89554747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2">
                    <a:extLst>
                      <a:ext uri="{FF2B5EF4-FFF2-40B4-BE49-F238E27FC236}">
                        <a16:creationId xmlns:a16="http://schemas.microsoft.com/office/drawing/2014/main" id="{4A7068EB-2FE8-4A9E-B4FB-4D8955474707}"/>
                      </a:ext>
                    </a:extLst>
                  </pic:cNvPr>
                  <pic:cNvPicPr>
                    <a:picLocks noChangeAspect="1"/>
                  </pic:cNvPicPr>
                </pic:nvPicPr>
                <pic:blipFill>
                  <a:blip r:embed="rId1"/>
                  <a:stretch>
                    <a:fillRect/>
                  </a:stretch>
                </pic:blipFill>
                <pic:spPr>
                  <a:xfrm>
                    <a:off x="0" y="0"/>
                    <a:ext cx="1226087" cy="51280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B77B8"/>
    <w:multiLevelType w:val="hybridMultilevel"/>
    <w:tmpl w:val="F3F6A6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5AA2EA5"/>
    <w:multiLevelType w:val="hybridMultilevel"/>
    <w:tmpl w:val="6EAC4D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B9D6444"/>
    <w:multiLevelType w:val="hybridMultilevel"/>
    <w:tmpl w:val="80DE6A44"/>
    <w:lvl w:ilvl="0" w:tplc="4320AD06">
      <w:start w:val="1"/>
      <w:numFmt w:val="bullet"/>
      <w:lvlText w:val="●"/>
      <w:lvlJc w:val="left"/>
      <w:pPr>
        <w:ind w:left="720" w:hanging="360"/>
      </w:pPr>
    </w:lvl>
    <w:lvl w:ilvl="1" w:tplc="40D21884">
      <w:start w:val="1"/>
      <w:numFmt w:val="bullet"/>
      <w:lvlText w:val="○"/>
      <w:lvlJc w:val="left"/>
      <w:pPr>
        <w:ind w:left="1440" w:hanging="360"/>
      </w:pPr>
    </w:lvl>
    <w:lvl w:ilvl="2" w:tplc="CA7EE9F8">
      <w:start w:val="1"/>
      <w:numFmt w:val="bullet"/>
      <w:lvlText w:val="■"/>
      <w:lvlJc w:val="left"/>
      <w:pPr>
        <w:ind w:left="2160" w:hanging="360"/>
      </w:pPr>
    </w:lvl>
    <w:lvl w:ilvl="3" w:tplc="95FC860A">
      <w:start w:val="1"/>
      <w:numFmt w:val="bullet"/>
      <w:lvlText w:val="●"/>
      <w:lvlJc w:val="left"/>
      <w:pPr>
        <w:ind w:left="2880" w:hanging="360"/>
      </w:pPr>
    </w:lvl>
    <w:lvl w:ilvl="4" w:tplc="B6488F5A">
      <w:start w:val="1"/>
      <w:numFmt w:val="bullet"/>
      <w:lvlText w:val="○"/>
      <w:lvlJc w:val="left"/>
      <w:pPr>
        <w:ind w:left="3600" w:hanging="360"/>
      </w:pPr>
    </w:lvl>
    <w:lvl w:ilvl="5" w:tplc="F86E29A2">
      <w:start w:val="1"/>
      <w:numFmt w:val="bullet"/>
      <w:lvlText w:val="■"/>
      <w:lvlJc w:val="left"/>
      <w:pPr>
        <w:ind w:left="4320" w:hanging="360"/>
      </w:pPr>
    </w:lvl>
    <w:lvl w:ilvl="6" w:tplc="7404353A">
      <w:start w:val="1"/>
      <w:numFmt w:val="bullet"/>
      <w:lvlText w:val="●"/>
      <w:lvlJc w:val="left"/>
      <w:pPr>
        <w:ind w:left="5040" w:hanging="360"/>
      </w:pPr>
    </w:lvl>
    <w:lvl w:ilvl="7" w:tplc="6C021E5A">
      <w:start w:val="1"/>
      <w:numFmt w:val="bullet"/>
      <w:lvlText w:val="●"/>
      <w:lvlJc w:val="left"/>
      <w:pPr>
        <w:ind w:left="5760" w:hanging="360"/>
      </w:pPr>
    </w:lvl>
    <w:lvl w:ilvl="8" w:tplc="CA664AD0">
      <w:start w:val="1"/>
      <w:numFmt w:val="bullet"/>
      <w:lvlText w:val="●"/>
      <w:lvlJc w:val="left"/>
      <w:pPr>
        <w:ind w:left="6480" w:hanging="360"/>
      </w:pPr>
    </w:lvl>
  </w:abstractNum>
  <w:abstractNum w:abstractNumId="3" w15:restartNumberingAfterBreak="0">
    <w:nsid w:val="3C3339CC"/>
    <w:multiLevelType w:val="hybridMultilevel"/>
    <w:tmpl w:val="FA2CF09E"/>
    <w:lvl w:ilvl="0" w:tplc="7494E750">
      <w:start w:val="1"/>
      <w:numFmt w:val="decimal"/>
      <w:lvlText w:val="%1."/>
      <w:lvlJc w:val="left"/>
      <w:pPr>
        <w:ind w:left="720" w:hanging="360"/>
      </w:pPr>
    </w:lvl>
    <w:lvl w:ilvl="1" w:tplc="A4469CC6">
      <w:numFmt w:val="decimal"/>
      <w:lvlText w:val=""/>
      <w:lvlJc w:val="left"/>
    </w:lvl>
    <w:lvl w:ilvl="2" w:tplc="D1F07A34">
      <w:numFmt w:val="decimal"/>
      <w:lvlText w:val=""/>
      <w:lvlJc w:val="left"/>
    </w:lvl>
    <w:lvl w:ilvl="3" w:tplc="B144E950">
      <w:numFmt w:val="decimal"/>
      <w:lvlText w:val=""/>
      <w:lvlJc w:val="left"/>
    </w:lvl>
    <w:lvl w:ilvl="4" w:tplc="5A784A76">
      <w:numFmt w:val="decimal"/>
      <w:lvlText w:val=""/>
      <w:lvlJc w:val="left"/>
    </w:lvl>
    <w:lvl w:ilvl="5" w:tplc="1794E99A">
      <w:numFmt w:val="decimal"/>
      <w:lvlText w:val=""/>
      <w:lvlJc w:val="left"/>
    </w:lvl>
    <w:lvl w:ilvl="6" w:tplc="3872F18E">
      <w:numFmt w:val="decimal"/>
      <w:lvlText w:val=""/>
      <w:lvlJc w:val="left"/>
    </w:lvl>
    <w:lvl w:ilvl="7" w:tplc="57E2F4F0">
      <w:numFmt w:val="decimal"/>
      <w:lvlText w:val=""/>
      <w:lvlJc w:val="left"/>
    </w:lvl>
    <w:lvl w:ilvl="8" w:tplc="267016AE">
      <w:numFmt w:val="decimal"/>
      <w:lvlText w:val=""/>
      <w:lvlJc w:val="left"/>
    </w:lvl>
  </w:abstractNum>
  <w:num w:numId="1">
    <w:abstractNumId w:val="2"/>
    <w:lvlOverride w:ilvl="0">
      <w:startOverride w:val="1"/>
    </w:lvlOverride>
  </w:num>
  <w:num w:numId="2">
    <w:abstractNumId w:val="1"/>
  </w:num>
  <w:num w:numId="3">
    <w:abstractNumId w:val="3"/>
    <w:lvlOverride w:ilvl="0">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37CC2"/>
    <w:rsid w:val="0005182A"/>
    <w:rsid w:val="000D76FA"/>
    <w:rsid w:val="000F6E16"/>
    <w:rsid w:val="00147FC6"/>
    <w:rsid w:val="00155321"/>
    <w:rsid w:val="00240E56"/>
    <w:rsid w:val="00242B15"/>
    <w:rsid w:val="002A1062"/>
    <w:rsid w:val="002B63D5"/>
    <w:rsid w:val="002D726B"/>
    <w:rsid w:val="002E1650"/>
    <w:rsid w:val="002F2591"/>
    <w:rsid w:val="003A4CF6"/>
    <w:rsid w:val="003D459A"/>
    <w:rsid w:val="00433AC4"/>
    <w:rsid w:val="00476FBD"/>
    <w:rsid w:val="00485D56"/>
    <w:rsid w:val="004877C6"/>
    <w:rsid w:val="004934F4"/>
    <w:rsid w:val="004D3918"/>
    <w:rsid w:val="0053608E"/>
    <w:rsid w:val="005805DD"/>
    <w:rsid w:val="0059727E"/>
    <w:rsid w:val="005D60AB"/>
    <w:rsid w:val="005F172E"/>
    <w:rsid w:val="005F524F"/>
    <w:rsid w:val="00602D7E"/>
    <w:rsid w:val="00643B6B"/>
    <w:rsid w:val="00656CA6"/>
    <w:rsid w:val="006704F9"/>
    <w:rsid w:val="006B22C6"/>
    <w:rsid w:val="006C4236"/>
    <w:rsid w:val="00705FA7"/>
    <w:rsid w:val="0073625E"/>
    <w:rsid w:val="00737CC2"/>
    <w:rsid w:val="00786DB4"/>
    <w:rsid w:val="007E1C3C"/>
    <w:rsid w:val="007E427A"/>
    <w:rsid w:val="007F1032"/>
    <w:rsid w:val="007F3802"/>
    <w:rsid w:val="00885721"/>
    <w:rsid w:val="0090193D"/>
    <w:rsid w:val="00913558"/>
    <w:rsid w:val="009344F4"/>
    <w:rsid w:val="009B238F"/>
    <w:rsid w:val="00A70B21"/>
    <w:rsid w:val="00AD7BBD"/>
    <w:rsid w:val="00B0345E"/>
    <w:rsid w:val="00B034E8"/>
    <w:rsid w:val="00B532C3"/>
    <w:rsid w:val="00B568F1"/>
    <w:rsid w:val="00C0425A"/>
    <w:rsid w:val="00C950EC"/>
    <w:rsid w:val="00CD0F32"/>
    <w:rsid w:val="00CF6C5E"/>
    <w:rsid w:val="00D1443E"/>
    <w:rsid w:val="00D22D99"/>
    <w:rsid w:val="00D47D79"/>
    <w:rsid w:val="00D5344B"/>
    <w:rsid w:val="00D870B9"/>
    <w:rsid w:val="00DD0729"/>
    <w:rsid w:val="00E23558"/>
    <w:rsid w:val="00E25F99"/>
    <w:rsid w:val="00E6752E"/>
    <w:rsid w:val="00E77519"/>
    <w:rsid w:val="00EB0030"/>
    <w:rsid w:val="00EC24CE"/>
    <w:rsid w:val="00F01CBF"/>
    <w:rsid w:val="00F65773"/>
    <w:rsid w:val="00F81DFC"/>
    <w:rsid w:val="00FB57E8"/>
    <w:rsid w:val="00FC265B"/>
    <w:rsid w:val="00FD36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FC42A"/>
  <w15:docId w15:val="{6F2A2AF9-0E0F-4B9B-B03E-E1A8B42140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Header">
    <w:name w:val="header"/>
    <w:basedOn w:val="Normal"/>
    <w:link w:val="HeaderChar"/>
    <w:uiPriority w:val="99"/>
    <w:unhideWhenUsed/>
    <w:rsid w:val="00476FBD"/>
    <w:pPr>
      <w:tabs>
        <w:tab w:val="center" w:pos="4680"/>
        <w:tab w:val="right" w:pos="9360"/>
      </w:tabs>
      <w:spacing w:line="240" w:lineRule="auto"/>
    </w:pPr>
  </w:style>
  <w:style w:type="character" w:customStyle="1" w:styleId="HeaderChar">
    <w:name w:val="Header Char"/>
    <w:basedOn w:val="DefaultParagraphFont"/>
    <w:link w:val="Header"/>
    <w:uiPriority w:val="99"/>
    <w:rsid w:val="00476FBD"/>
  </w:style>
  <w:style w:type="paragraph" w:styleId="Footer">
    <w:name w:val="footer"/>
    <w:basedOn w:val="Normal"/>
    <w:link w:val="FooterChar"/>
    <w:uiPriority w:val="99"/>
    <w:unhideWhenUsed/>
    <w:rsid w:val="00476FBD"/>
    <w:pPr>
      <w:tabs>
        <w:tab w:val="center" w:pos="4680"/>
        <w:tab w:val="right" w:pos="9360"/>
      </w:tabs>
      <w:spacing w:line="240" w:lineRule="auto"/>
    </w:pPr>
  </w:style>
  <w:style w:type="character" w:customStyle="1" w:styleId="FooterChar">
    <w:name w:val="Footer Char"/>
    <w:basedOn w:val="DefaultParagraphFont"/>
    <w:link w:val="Footer"/>
    <w:uiPriority w:val="99"/>
    <w:rsid w:val="00476FBD"/>
  </w:style>
  <w:style w:type="paragraph" w:styleId="TOCHeading">
    <w:name w:val="TOC Heading"/>
    <w:basedOn w:val="Heading1"/>
    <w:next w:val="Normal"/>
    <w:uiPriority w:val="39"/>
    <w:unhideWhenUsed/>
    <w:qFormat/>
    <w:rsid w:val="005D60AB"/>
    <w:pPr>
      <w:keepNext/>
      <w:keepLines/>
      <w:spacing w:before="240" w:line="259" w:lineRule="auto"/>
      <w:outlineLvl w:val="9"/>
    </w:pPr>
    <w:rPr>
      <w:rFonts w:asciiTheme="majorHAnsi" w:eastAsiaTheme="majorEastAsia" w:hAnsiTheme="majorHAnsi" w:cstheme="majorBidi"/>
      <w:color w:val="2F5496" w:themeColor="accent1" w:themeShade="BF"/>
    </w:rPr>
  </w:style>
  <w:style w:type="paragraph" w:styleId="TOC1">
    <w:name w:val="toc 1"/>
    <w:basedOn w:val="Normal"/>
    <w:next w:val="Normal"/>
    <w:autoRedefine/>
    <w:uiPriority w:val="39"/>
    <w:unhideWhenUsed/>
    <w:rsid w:val="005D60AB"/>
    <w:pPr>
      <w:spacing w:after="100"/>
    </w:pPr>
  </w:style>
  <w:style w:type="paragraph" w:styleId="TOC2">
    <w:name w:val="toc 2"/>
    <w:basedOn w:val="Normal"/>
    <w:next w:val="Normal"/>
    <w:autoRedefine/>
    <w:uiPriority w:val="39"/>
    <w:unhideWhenUsed/>
    <w:rsid w:val="005D60A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6711960">
      <w:bodyDiv w:val="1"/>
      <w:marLeft w:val="0"/>
      <w:marRight w:val="0"/>
      <w:marTop w:val="0"/>
      <w:marBottom w:val="0"/>
      <w:divBdr>
        <w:top w:val="none" w:sz="0" w:space="0" w:color="auto"/>
        <w:left w:val="none" w:sz="0" w:space="0" w:color="auto"/>
        <w:bottom w:val="none" w:sz="0" w:space="0" w:color="auto"/>
        <w:right w:val="none" w:sz="0" w:space="0" w:color="auto"/>
      </w:divBdr>
      <w:divsChild>
        <w:div w:id="1756392470">
          <w:marLeft w:val="0"/>
          <w:marRight w:val="0"/>
          <w:marTop w:val="0"/>
          <w:marBottom w:val="0"/>
          <w:divBdr>
            <w:top w:val="none" w:sz="0" w:space="0" w:color="auto"/>
            <w:left w:val="none" w:sz="0" w:space="0" w:color="auto"/>
            <w:bottom w:val="none" w:sz="0" w:space="0" w:color="auto"/>
            <w:right w:val="none" w:sz="0" w:space="0" w:color="auto"/>
          </w:divBdr>
          <w:divsChild>
            <w:div w:id="265384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72196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FF0752-FD28-49AF-9B05-3ACD6E769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3150</TotalTime>
  <Pages>8</Pages>
  <Words>2375</Words>
  <Characters>13544</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Abeer Siddig</cp:lastModifiedBy>
  <cp:revision>29</cp:revision>
  <dcterms:created xsi:type="dcterms:W3CDTF">2026-07-08T13:25:00Z</dcterms:created>
  <dcterms:modified xsi:type="dcterms:W3CDTF">2026-07-19T16:37:00Z</dcterms:modified>
</cp:coreProperties>
</file>