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sz w:val="26"/>
          <w:szCs w:val="26"/>
          <w:u w:val="single"/>
        </w:rPr>
      </w:pPr>
      <w:r w:rsidDel="00000000" w:rsidR="00000000" w:rsidRPr="00000000">
        <w:rPr>
          <w:sz w:val="26"/>
          <w:szCs w:val="26"/>
          <w:u w:val="single"/>
          <w:rtl w:val="0"/>
        </w:rPr>
        <w:t xml:space="preserve">AI statement</w:t>
      </w:r>
    </w:p>
    <w:p w:rsidR="00000000" w:rsidDel="00000000" w:rsidP="00000000" w:rsidRDefault="00000000" w:rsidRPr="00000000" w14:paraId="00000002">
      <w:pPr>
        <w:rPr/>
      </w:pPr>
      <w:r w:rsidDel="00000000" w:rsidR="00000000" w:rsidRPr="00000000">
        <w:rPr>
          <w:rtl w:val="0"/>
        </w:rPr>
        <w:t xml:space="preserve">I haven’t used AI in the assignment.</w:t>
      </w:r>
      <w:r w:rsidDel="00000000" w:rsidR="00000000" w:rsidRPr="00000000">
        <w:rPr>
          <w:rtl w:val="0"/>
        </w:rPr>
      </w:r>
    </w:p>
    <w:p w:rsidR="00000000" w:rsidDel="00000000" w:rsidP="00000000" w:rsidRDefault="00000000" w:rsidRPr="00000000" w14:paraId="00000003">
      <w:pPr>
        <w:rPr>
          <w:sz w:val="26"/>
          <w:szCs w:val="26"/>
          <w:u w:val="single"/>
        </w:rPr>
      </w:pPr>
      <w:r w:rsidDel="00000000" w:rsidR="00000000" w:rsidRPr="00000000">
        <w:rPr>
          <w:rtl w:val="0"/>
        </w:rPr>
      </w:r>
    </w:p>
    <w:p w:rsidR="00000000" w:rsidDel="00000000" w:rsidP="00000000" w:rsidRDefault="00000000" w:rsidRPr="00000000" w14:paraId="00000004">
      <w:pPr>
        <w:rPr>
          <w:sz w:val="26"/>
          <w:szCs w:val="26"/>
          <w:u w:val="single"/>
        </w:rPr>
      </w:pPr>
      <w:r w:rsidDel="00000000" w:rsidR="00000000" w:rsidRPr="00000000">
        <w:rPr>
          <w:rtl w:val="0"/>
        </w:rPr>
      </w:r>
    </w:p>
    <w:p w:rsidR="00000000" w:rsidDel="00000000" w:rsidP="00000000" w:rsidRDefault="00000000" w:rsidRPr="00000000" w14:paraId="00000005">
      <w:pPr>
        <w:rPr/>
      </w:pPr>
      <w:r w:rsidDel="00000000" w:rsidR="00000000" w:rsidRPr="00000000">
        <w:rPr>
          <w:sz w:val="26"/>
          <w:szCs w:val="26"/>
          <w:u w:val="single"/>
          <w:rtl w:val="0"/>
        </w:rPr>
        <w:t xml:space="preserve">Bannister Primary School</w:t>
      </w: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In the case of Elijah Banner Primary School is likely liable for the personal injury suffered by Elijah.</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To determine whether a duty of care was present we use the three-part test established in </w:t>
      </w:r>
      <w:r w:rsidDel="00000000" w:rsidR="00000000" w:rsidRPr="00000000">
        <w:rPr>
          <w:u w:val="single"/>
          <w:rtl w:val="0"/>
        </w:rPr>
        <w:t xml:space="preserve">Caparo v Dickman (1990)</w:t>
      </w:r>
      <w:r w:rsidDel="00000000" w:rsidR="00000000" w:rsidRPr="00000000">
        <w:rPr>
          <w:rtl w:val="0"/>
        </w:rPr>
        <w:t xml:space="preserve"> overruling the historic </w:t>
      </w:r>
      <w:r w:rsidDel="00000000" w:rsidR="00000000" w:rsidRPr="00000000">
        <w:rPr>
          <w:u w:val="single"/>
          <w:rtl w:val="0"/>
        </w:rPr>
        <w:t xml:space="preserve">Donghue v Stevenson (1932)</w:t>
      </w:r>
      <w:r w:rsidDel="00000000" w:rsidR="00000000" w:rsidRPr="00000000">
        <w:rPr>
          <w:rtl w:val="0"/>
        </w:rPr>
        <w:t xml:space="preserve">. It sets out the three criteria for a duty of care to be established. Those being, that harm must be reasonably foreseeable; there must be a sufficiently close relationship between the claimant and the defendant and it is fair just and reasonable to impose a duty of care. In the case of Elijah, the reasonable teacher would foresee that Elijah could suffer injury if let out into a playground unsupervised (</w:t>
      </w:r>
      <w:r w:rsidDel="00000000" w:rsidR="00000000" w:rsidRPr="00000000">
        <w:rPr>
          <w:u w:val="single"/>
          <w:rtl w:val="0"/>
        </w:rPr>
        <w:t xml:space="preserve">Kent v Griffiths 2000</w:t>
      </w:r>
      <w:r w:rsidDel="00000000" w:rsidR="00000000" w:rsidRPr="00000000">
        <w:rPr>
          <w:rtl w:val="0"/>
        </w:rPr>
        <w:t xml:space="preserve">); there is sufficient proximity between Elijah and Miss Grace (</w:t>
      </w:r>
      <w:r w:rsidDel="00000000" w:rsidR="00000000" w:rsidRPr="00000000">
        <w:rPr>
          <w:u w:val="single"/>
          <w:rtl w:val="0"/>
        </w:rPr>
        <w:t xml:space="preserve">Nettleship v Weston 1971</w:t>
      </w:r>
      <w:r w:rsidDel="00000000" w:rsidR="00000000" w:rsidRPr="00000000">
        <w:rPr>
          <w:rtl w:val="0"/>
        </w:rPr>
        <w:t xml:space="preserve">) and it would likely be seen as fair just and reasonable to impose a duty of care due to the facts of the case (</w:t>
      </w:r>
      <w:r w:rsidDel="00000000" w:rsidR="00000000" w:rsidRPr="00000000">
        <w:rPr>
          <w:u w:val="single"/>
          <w:rtl w:val="0"/>
        </w:rPr>
        <w:t xml:space="preserve">L &amp; Another v Reading Borough Council and Others 2007</w:t>
      </w:r>
      <w:r w:rsidDel="00000000" w:rsidR="00000000" w:rsidRPr="00000000">
        <w:rPr>
          <w:rtl w:val="0"/>
        </w:rPr>
        <w:t xml:space="preserve">).</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To establish whether a duty of care has been breached we test whether the defendant has failed to meet the standard of care of a reasonable person. This test is an objective test. In this case the defendant will likely be held to the standard of the reasonable professional of the same field (teacher) (</w:t>
      </w:r>
      <w:r w:rsidDel="00000000" w:rsidR="00000000" w:rsidRPr="00000000">
        <w:rPr>
          <w:u w:val="single"/>
          <w:rtl w:val="0"/>
        </w:rPr>
        <w:t xml:space="preserve">Bolam v Friern Barnet Hospital Management Committee 1957</w:t>
      </w:r>
      <w:r w:rsidDel="00000000" w:rsidR="00000000" w:rsidRPr="00000000">
        <w:rPr>
          <w:rtl w:val="0"/>
        </w:rPr>
        <w:t xml:space="preserve">). However, when deciding whether there has been a breach of duty the courts will consider certain factors that may raise or lower the standard required. In this case the standard of care is likely to be raised due to the likelihood of injury due to Elijah’s age (</w:t>
      </w:r>
      <w:r w:rsidDel="00000000" w:rsidR="00000000" w:rsidRPr="00000000">
        <w:rPr>
          <w:u w:val="single"/>
          <w:rtl w:val="0"/>
        </w:rPr>
        <w:t xml:space="preserve">Haley v London Electricity board 1965</w:t>
      </w:r>
      <w:r w:rsidDel="00000000" w:rsidR="00000000" w:rsidRPr="00000000">
        <w:rPr>
          <w:rtl w:val="0"/>
        </w:rPr>
        <w:t xml:space="preserve">), the fact that appropriate precautions haven’t been taken and that the cost of appropriate precautions would be inexpensive (</w:t>
      </w:r>
      <w:r w:rsidDel="00000000" w:rsidR="00000000" w:rsidRPr="00000000">
        <w:rPr>
          <w:u w:val="single"/>
          <w:rtl w:val="0"/>
        </w:rPr>
        <w:t xml:space="preserve">Latimer v AEC Ltd 1953</w:t>
      </w:r>
      <w:r w:rsidDel="00000000" w:rsidR="00000000" w:rsidRPr="00000000">
        <w:rPr>
          <w:rtl w:val="0"/>
        </w:rPr>
        <w:t xml:space="preserve">). It could also be argued that due to Elijah’s age his injury could be more serious (</w:t>
      </w:r>
      <w:r w:rsidDel="00000000" w:rsidR="00000000" w:rsidRPr="00000000">
        <w:rPr>
          <w:u w:val="single"/>
          <w:rtl w:val="0"/>
        </w:rPr>
        <w:t xml:space="preserve">Paris v Stepney Borough Council 1951</w:t>
      </w:r>
      <w:r w:rsidDel="00000000" w:rsidR="00000000" w:rsidRPr="00000000">
        <w:rPr>
          <w:rtl w:val="0"/>
        </w:rPr>
        <w:t xml:space="preserve">). With the consideration of all these aggravating factors it is clear Banner Primary School is in breach of their duty of care they owe to Elijah.</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Causation is made of two parts, factual and legal causation. Factual causation is determined using the “but for” test, on the balance of probabilities (</w:t>
      </w:r>
      <w:r w:rsidDel="00000000" w:rsidR="00000000" w:rsidRPr="00000000">
        <w:rPr>
          <w:u w:val="single"/>
          <w:rtl w:val="0"/>
        </w:rPr>
        <w:t xml:space="preserve">Page v Smith no.2 1996</w:t>
      </w:r>
      <w:r w:rsidDel="00000000" w:rsidR="00000000" w:rsidRPr="00000000">
        <w:rPr>
          <w:rtl w:val="0"/>
        </w:rPr>
        <w:t xml:space="preserve">).  But for the defendants actions the injury would not have occurred (</w:t>
      </w:r>
      <w:r w:rsidDel="00000000" w:rsidR="00000000" w:rsidRPr="00000000">
        <w:rPr>
          <w:u w:val="single"/>
          <w:rtl w:val="0"/>
        </w:rPr>
        <w:t xml:space="preserve">Barnett v Chelsea and Kensington Hospital Management Committee 1969</w:t>
      </w:r>
      <w:r w:rsidDel="00000000" w:rsidR="00000000" w:rsidRPr="00000000">
        <w:rPr>
          <w:rtl w:val="0"/>
        </w:rPr>
        <w:t xml:space="preserve">). In this case, as there is only one source of harm the “but for” test is applied strictly (</w:t>
      </w:r>
      <w:r w:rsidDel="00000000" w:rsidR="00000000" w:rsidRPr="00000000">
        <w:rPr>
          <w:u w:val="single"/>
          <w:rtl w:val="0"/>
        </w:rPr>
        <w:t xml:space="preserve">Wilsher v Essex Area Health Authority 1986</w:t>
      </w:r>
      <w:r w:rsidDel="00000000" w:rsidR="00000000" w:rsidRPr="00000000">
        <w:rPr>
          <w:rtl w:val="0"/>
        </w:rPr>
        <w:t xml:space="preserve">). But for Miss Grace opening the doors to the playground, Elijah wouldn’t have approached the pond and fell and hit his head. The chain of causation can be broken by the actions of a third party such as medical treatment (</w:t>
      </w:r>
      <w:r w:rsidDel="00000000" w:rsidR="00000000" w:rsidRPr="00000000">
        <w:rPr>
          <w:u w:val="single"/>
          <w:rtl w:val="0"/>
        </w:rPr>
        <w:t xml:space="preserve">Webb v Barclays Bank Plc and Portsmouth Hospital NHS Trust 2001</w:t>
      </w:r>
      <w:r w:rsidDel="00000000" w:rsidR="00000000" w:rsidRPr="00000000">
        <w:rPr>
          <w:rtl w:val="0"/>
        </w:rPr>
        <w:t xml:space="preserve">), or the victims own unreasonable actions (</w:t>
      </w:r>
      <w:r w:rsidDel="00000000" w:rsidR="00000000" w:rsidRPr="00000000">
        <w:rPr>
          <w:u w:val="single"/>
          <w:rtl w:val="0"/>
        </w:rPr>
        <w:t xml:space="preserve">Clay v TUI UK Ltd 2018</w:t>
      </w:r>
      <w:r w:rsidDel="00000000" w:rsidR="00000000" w:rsidRPr="00000000">
        <w:rPr>
          <w:rtl w:val="0"/>
        </w:rPr>
        <w:t xml:space="preserve">). In this case Elijah's own action of leaning over the pond is unlikely to result in Novus Actus Interveniens, an intervening act to break the chain of causation </w:t>
      </w:r>
      <w:r w:rsidDel="00000000" w:rsidR="00000000" w:rsidRPr="00000000">
        <w:rPr>
          <w:rtl w:val="0"/>
        </w:rPr>
        <w:t xml:space="preserve">(Martin &amp; Price, 2017, p. 220), as he’s 6-years old and the reasonable 6-year old would behave the same way. Legal causation includes two principles: remoteness and the eggshell skull rule. Remoteness asks whether the reasonable person would have foreseen the type of damage suffered as a result of the defendants (</w:t>
      </w:r>
      <w:r w:rsidDel="00000000" w:rsidR="00000000" w:rsidRPr="00000000">
        <w:rPr>
          <w:u w:val="single"/>
          <w:rtl w:val="0"/>
        </w:rPr>
        <w:t xml:space="preserve">The Wagon Mound</w:t>
      </w:r>
      <w:r w:rsidDel="00000000" w:rsidR="00000000" w:rsidRPr="00000000">
        <w:rPr>
          <w:rtl w:val="0"/>
        </w:rPr>
        <w:t xml:space="preserve">). The exact way in which it happens does not need to be foreseeable (</w:t>
      </w:r>
      <w:r w:rsidDel="00000000" w:rsidR="00000000" w:rsidRPr="00000000">
        <w:rPr>
          <w:u w:val="single"/>
          <w:rtl w:val="0"/>
        </w:rPr>
        <w:t xml:space="preserve">Hughes v Lord Advocate 1963</w:t>
      </w:r>
      <w:r w:rsidDel="00000000" w:rsidR="00000000" w:rsidRPr="00000000">
        <w:rPr>
          <w:rtl w:val="0"/>
        </w:rPr>
        <w:t xml:space="preserve">). In the case of Elijah, the reasonable person would have foreseen a 6-year old child could suffer a head injury if left unsupervised in a playground. The “eggshell skull” rule means the defendant must take the victim as s/he finds him/her (</w:t>
      </w:r>
      <w:r w:rsidDel="00000000" w:rsidR="00000000" w:rsidRPr="00000000">
        <w:rPr>
          <w:u w:val="single"/>
          <w:rtl w:val="0"/>
        </w:rPr>
        <w:t xml:space="preserve">Smith v Leech Brain &amp; Co. 1962</w:t>
      </w:r>
      <w:r w:rsidDel="00000000" w:rsidR="00000000" w:rsidRPr="00000000">
        <w:rPr>
          <w:rtl w:val="0"/>
        </w:rPr>
        <w:t xml:space="preserve">) (Martin &amp; Price, 2017, p. 221). So, the fact that Elijah’s injuries may have been worsened due to his age has no effect on Bannister Primary Schools liability. </w:t>
      </w: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In the case of Bodhi Banner Primary School is likely liable for the injuries suffered.</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Using the three-part test (</w:t>
      </w:r>
      <w:r w:rsidDel="00000000" w:rsidR="00000000" w:rsidRPr="00000000">
        <w:rPr>
          <w:u w:val="single"/>
          <w:rtl w:val="0"/>
        </w:rPr>
        <w:t xml:space="preserve">Caparo v Dickman 1990</w:t>
      </w:r>
      <w:r w:rsidDel="00000000" w:rsidR="00000000" w:rsidRPr="00000000">
        <w:rPr>
          <w:rtl w:val="0"/>
        </w:rPr>
        <w:t xml:space="preserve">) the reasonable person would have foreseen some harm in the circumstances; there is sufficient proximity and it isn’t unfair to impose a duty of care. </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Due to the facts of the case the principle “Res Ipsa Loquitor” latin for “the thing speaks for itself” (Martin &amp; Price, 2017, p. 221) may apply. For this to apply the defendant must be in control of the situation, in Bodhi’s case the dinner lady is in control; the accident wouldn’t have happened unless someone was negligent, had the dinner lady not been negligent the gravy wouldn’t have spilt on Bodhi and there’s no other explanation for the injury, the gravy is the sole reason for Bodhi’s injuries.</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In conclusion Banner Primary School is liable for the injuries suffered by both children.</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sz w:val="26"/>
          <w:szCs w:val="26"/>
          <w:u w:val="single"/>
        </w:rPr>
      </w:pPr>
      <w:r w:rsidDel="00000000" w:rsidR="00000000" w:rsidRPr="00000000">
        <w:rPr>
          <w:sz w:val="26"/>
          <w:szCs w:val="26"/>
          <w:u w:val="single"/>
          <w:rtl w:val="0"/>
        </w:rPr>
        <w:t xml:space="preserve">Reference List </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Jacqueline Martin </w:t>
      </w:r>
      <w:r w:rsidDel="00000000" w:rsidR="00000000" w:rsidRPr="00000000">
        <w:rPr>
          <w:sz w:val="24"/>
          <w:szCs w:val="24"/>
          <w:rtl w:val="0"/>
        </w:rPr>
        <w:t xml:space="preserve">&amp; </w:t>
      </w:r>
      <w:r w:rsidDel="00000000" w:rsidR="00000000" w:rsidRPr="00000000">
        <w:rPr>
          <w:rtl w:val="0"/>
        </w:rPr>
        <w:t xml:space="preserve">Nicolas Price (2017) </w:t>
      </w:r>
      <w:r w:rsidDel="00000000" w:rsidR="00000000" w:rsidRPr="00000000">
        <w:rPr>
          <w:i w:val="1"/>
          <w:rtl w:val="0"/>
        </w:rPr>
        <w:t xml:space="preserve">AQA A-Level Law for A-level year 1 and AS</w:t>
      </w:r>
      <w:r w:rsidDel="00000000" w:rsidR="00000000" w:rsidRPr="00000000">
        <w:rPr>
          <w:rtl w:val="0"/>
        </w:rPr>
        <w:t xml:space="preserve">, Hodder Education</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