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513BA" w14:textId="77777777" w:rsidR="0085429F" w:rsidRPr="00D93729" w:rsidRDefault="0085429F" w:rsidP="00B32A7B">
      <w:pPr>
        <w:spacing w:line="360" w:lineRule="auto"/>
        <w:jc w:val="center"/>
        <w:rPr>
          <w:rFonts w:cs="Arial"/>
        </w:rPr>
      </w:pPr>
      <w:r w:rsidRPr="00D93729">
        <w:rPr>
          <w:rFonts w:cs="Arial"/>
          <w:noProof/>
          <w:lang w:val="en-US"/>
        </w:rPr>
        <w:drawing>
          <wp:inline distT="0" distB="0" distL="0" distR="0" wp14:anchorId="23991D73" wp14:editId="694CFAE5">
            <wp:extent cx="3095625" cy="12382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5625" cy="1238250"/>
                    </a:xfrm>
                    <a:prstGeom prst="rect">
                      <a:avLst/>
                    </a:prstGeom>
                    <a:noFill/>
                  </pic:spPr>
                </pic:pic>
              </a:graphicData>
            </a:graphic>
          </wp:inline>
        </w:drawing>
      </w:r>
    </w:p>
    <w:p w14:paraId="1D998A18" w14:textId="77777777" w:rsidR="0085429F" w:rsidRPr="00D93729" w:rsidRDefault="0085429F" w:rsidP="00B32A7B">
      <w:pPr>
        <w:spacing w:line="360" w:lineRule="auto"/>
        <w:rPr>
          <w:rFonts w:cs="Arial"/>
        </w:rPr>
      </w:pPr>
    </w:p>
    <w:p w14:paraId="26538F64" w14:textId="77777777" w:rsidR="0085429F" w:rsidRPr="00D93729" w:rsidRDefault="0085429F" w:rsidP="00B32A7B">
      <w:pPr>
        <w:spacing w:line="360" w:lineRule="auto"/>
        <w:jc w:val="center"/>
        <w:rPr>
          <w:rFonts w:cs="Arial"/>
        </w:rPr>
      </w:pPr>
    </w:p>
    <w:p w14:paraId="6EB0AC8B" w14:textId="2B9743C2" w:rsidR="0085429F" w:rsidRPr="00D93729" w:rsidRDefault="0085429F" w:rsidP="00B32A7B">
      <w:pPr>
        <w:spacing w:line="360" w:lineRule="auto"/>
        <w:jc w:val="center"/>
        <w:rPr>
          <w:rFonts w:cs="Arial"/>
          <w:b/>
          <w:bCs/>
        </w:rPr>
      </w:pPr>
      <w:r w:rsidRPr="00D93729">
        <w:rPr>
          <w:rFonts w:cs="Arial"/>
          <w:b/>
          <w:bCs/>
        </w:rPr>
        <w:t>Student Name:</w:t>
      </w:r>
      <w:r w:rsidR="006C71C5" w:rsidRPr="00D93729">
        <w:rPr>
          <w:rFonts w:cs="Arial"/>
          <w:b/>
          <w:bCs/>
        </w:rPr>
        <w:t xml:space="preserve"> MD MAHTABUR RAHMAN TAREK</w:t>
      </w:r>
    </w:p>
    <w:p w14:paraId="0AD839B3" w14:textId="77777777" w:rsidR="0085429F" w:rsidRPr="00D93729" w:rsidRDefault="0085429F" w:rsidP="00B32A7B">
      <w:pPr>
        <w:spacing w:line="360" w:lineRule="auto"/>
        <w:jc w:val="center"/>
        <w:rPr>
          <w:rFonts w:cs="Arial"/>
          <w:b/>
          <w:bCs/>
        </w:rPr>
      </w:pPr>
    </w:p>
    <w:p w14:paraId="242A3C67" w14:textId="20CEAB6C" w:rsidR="0085429F" w:rsidRPr="00D93729" w:rsidRDefault="0085429F" w:rsidP="00B32A7B">
      <w:pPr>
        <w:spacing w:line="360" w:lineRule="auto"/>
        <w:jc w:val="center"/>
        <w:rPr>
          <w:rFonts w:cs="Arial"/>
          <w:b/>
          <w:bCs/>
        </w:rPr>
      </w:pPr>
      <w:r w:rsidRPr="00D93729">
        <w:rPr>
          <w:rFonts w:cs="Arial"/>
          <w:b/>
          <w:bCs/>
        </w:rPr>
        <w:t>Student ID:</w:t>
      </w:r>
      <w:r w:rsidR="006C71C5" w:rsidRPr="00D93729">
        <w:rPr>
          <w:rFonts w:cs="Arial"/>
          <w:b/>
          <w:bCs/>
        </w:rPr>
        <w:t xml:space="preserve"> 2504937</w:t>
      </w:r>
    </w:p>
    <w:p w14:paraId="035C13FD" w14:textId="77777777" w:rsidR="0085429F" w:rsidRPr="00D93729" w:rsidRDefault="0085429F" w:rsidP="00B32A7B">
      <w:pPr>
        <w:spacing w:line="360" w:lineRule="auto"/>
        <w:jc w:val="center"/>
        <w:rPr>
          <w:rFonts w:cs="Arial"/>
        </w:rPr>
      </w:pPr>
    </w:p>
    <w:p w14:paraId="7E7778D8" w14:textId="77777777" w:rsidR="0085429F" w:rsidRPr="00D93729" w:rsidRDefault="0085429F" w:rsidP="00B32A7B">
      <w:pPr>
        <w:spacing w:line="360" w:lineRule="auto"/>
        <w:jc w:val="center"/>
        <w:rPr>
          <w:rFonts w:cs="Arial"/>
        </w:rPr>
      </w:pPr>
    </w:p>
    <w:p w14:paraId="4863EF8D" w14:textId="77777777" w:rsidR="0085429F" w:rsidRPr="00D93729" w:rsidRDefault="0085429F" w:rsidP="00B32A7B">
      <w:pPr>
        <w:spacing w:line="360" w:lineRule="auto"/>
        <w:jc w:val="center"/>
        <w:rPr>
          <w:rFonts w:cs="Arial"/>
          <w:b/>
          <w:bCs/>
        </w:rPr>
      </w:pPr>
      <w:r w:rsidRPr="00D93729">
        <w:rPr>
          <w:rFonts w:cs="Arial"/>
          <w:b/>
          <w:bCs/>
        </w:rPr>
        <w:t>Module Name: Marketing Management</w:t>
      </w:r>
    </w:p>
    <w:p w14:paraId="3CE9E271" w14:textId="77777777" w:rsidR="0085429F" w:rsidRPr="00D93729" w:rsidRDefault="0085429F" w:rsidP="00B32A7B">
      <w:pPr>
        <w:spacing w:line="360" w:lineRule="auto"/>
        <w:jc w:val="center"/>
        <w:rPr>
          <w:rFonts w:cs="Arial"/>
          <w:b/>
          <w:bCs/>
        </w:rPr>
      </w:pPr>
    </w:p>
    <w:p w14:paraId="73A0EA4E" w14:textId="77777777" w:rsidR="0085429F" w:rsidRPr="00D93729" w:rsidRDefault="0085429F" w:rsidP="00B32A7B">
      <w:pPr>
        <w:spacing w:line="360" w:lineRule="auto"/>
        <w:jc w:val="center"/>
        <w:rPr>
          <w:rFonts w:cs="Arial"/>
          <w:b/>
          <w:bCs/>
        </w:rPr>
      </w:pPr>
      <w:r w:rsidRPr="00D93729">
        <w:rPr>
          <w:rFonts w:cs="Arial"/>
          <w:b/>
          <w:bCs/>
        </w:rPr>
        <w:t>Module Code: LCMB7024</w:t>
      </w:r>
    </w:p>
    <w:p w14:paraId="7F49A9B1" w14:textId="77777777" w:rsidR="0085429F" w:rsidRPr="00D93729" w:rsidRDefault="0085429F" w:rsidP="00B32A7B">
      <w:pPr>
        <w:spacing w:line="360" w:lineRule="auto"/>
        <w:jc w:val="center"/>
        <w:rPr>
          <w:rFonts w:cs="Arial"/>
          <w:b/>
          <w:bCs/>
        </w:rPr>
      </w:pPr>
    </w:p>
    <w:p w14:paraId="6EF3DA21" w14:textId="77777777" w:rsidR="0085429F" w:rsidRPr="00D93729" w:rsidRDefault="0085429F" w:rsidP="00D93729">
      <w:pPr>
        <w:spacing w:line="360" w:lineRule="auto"/>
        <w:rPr>
          <w:rFonts w:cs="Arial"/>
          <w:b/>
          <w:bCs/>
        </w:rPr>
      </w:pPr>
    </w:p>
    <w:p w14:paraId="00A14E5B" w14:textId="0CA4505F" w:rsidR="0085429F" w:rsidRPr="00D93729" w:rsidRDefault="0085429F" w:rsidP="00BB612E">
      <w:pPr>
        <w:spacing w:line="360" w:lineRule="auto"/>
        <w:jc w:val="center"/>
        <w:rPr>
          <w:rFonts w:cs="Arial"/>
          <w:b/>
          <w:bCs/>
        </w:rPr>
      </w:pPr>
      <w:r w:rsidRPr="00D93729">
        <w:rPr>
          <w:rFonts w:cs="Arial"/>
          <w:b/>
          <w:bCs/>
        </w:rPr>
        <w:t>Lecturer’s Name:</w:t>
      </w:r>
      <w:r w:rsidR="006E0F27">
        <w:rPr>
          <w:rFonts w:cs="Arial"/>
          <w:b/>
          <w:bCs/>
        </w:rPr>
        <w:t xml:space="preserve"> DR LAILA MAAZOUZ (LONDON)</w:t>
      </w:r>
    </w:p>
    <w:p w14:paraId="213A7D65" w14:textId="77777777" w:rsidR="0085429F" w:rsidRPr="00D93729" w:rsidRDefault="0085429F" w:rsidP="00BB612E">
      <w:pPr>
        <w:spacing w:line="360" w:lineRule="auto"/>
        <w:rPr>
          <w:rFonts w:cs="Arial"/>
          <w:b/>
          <w:bCs/>
        </w:rPr>
      </w:pPr>
    </w:p>
    <w:p w14:paraId="5D7F9193" w14:textId="020092BE" w:rsidR="0085429F" w:rsidRPr="00D93729" w:rsidRDefault="0085429F" w:rsidP="00D93729">
      <w:pPr>
        <w:spacing w:line="360" w:lineRule="auto"/>
        <w:jc w:val="center"/>
        <w:rPr>
          <w:rFonts w:cs="Arial"/>
          <w:b/>
          <w:bCs/>
        </w:rPr>
      </w:pPr>
      <w:r w:rsidRPr="00D93729">
        <w:rPr>
          <w:rFonts w:cs="Arial"/>
          <w:b/>
          <w:bCs/>
        </w:rPr>
        <w:t>Term 1</w:t>
      </w:r>
    </w:p>
    <w:p w14:paraId="21F00A8B" w14:textId="77777777" w:rsidR="00BB612E" w:rsidRDefault="00BB612E" w:rsidP="00BB612E">
      <w:pPr>
        <w:spacing w:line="360" w:lineRule="auto"/>
        <w:jc w:val="center"/>
        <w:rPr>
          <w:rFonts w:cs="Arial"/>
          <w:b/>
          <w:bCs/>
        </w:rPr>
      </w:pPr>
    </w:p>
    <w:p w14:paraId="79D572DC" w14:textId="16ABF61A" w:rsidR="00BB612E" w:rsidRPr="00D93729" w:rsidRDefault="00BB612E" w:rsidP="00BB612E">
      <w:pPr>
        <w:spacing w:line="360" w:lineRule="auto"/>
        <w:jc w:val="center"/>
        <w:rPr>
          <w:rFonts w:cs="Arial"/>
          <w:b/>
          <w:bCs/>
        </w:rPr>
      </w:pPr>
      <w:r>
        <w:rPr>
          <w:rFonts w:cs="Arial"/>
          <w:b/>
          <w:bCs/>
        </w:rPr>
        <w:t>Submission Date: 20/11/2025</w:t>
      </w:r>
    </w:p>
    <w:p w14:paraId="6119532F" w14:textId="475330AF" w:rsidR="0085429F" w:rsidRPr="00D93729" w:rsidRDefault="0085429F" w:rsidP="00B32A7B">
      <w:pPr>
        <w:spacing w:line="360" w:lineRule="auto"/>
        <w:rPr>
          <w:rFonts w:cs="Arial"/>
          <w:b/>
          <w:bCs/>
        </w:rPr>
      </w:pPr>
    </w:p>
    <w:sdt>
      <w:sdtPr>
        <w:rPr>
          <w:rFonts w:ascii="Arial" w:eastAsiaTheme="minorHAnsi" w:hAnsi="Arial" w:cs="Arial"/>
          <w:color w:val="auto"/>
          <w:kern w:val="2"/>
          <w:sz w:val="24"/>
          <w:szCs w:val="22"/>
          <w:lang w:eastAsia="en-US"/>
          <w14:ligatures w14:val="standardContextual"/>
        </w:rPr>
        <w:id w:val="1989437191"/>
        <w:docPartObj>
          <w:docPartGallery w:val="Table of Contents"/>
          <w:docPartUnique/>
        </w:docPartObj>
      </w:sdtPr>
      <w:sdtEndPr>
        <w:rPr>
          <w:b/>
          <w:bCs/>
        </w:rPr>
      </w:sdtEndPr>
      <w:sdtContent>
        <w:bookmarkStart w:id="0" w:name="_GoBack" w:displacedByCustomXml="prev"/>
        <w:bookmarkEnd w:id="0" w:displacedByCustomXml="prev"/>
        <w:p w14:paraId="5E0CEFA7" w14:textId="77777777" w:rsidR="00BB612E" w:rsidRDefault="00BB612E" w:rsidP="00B32A7B">
          <w:pPr>
            <w:pStyle w:val="TOCHeading"/>
            <w:spacing w:line="360" w:lineRule="auto"/>
            <w:rPr>
              <w:rFonts w:ascii="Arial" w:eastAsiaTheme="minorHAnsi" w:hAnsi="Arial" w:cs="Arial"/>
              <w:color w:val="auto"/>
              <w:kern w:val="2"/>
              <w:sz w:val="24"/>
              <w:szCs w:val="22"/>
              <w:lang w:eastAsia="en-US"/>
              <w14:ligatures w14:val="standardContextual"/>
            </w:rPr>
          </w:pPr>
        </w:p>
        <w:p w14:paraId="4B878744" w14:textId="3152B9F4" w:rsidR="00EE233E" w:rsidRPr="00D93729" w:rsidRDefault="00EE233E" w:rsidP="00B32A7B">
          <w:pPr>
            <w:pStyle w:val="TOCHeading"/>
            <w:spacing w:line="360" w:lineRule="auto"/>
            <w:rPr>
              <w:rFonts w:ascii="Arial" w:hAnsi="Arial" w:cs="Arial"/>
              <w:b/>
              <w:bCs/>
            </w:rPr>
          </w:pPr>
          <w:r w:rsidRPr="00D93729">
            <w:rPr>
              <w:rFonts w:ascii="Arial" w:hAnsi="Arial" w:cs="Arial"/>
              <w:b/>
              <w:bCs/>
            </w:rPr>
            <w:t>Table of Contents</w:t>
          </w:r>
        </w:p>
        <w:p w14:paraId="0C8D37A6" w14:textId="5D2C2671" w:rsidR="00EE233E" w:rsidRPr="00D93729" w:rsidRDefault="00EE233E" w:rsidP="00B32A7B">
          <w:pPr>
            <w:pStyle w:val="TOC1"/>
            <w:tabs>
              <w:tab w:val="right" w:leader="dot" w:pos="9350"/>
            </w:tabs>
            <w:spacing w:line="360" w:lineRule="auto"/>
            <w:rPr>
              <w:rFonts w:cs="Arial"/>
              <w:noProof/>
            </w:rPr>
          </w:pPr>
          <w:r w:rsidRPr="00D93729">
            <w:rPr>
              <w:rFonts w:cs="Arial"/>
            </w:rPr>
            <w:fldChar w:fldCharType="begin"/>
          </w:r>
          <w:r w:rsidRPr="00D93729">
            <w:rPr>
              <w:rFonts w:cs="Arial"/>
            </w:rPr>
            <w:instrText xml:space="preserve"> TOC \o "1-3" \h \z \u </w:instrText>
          </w:r>
          <w:r w:rsidRPr="00D93729">
            <w:rPr>
              <w:rFonts w:cs="Arial"/>
            </w:rPr>
            <w:fldChar w:fldCharType="separate"/>
          </w:r>
          <w:hyperlink w:anchor="_Toc214403115" w:history="1">
            <w:r w:rsidRPr="00D93729">
              <w:rPr>
                <w:rStyle w:val="Hyperlink"/>
                <w:rFonts w:cs="Arial"/>
                <w:noProof/>
              </w:rPr>
              <w:t>1. Introduction</w:t>
            </w:r>
            <w:r w:rsidRPr="00D93729">
              <w:rPr>
                <w:rFonts w:cs="Arial"/>
                <w:noProof/>
                <w:webHidden/>
              </w:rPr>
              <w:tab/>
            </w:r>
            <w:r w:rsidRPr="00D93729">
              <w:rPr>
                <w:rFonts w:cs="Arial"/>
                <w:noProof/>
                <w:webHidden/>
              </w:rPr>
              <w:fldChar w:fldCharType="begin"/>
            </w:r>
            <w:r w:rsidRPr="00D93729">
              <w:rPr>
                <w:rFonts w:cs="Arial"/>
                <w:noProof/>
                <w:webHidden/>
              </w:rPr>
              <w:instrText xml:space="preserve"> PAGEREF _Toc214403115 \h </w:instrText>
            </w:r>
            <w:r w:rsidRPr="00D93729">
              <w:rPr>
                <w:rFonts w:cs="Arial"/>
                <w:noProof/>
                <w:webHidden/>
              </w:rPr>
            </w:r>
            <w:r w:rsidRPr="00D93729">
              <w:rPr>
                <w:rFonts w:cs="Arial"/>
                <w:noProof/>
                <w:webHidden/>
              </w:rPr>
              <w:fldChar w:fldCharType="separate"/>
            </w:r>
            <w:r w:rsidR="00237681" w:rsidRPr="00D93729">
              <w:rPr>
                <w:rFonts w:cs="Arial"/>
                <w:noProof/>
                <w:webHidden/>
              </w:rPr>
              <w:t>3</w:t>
            </w:r>
            <w:r w:rsidRPr="00D93729">
              <w:rPr>
                <w:rFonts w:cs="Arial"/>
                <w:noProof/>
                <w:webHidden/>
              </w:rPr>
              <w:fldChar w:fldCharType="end"/>
            </w:r>
          </w:hyperlink>
        </w:p>
        <w:p w14:paraId="209C83B1" w14:textId="686BF3A7" w:rsidR="00EE233E" w:rsidRPr="00D93729" w:rsidRDefault="00610FEA" w:rsidP="00B32A7B">
          <w:pPr>
            <w:pStyle w:val="TOC1"/>
            <w:tabs>
              <w:tab w:val="right" w:leader="dot" w:pos="9350"/>
            </w:tabs>
            <w:spacing w:line="360" w:lineRule="auto"/>
            <w:rPr>
              <w:rFonts w:cs="Arial"/>
              <w:noProof/>
            </w:rPr>
          </w:pPr>
          <w:hyperlink w:anchor="_Toc214403116" w:history="1">
            <w:r w:rsidR="00EE233E" w:rsidRPr="00D93729">
              <w:rPr>
                <w:rStyle w:val="Hyperlink"/>
                <w:rFonts w:cs="Arial"/>
                <w:noProof/>
              </w:rPr>
              <w:t>2. Conceptual Framework and Literature Review</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_Toc214403116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3</w:t>
            </w:r>
            <w:r w:rsidR="00EE233E" w:rsidRPr="00D93729">
              <w:rPr>
                <w:rFonts w:cs="Arial"/>
                <w:noProof/>
                <w:webHidden/>
              </w:rPr>
              <w:fldChar w:fldCharType="end"/>
            </w:r>
          </w:hyperlink>
        </w:p>
        <w:p w14:paraId="2F74F378" w14:textId="587ED2DA" w:rsidR="00EE233E" w:rsidRPr="00D93729" w:rsidRDefault="00610FEA" w:rsidP="00B32A7B">
          <w:pPr>
            <w:pStyle w:val="TOC2"/>
            <w:tabs>
              <w:tab w:val="right" w:leader="dot" w:pos="9350"/>
            </w:tabs>
            <w:spacing w:line="360" w:lineRule="auto"/>
            <w:rPr>
              <w:rFonts w:cs="Arial"/>
              <w:noProof/>
            </w:rPr>
          </w:pPr>
          <w:hyperlink w:anchor="_Toc214403117" w:history="1">
            <w:r w:rsidR="00EE233E" w:rsidRPr="00D93729">
              <w:rPr>
                <w:rStyle w:val="Hyperlink"/>
                <w:rFonts w:cs="Arial"/>
                <w:noProof/>
              </w:rPr>
              <w:t>2.1 The Macro Marketing Environment in Strategic Marketing Management</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_Toc214403117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3</w:t>
            </w:r>
            <w:r w:rsidR="00EE233E" w:rsidRPr="00D93729">
              <w:rPr>
                <w:rFonts w:cs="Arial"/>
                <w:noProof/>
                <w:webHidden/>
              </w:rPr>
              <w:fldChar w:fldCharType="end"/>
            </w:r>
          </w:hyperlink>
        </w:p>
        <w:p w14:paraId="34AD1817" w14:textId="3CECC115" w:rsidR="00EE233E" w:rsidRPr="00D93729" w:rsidRDefault="00610FEA" w:rsidP="00B32A7B">
          <w:pPr>
            <w:pStyle w:val="TOC2"/>
            <w:tabs>
              <w:tab w:val="right" w:leader="dot" w:pos="9350"/>
            </w:tabs>
            <w:spacing w:line="360" w:lineRule="auto"/>
            <w:rPr>
              <w:rFonts w:cs="Arial"/>
              <w:noProof/>
            </w:rPr>
          </w:pPr>
          <w:hyperlink w:anchor="_Toc214403118" w:history="1">
            <w:r w:rsidR="00EE233E" w:rsidRPr="00D93729">
              <w:rPr>
                <w:rStyle w:val="Hyperlink"/>
                <w:rFonts w:cs="Arial"/>
                <w:noProof/>
              </w:rPr>
              <w:t>2.2 Pioneering vs Follower Organisations.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_Toc214403118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4</w:t>
            </w:r>
            <w:r w:rsidR="00EE233E" w:rsidRPr="00D93729">
              <w:rPr>
                <w:rFonts w:cs="Arial"/>
                <w:noProof/>
                <w:webHidden/>
              </w:rPr>
              <w:fldChar w:fldCharType="end"/>
            </w:r>
          </w:hyperlink>
        </w:p>
        <w:p w14:paraId="6F81E77F" w14:textId="257E2247" w:rsidR="00EE233E" w:rsidRPr="00D93729" w:rsidRDefault="00610FEA" w:rsidP="00B32A7B">
          <w:pPr>
            <w:pStyle w:val="TOC1"/>
            <w:tabs>
              <w:tab w:val="right" w:leader="dot" w:pos="9350"/>
            </w:tabs>
            <w:spacing w:line="360" w:lineRule="auto"/>
            <w:rPr>
              <w:rFonts w:cs="Arial"/>
              <w:noProof/>
            </w:rPr>
          </w:pPr>
          <w:hyperlink w:anchor="_Toc214403119" w:history="1">
            <w:r w:rsidR="00EE233E" w:rsidRPr="00D93729">
              <w:rPr>
                <w:rStyle w:val="Hyperlink"/>
                <w:rFonts w:cs="Arial"/>
                <w:noProof/>
              </w:rPr>
              <w:t>3. Task 1: Critical Analysis of Selected Macro Marketing Actors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_Toc214403119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5</w:t>
            </w:r>
            <w:r w:rsidR="00EE233E" w:rsidRPr="00D93729">
              <w:rPr>
                <w:rFonts w:cs="Arial"/>
                <w:noProof/>
                <w:webHidden/>
              </w:rPr>
              <w:fldChar w:fldCharType="end"/>
            </w:r>
          </w:hyperlink>
        </w:p>
        <w:p w14:paraId="659AD55E" w14:textId="3176DD90" w:rsidR="00EE233E" w:rsidRPr="00D93729" w:rsidRDefault="00610FEA" w:rsidP="00B32A7B">
          <w:pPr>
            <w:pStyle w:val="TOC2"/>
            <w:tabs>
              <w:tab w:val="right" w:leader="dot" w:pos="9350"/>
            </w:tabs>
            <w:spacing w:line="360" w:lineRule="auto"/>
            <w:rPr>
              <w:rFonts w:cs="Arial"/>
              <w:noProof/>
            </w:rPr>
          </w:pPr>
          <w:hyperlink w:anchor="_Toc214403120" w:history="1">
            <w:r w:rsidR="00EE233E" w:rsidRPr="00D93729">
              <w:rPr>
                <w:rStyle w:val="Hyperlink"/>
                <w:rFonts w:cs="Arial"/>
                <w:noProof/>
              </w:rPr>
              <w:t>3.1 Rationale for Selecting the Two Macro Actors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_Toc214403120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5</w:t>
            </w:r>
            <w:r w:rsidR="00EE233E" w:rsidRPr="00D93729">
              <w:rPr>
                <w:rFonts w:cs="Arial"/>
                <w:noProof/>
                <w:webHidden/>
              </w:rPr>
              <w:fldChar w:fldCharType="end"/>
            </w:r>
          </w:hyperlink>
        </w:p>
        <w:p w14:paraId="7FF85614" w14:textId="3094DF9F" w:rsidR="00EE233E" w:rsidRPr="00D93729" w:rsidRDefault="00610FEA" w:rsidP="00B32A7B">
          <w:pPr>
            <w:pStyle w:val="TOC2"/>
            <w:tabs>
              <w:tab w:val="right" w:leader="dot" w:pos="9350"/>
            </w:tabs>
            <w:spacing w:line="360" w:lineRule="auto"/>
            <w:rPr>
              <w:rFonts w:cs="Arial"/>
              <w:noProof/>
            </w:rPr>
          </w:pPr>
          <w:hyperlink w:anchor="_Toc214403121" w:history="1">
            <w:r w:rsidR="00EE233E" w:rsidRPr="00D93729">
              <w:rPr>
                <w:rStyle w:val="Hyperlink"/>
                <w:rFonts w:cs="Arial"/>
                <w:noProof/>
              </w:rPr>
              <w:t>3.4 Macro Actor 2: Opportunities and Threats for Pioneering Organisations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_Toc214403121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6</w:t>
            </w:r>
            <w:r w:rsidR="00EE233E" w:rsidRPr="00D93729">
              <w:rPr>
                <w:rFonts w:cs="Arial"/>
                <w:noProof/>
                <w:webHidden/>
              </w:rPr>
              <w:fldChar w:fldCharType="end"/>
            </w:r>
          </w:hyperlink>
        </w:p>
        <w:p w14:paraId="750B42C9" w14:textId="4979D7AD" w:rsidR="00EE233E" w:rsidRPr="00D93729" w:rsidRDefault="00610FEA" w:rsidP="00B32A7B">
          <w:pPr>
            <w:pStyle w:val="TOC2"/>
            <w:tabs>
              <w:tab w:val="right" w:leader="dot" w:pos="9350"/>
            </w:tabs>
            <w:spacing w:line="360" w:lineRule="auto"/>
            <w:rPr>
              <w:rFonts w:cs="Arial"/>
              <w:noProof/>
            </w:rPr>
          </w:pPr>
          <w:hyperlink w:anchor="_Toc214403122" w:history="1">
            <w:r w:rsidR="00EE233E" w:rsidRPr="00D93729">
              <w:rPr>
                <w:rStyle w:val="Hyperlink"/>
                <w:rFonts w:cs="Arial"/>
                <w:noProof/>
              </w:rPr>
              <w:t>3.5 Macro Actor 2: Opportunities and Threats for Follower Organisations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_Toc214403122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7</w:t>
            </w:r>
            <w:r w:rsidR="00EE233E" w:rsidRPr="00D93729">
              <w:rPr>
                <w:rFonts w:cs="Arial"/>
                <w:noProof/>
                <w:webHidden/>
              </w:rPr>
              <w:fldChar w:fldCharType="end"/>
            </w:r>
          </w:hyperlink>
        </w:p>
        <w:p w14:paraId="4C0E0D3C" w14:textId="418B7ECE" w:rsidR="00EE233E" w:rsidRPr="00D93729" w:rsidRDefault="00610FEA" w:rsidP="00B32A7B">
          <w:pPr>
            <w:pStyle w:val="TOC1"/>
            <w:tabs>
              <w:tab w:val="right" w:leader="dot" w:pos="9350"/>
            </w:tabs>
            <w:spacing w:line="360" w:lineRule="auto"/>
            <w:rPr>
              <w:rFonts w:cs="Arial"/>
              <w:noProof/>
            </w:rPr>
          </w:pPr>
          <w:hyperlink w:anchor="_Toc214403123" w:history="1">
            <w:r w:rsidR="00EE233E" w:rsidRPr="00D93729">
              <w:rPr>
                <w:rStyle w:val="Hyperlink"/>
                <w:rFonts w:cs="Arial"/>
                <w:noProof/>
              </w:rPr>
              <w:t>4. Task 2: Strategic Responses of Pioneers and Followers.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_Toc214403123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8</w:t>
            </w:r>
            <w:r w:rsidR="00EE233E" w:rsidRPr="00D93729">
              <w:rPr>
                <w:rFonts w:cs="Arial"/>
                <w:noProof/>
                <w:webHidden/>
              </w:rPr>
              <w:fldChar w:fldCharType="end"/>
            </w:r>
          </w:hyperlink>
        </w:p>
        <w:p w14:paraId="521E8625" w14:textId="098C2AB2" w:rsidR="00EE233E" w:rsidRPr="00D93729" w:rsidRDefault="00610FEA" w:rsidP="00B32A7B">
          <w:pPr>
            <w:pStyle w:val="TOC2"/>
            <w:tabs>
              <w:tab w:val="right" w:leader="dot" w:pos="9350"/>
            </w:tabs>
            <w:spacing w:line="360" w:lineRule="auto"/>
            <w:rPr>
              <w:rFonts w:cs="Arial"/>
              <w:noProof/>
            </w:rPr>
          </w:pPr>
          <w:hyperlink w:anchor="_Toc214403124" w:history="1">
            <w:r w:rsidR="00EE233E" w:rsidRPr="00D93729">
              <w:rPr>
                <w:rStyle w:val="Hyperlink"/>
                <w:rFonts w:cs="Arial"/>
                <w:noProof/>
              </w:rPr>
              <w:t>4.1 Strategic Responses of Pioneering Organisations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_Toc214403124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8</w:t>
            </w:r>
            <w:r w:rsidR="00EE233E" w:rsidRPr="00D93729">
              <w:rPr>
                <w:rFonts w:cs="Arial"/>
                <w:noProof/>
                <w:webHidden/>
              </w:rPr>
              <w:fldChar w:fldCharType="end"/>
            </w:r>
          </w:hyperlink>
        </w:p>
        <w:p w14:paraId="780D20FD" w14:textId="1FDE6FAB" w:rsidR="00EE233E" w:rsidRPr="00D93729" w:rsidRDefault="00610FEA" w:rsidP="00B32A7B">
          <w:pPr>
            <w:pStyle w:val="TOC2"/>
            <w:tabs>
              <w:tab w:val="right" w:leader="dot" w:pos="9350"/>
            </w:tabs>
            <w:spacing w:line="360" w:lineRule="auto"/>
            <w:rPr>
              <w:rFonts w:cs="Arial"/>
              <w:noProof/>
            </w:rPr>
          </w:pPr>
          <w:hyperlink w:anchor="_Toc214403125" w:history="1">
            <w:r w:rsidR="00EE233E" w:rsidRPr="00D93729">
              <w:rPr>
                <w:rStyle w:val="Hyperlink"/>
                <w:rFonts w:cs="Arial"/>
                <w:noProof/>
              </w:rPr>
              <w:t>4.2 Strategic Responses of Follower Organisations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_Toc214403125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9</w:t>
            </w:r>
            <w:r w:rsidR="00EE233E" w:rsidRPr="00D93729">
              <w:rPr>
                <w:rFonts w:cs="Arial"/>
                <w:noProof/>
                <w:webHidden/>
              </w:rPr>
              <w:fldChar w:fldCharType="end"/>
            </w:r>
          </w:hyperlink>
        </w:p>
        <w:p w14:paraId="2AB78B2A" w14:textId="3FEA62AC" w:rsidR="00EE233E" w:rsidRPr="00D93729" w:rsidRDefault="00610FEA" w:rsidP="00B32A7B">
          <w:pPr>
            <w:pStyle w:val="TOC2"/>
            <w:tabs>
              <w:tab w:val="right" w:leader="dot" w:pos="9350"/>
            </w:tabs>
            <w:spacing w:line="360" w:lineRule="auto"/>
            <w:rPr>
              <w:rFonts w:cs="Arial"/>
              <w:noProof/>
            </w:rPr>
          </w:pPr>
          <w:hyperlink w:anchor="_Toc214403126" w:history="1">
            <w:r w:rsidR="00EE233E" w:rsidRPr="00D93729">
              <w:rPr>
                <w:rStyle w:val="Hyperlink"/>
                <w:rFonts w:cs="Arial"/>
                <w:noProof/>
              </w:rPr>
              <w:t>4.3 Comparative Evaluation of Strategic Responses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_Toc214403126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9</w:t>
            </w:r>
            <w:r w:rsidR="00EE233E" w:rsidRPr="00D93729">
              <w:rPr>
                <w:rFonts w:cs="Arial"/>
                <w:noProof/>
                <w:webHidden/>
              </w:rPr>
              <w:fldChar w:fldCharType="end"/>
            </w:r>
          </w:hyperlink>
        </w:p>
        <w:p w14:paraId="5E628A78" w14:textId="11567B48" w:rsidR="00EE233E" w:rsidRPr="00D93729" w:rsidRDefault="00610FEA" w:rsidP="00B32A7B">
          <w:pPr>
            <w:pStyle w:val="TOC1"/>
            <w:tabs>
              <w:tab w:val="right" w:leader="dot" w:pos="9350"/>
            </w:tabs>
            <w:spacing w:line="360" w:lineRule="auto"/>
            <w:rPr>
              <w:rFonts w:cs="Arial"/>
              <w:noProof/>
            </w:rPr>
          </w:pPr>
          <w:hyperlink w:anchor="_Toc214403127" w:history="1">
            <w:r w:rsidR="00EE233E" w:rsidRPr="00D93729">
              <w:rPr>
                <w:rStyle w:val="Hyperlink"/>
                <w:rFonts w:cs="Arial"/>
                <w:noProof/>
              </w:rPr>
              <w:t>5. Conclusion</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_Toc214403127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10</w:t>
            </w:r>
            <w:r w:rsidR="00EE233E" w:rsidRPr="00D93729">
              <w:rPr>
                <w:rFonts w:cs="Arial"/>
                <w:noProof/>
                <w:webHidden/>
              </w:rPr>
              <w:fldChar w:fldCharType="end"/>
            </w:r>
          </w:hyperlink>
        </w:p>
        <w:p w14:paraId="056710FD" w14:textId="586615AD" w:rsidR="00EE233E" w:rsidRPr="00D93729" w:rsidRDefault="00610FEA" w:rsidP="00B32A7B">
          <w:pPr>
            <w:pStyle w:val="TOC1"/>
            <w:tabs>
              <w:tab w:val="right" w:leader="dot" w:pos="9350"/>
            </w:tabs>
            <w:spacing w:line="360" w:lineRule="auto"/>
            <w:rPr>
              <w:rFonts w:cs="Arial"/>
              <w:noProof/>
            </w:rPr>
          </w:pPr>
          <w:hyperlink w:anchor="_Toc214403128" w:history="1">
            <w:r w:rsidR="00EE233E" w:rsidRPr="00D93729">
              <w:rPr>
                <w:rStyle w:val="Hyperlink"/>
                <w:rFonts w:cs="Arial"/>
                <w:noProof/>
              </w:rPr>
              <w:t>References</w:t>
            </w:r>
            <w:r w:rsidR="00EE233E" w:rsidRPr="00D93729">
              <w:rPr>
                <w:rFonts w:cs="Arial"/>
                <w:noProof/>
                <w:webHidden/>
              </w:rPr>
              <w:tab/>
            </w:r>
            <w:r w:rsidR="00EE233E" w:rsidRPr="00D93729">
              <w:rPr>
                <w:rFonts w:cs="Arial"/>
                <w:noProof/>
                <w:webHidden/>
              </w:rPr>
              <w:fldChar w:fldCharType="begin"/>
            </w:r>
            <w:r w:rsidR="00EE233E" w:rsidRPr="00D93729">
              <w:rPr>
                <w:rFonts w:cs="Arial"/>
                <w:noProof/>
                <w:webHidden/>
              </w:rPr>
              <w:instrText xml:space="preserve"> PAGEREF _Toc214403128 \h </w:instrText>
            </w:r>
            <w:r w:rsidR="00EE233E" w:rsidRPr="00D93729">
              <w:rPr>
                <w:rFonts w:cs="Arial"/>
                <w:noProof/>
                <w:webHidden/>
              </w:rPr>
            </w:r>
            <w:r w:rsidR="00EE233E" w:rsidRPr="00D93729">
              <w:rPr>
                <w:rFonts w:cs="Arial"/>
                <w:noProof/>
                <w:webHidden/>
              </w:rPr>
              <w:fldChar w:fldCharType="separate"/>
            </w:r>
            <w:r w:rsidR="00237681" w:rsidRPr="00D93729">
              <w:rPr>
                <w:rFonts w:cs="Arial"/>
                <w:noProof/>
                <w:webHidden/>
              </w:rPr>
              <w:t>10</w:t>
            </w:r>
            <w:r w:rsidR="00EE233E" w:rsidRPr="00D93729">
              <w:rPr>
                <w:rFonts w:cs="Arial"/>
                <w:noProof/>
                <w:webHidden/>
              </w:rPr>
              <w:fldChar w:fldCharType="end"/>
            </w:r>
          </w:hyperlink>
        </w:p>
        <w:p w14:paraId="295D1206" w14:textId="54580018" w:rsidR="00EE233E" w:rsidRPr="00D93729" w:rsidRDefault="00EE233E" w:rsidP="00B32A7B">
          <w:pPr>
            <w:spacing w:line="360" w:lineRule="auto"/>
            <w:rPr>
              <w:rFonts w:cs="Arial"/>
            </w:rPr>
          </w:pPr>
          <w:r w:rsidRPr="00D93729">
            <w:rPr>
              <w:rFonts w:cs="Arial"/>
              <w:b/>
              <w:bCs/>
            </w:rPr>
            <w:fldChar w:fldCharType="end"/>
          </w:r>
        </w:p>
      </w:sdtContent>
    </w:sdt>
    <w:p w14:paraId="000AD300" w14:textId="77777777" w:rsidR="0085429F" w:rsidRPr="00D93729" w:rsidRDefault="0085429F" w:rsidP="00B32A7B">
      <w:pPr>
        <w:spacing w:line="360" w:lineRule="auto"/>
        <w:rPr>
          <w:rFonts w:cs="Arial"/>
        </w:rPr>
      </w:pPr>
    </w:p>
    <w:p w14:paraId="6F15AC47" w14:textId="77777777" w:rsidR="0085429F" w:rsidRPr="00D93729" w:rsidRDefault="0085429F" w:rsidP="00B32A7B">
      <w:pPr>
        <w:spacing w:line="360" w:lineRule="auto"/>
        <w:rPr>
          <w:rFonts w:cs="Arial"/>
        </w:rPr>
      </w:pPr>
    </w:p>
    <w:p w14:paraId="43E853C1" w14:textId="77777777" w:rsidR="0085429F" w:rsidRPr="00D93729" w:rsidRDefault="0085429F" w:rsidP="00B32A7B">
      <w:pPr>
        <w:spacing w:line="360" w:lineRule="auto"/>
        <w:rPr>
          <w:rFonts w:cs="Arial"/>
        </w:rPr>
      </w:pPr>
    </w:p>
    <w:p w14:paraId="21F628ED" w14:textId="77777777" w:rsidR="00EE233E" w:rsidRPr="00D93729" w:rsidRDefault="00EE233E" w:rsidP="00B32A7B">
      <w:pPr>
        <w:spacing w:line="360" w:lineRule="auto"/>
        <w:rPr>
          <w:rFonts w:cs="Arial"/>
        </w:rPr>
      </w:pPr>
    </w:p>
    <w:p w14:paraId="65ABED63" w14:textId="77777777" w:rsidR="00EE233E" w:rsidRPr="00D93729" w:rsidRDefault="00EE233E" w:rsidP="00B32A7B">
      <w:pPr>
        <w:spacing w:line="360" w:lineRule="auto"/>
        <w:rPr>
          <w:rFonts w:cs="Arial"/>
        </w:rPr>
      </w:pPr>
    </w:p>
    <w:p w14:paraId="142B2C01" w14:textId="77777777" w:rsidR="00EE233E" w:rsidRPr="00D93729" w:rsidRDefault="00EE233E" w:rsidP="00B32A7B">
      <w:pPr>
        <w:spacing w:line="360" w:lineRule="auto"/>
        <w:rPr>
          <w:rFonts w:cs="Arial"/>
        </w:rPr>
      </w:pPr>
    </w:p>
    <w:p w14:paraId="1A2F87AB" w14:textId="3A4D55FB" w:rsidR="0085429F" w:rsidRPr="00D93729" w:rsidRDefault="0085429F" w:rsidP="00B32A7B">
      <w:pPr>
        <w:pStyle w:val="Heading1"/>
        <w:spacing w:line="360" w:lineRule="auto"/>
        <w:rPr>
          <w:rFonts w:cs="Arial"/>
        </w:rPr>
      </w:pPr>
      <w:bookmarkStart w:id="1" w:name="_Toc214403115"/>
      <w:r w:rsidRPr="00D93729">
        <w:rPr>
          <w:rFonts w:cs="Arial"/>
        </w:rPr>
        <w:lastRenderedPageBreak/>
        <w:t>1. Introduction</w:t>
      </w:r>
      <w:bookmarkEnd w:id="1"/>
      <w:r w:rsidRPr="00D93729">
        <w:rPr>
          <w:rFonts w:cs="Arial"/>
        </w:rPr>
        <w:t xml:space="preserve"> </w:t>
      </w:r>
    </w:p>
    <w:p w14:paraId="2C7475AD" w14:textId="0A94CB75" w:rsidR="0085429F" w:rsidRPr="00D93729" w:rsidRDefault="000A35A3" w:rsidP="00B32A7B">
      <w:pPr>
        <w:spacing w:line="360" w:lineRule="auto"/>
        <w:rPr>
          <w:rFonts w:cs="Arial"/>
        </w:rPr>
      </w:pPr>
      <w:r w:rsidRPr="00D93729">
        <w:rPr>
          <w:rFonts w:cs="Arial"/>
        </w:rPr>
        <w:t xml:space="preserve">Creating a macro marketing environment is a factor of strategic marketing management because organisations must continuously respond to forces in the environment that dictate their competitiveness and future performance. In this assignment, it is necessary to critically </w:t>
      </w:r>
      <w:r w:rsidR="00AC3934" w:rsidRPr="00D93729">
        <w:rPr>
          <w:rFonts w:cs="Arial"/>
        </w:rPr>
        <w:t>analyse</w:t>
      </w:r>
      <w:r w:rsidRPr="00D93729">
        <w:rPr>
          <w:rFonts w:cs="Arial"/>
        </w:rPr>
        <w:t xml:space="preserve"> the kind of opportunities and threats that are introduced by respective macro environmental actors to organisations. The paper will particularly target the different means of influence on pioneering and follower firms. Pioneering organisations are the ones that introduce the new product, technology or business model first, whereas a follower organisation enters the market later and is likely to have the lessons of the pioneer organisations or their errors</w:t>
      </w:r>
      <w:r w:rsidR="00880133" w:rsidRPr="00D93729">
        <w:rPr>
          <w:rFonts w:cs="Arial"/>
        </w:rPr>
        <w:t xml:space="preserve"> (Mose, 2016)</w:t>
      </w:r>
      <w:r w:rsidRPr="00D93729">
        <w:rPr>
          <w:rFonts w:cs="Arial"/>
        </w:rPr>
        <w:t xml:space="preserve">. After conducting the analysis on a comparative evaluation of these two groups, the analysis reveals the role that the external environment contributes to the strategic </w:t>
      </w:r>
      <w:r w:rsidR="00AC3934" w:rsidRPr="00D93729">
        <w:rPr>
          <w:rFonts w:cs="Arial"/>
        </w:rPr>
        <w:t>decision-making</w:t>
      </w:r>
      <w:r w:rsidRPr="00D93729">
        <w:rPr>
          <w:rFonts w:cs="Arial"/>
        </w:rPr>
        <w:t xml:space="preserve"> in various organisations, with a different position in the market</w:t>
      </w:r>
      <w:r w:rsidR="0085429F" w:rsidRPr="00D93729">
        <w:rPr>
          <w:rFonts w:cs="Arial"/>
        </w:rPr>
        <w:t>.</w:t>
      </w:r>
      <w:r w:rsidR="00237681" w:rsidRPr="00D93729">
        <w:rPr>
          <w:rFonts w:cs="Arial"/>
        </w:rPr>
        <w:t xml:space="preserve"> </w:t>
      </w:r>
    </w:p>
    <w:p w14:paraId="3A461B0B" w14:textId="50DA5F7C" w:rsidR="0085429F" w:rsidRPr="00D93729" w:rsidRDefault="0085429F" w:rsidP="00B32A7B">
      <w:pPr>
        <w:spacing w:line="360" w:lineRule="auto"/>
        <w:rPr>
          <w:rFonts w:cs="Arial"/>
        </w:rPr>
      </w:pPr>
      <w:r w:rsidRPr="00D93729">
        <w:rPr>
          <w:rFonts w:cs="Arial"/>
        </w:rPr>
        <w:t xml:space="preserve">The industry to be targeted by this report is the sportswear and athletic footwear sector, which is marked by a high rate of technological advancement, sustainability challenges, stiff competition </w:t>
      </w:r>
      <w:r w:rsidR="00EE233E" w:rsidRPr="00D93729">
        <w:rPr>
          <w:rFonts w:cs="Arial"/>
        </w:rPr>
        <w:t>in</w:t>
      </w:r>
      <w:r w:rsidRPr="00D93729">
        <w:rPr>
          <w:rFonts w:cs="Arial"/>
        </w:rPr>
        <w:t xml:space="preserve"> the global arena, and evolving consumer demands. In this context, the report looks at two important macro marketing players, namely Technological factors and Environmental factors, as well as assesses the effects they have on pioneer and follower companies. The report will be divided into two important assignments: Task 1 will involve a critical review of opportunities and threats posed by these actors, whereas Task 2 will consider how pioneering and follower organisations react strategically to these threats with the help of the right marketing strategies.</w:t>
      </w:r>
    </w:p>
    <w:p w14:paraId="5A074CBD" w14:textId="7B236222" w:rsidR="0085429F" w:rsidRPr="00D93729" w:rsidRDefault="0085429F" w:rsidP="00B32A7B">
      <w:pPr>
        <w:pStyle w:val="Heading1"/>
        <w:spacing w:line="360" w:lineRule="auto"/>
        <w:rPr>
          <w:rFonts w:cs="Arial"/>
        </w:rPr>
      </w:pPr>
      <w:bookmarkStart w:id="2" w:name="_Toc214403116"/>
      <w:r w:rsidRPr="00D93729">
        <w:rPr>
          <w:rFonts w:cs="Arial"/>
        </w:rPr>
        <w:t>2. Conceptual Framework and Literature Review</w:t>
      </w:r>
      <w:bookmarkEnd w:id="2"/>
      <w:r w:rsidRPr="00D93729">
        <w:rPr>
          <w:rFonts w:cs="Arial"/>
        </w:rPr>
        <w:t xml:space="preserve"> </w:t>
      </w:r>
    </w:p>
    <w:p w14:paraId="3680C4C3" w14:textId="09E759F7" w:rsidR="0085429F" w:rsidRPr="00D93729" w:rsidRDefault="00EE233E" w:rsidP="00B32A7B">
      <w:pPr>
        <w:pStyle w:val="Heading2"/>
        <w:spacing w:line="360" w:lineRule="auto"/>
        <w:rPr>
          <w:rFonts w:cs="Arial"/>
        </w:rPr>
      </w:pPr>
      <w:bookmarkStart w:id="3" w:name="_Toc214403117"/>
      <w:r w:rsidRPr="00D93729">
        <w:rPr>
          <w:rFonts w:cs="Arial"/>
        </w:rPr>
        <w:t>2.1 The Macro Marketing Environment in Strategic Marketing Management</w:t>
      </w:r>
      <w:bookmarkEnd w:id="3"/>
    </w:p>
    <w:p w14:paraId="05093347" w14:textId="7ED532C6" w:rsidR="0085429F" w:rsidRPr="00D93729" w:rsidRDefault="0085429F" w:rsidP="00B32A7B">
      <w:pPr>
        <w:spacing w:line="360" w:lineRule="auto"/>
        <w:rPr>
          <w:rFonts w:cs="Arial"/>
        </w:rPr>
      </w:pPr>
      <w:r w:rsidRPr="00D93729">
        <w:rPr>
          <w:rFonts w:cs="Arial"/>
        </w:rPr>
        <w:t xml:space="preserve">Macro marketing environment is the general external factors that affect the organisation's capacity to be successful in its operations in the market. These aspects are usually evaluated with the help of the PEST or PESTLE framework that comprises Political, </w:t>
      </w:r>
      <w:r w:rsidRPr="00D93729">
        <w:rPr>
          <w:rFonts w:cs="Arial"/>
        </w:rPr>
        <w:lastRenderedPageBreak/>
        <w:t>Economic, Social, Technological, Legal, and Environmental factors. These forces are not controllable and are very powerful in influencing consumer behaviour, competitive factors, growth of the industry, and long-term strategic direction</w:t>
      </w:r>
      <w:r w:rsidR="007A31DA" w:rsidRPr="00D93729">
        <w:rPr>
          <w:rFonts w:cs="Arial"/>
        </w:rPr>
        <w:t xml:space="preserve"> (</w:t>
      </w:r>
      <w:proofErr w:type="spellStart"/>
      <w:r w:rsidR="007A31DA" w:rsidRPr="00D93729">
        <w:rPr>
          <w:rFonts w:cs="Arial"/>
        </w:rPr>
        <w:t>Silinevicha</w:t>
      </w:r>
      <w:proofErr w:type="spellEnd"/>
      <w:r w:rsidR="007A31DA" w:rsidRPr="00D93729">
        <w:rPr>
          <w:rFonts w:cs="Arial"/>
        </w:rPr>
        <w:t xml:space="preserve">, and </w:t>
      </w:r>
      <w:proofErr w:type="spellStart"/>
      <w:r w:rsidR="007A31DA" w:rsidRPr="00D93729">
        <w:rPr>
          <w:rFonts w:cs="Arial"/>
        </w:rPr>
        <w:t>Kalinina</w:t>
      </w:r>
      <w:proofErr w:type="spellEnd"/>
      <w:r w:rsidR="007A31DA" w:rsidRPr="00D93729">
        <w:rPr>
          <w:rFonts w:cs="Arial"/>
        </w:rPr>
        <w:t>, 2017)</w:t>
      </w:r>
      <w:r w:rsidRPr="00D93729">
        <w:rPr>
          <w:rFonts w:cs="Arial"/>
        </w:rPr>
        <w:t>. Since organisations have no control over these external forces, organisations have to continuously scan and interpret them to get a clear picture of the emerging opportunities as well as the threats they might pose.</w:t>
      </w:r>
    </w:p>
    <w:p w14:paraId="33E05FCF" w14:textId="048D2F35" w:rsidR="0085429F" w:rsidRPr="00D93729" w:rsidRDefault="0085429F" w:rsidP="00B32A7B">
      <w:pPr>
        <w:spacing w:line="360" w:lineRule="auto"/>
        <w:rPr>
          <w:rFonts w:cs="Arial"/>
        </w:rPr>
      </w:pPr>
      <w:r w:rsidRPr="00D93729">
        <w:rPr>
          <w:rFonts w:cs="Arial"/>
        </w:rPr>
        <w:t xml:space="preserve">Analysis of the environment is a crucial element of strategic management of marketing since it assists organisations to foresee changes, make informed choices and become resilient in uncertain markets. This is directly related to the module learning outcomes, which mandate the students to critically assess the marketing developments and their implications </w:t>
      </w:r>
      <w:r w:rsidR="00EE233E" w:rsidRPr="00D93729">
        <w:rPr>
          <w:rFonts w:cs="Arial"/>
        </w:rPr>
        <w:t>for</w:t>
      </w:r>
      <w:r w:rsidRPr="00D93729">
        <w:rPr>
          <w:rFonts w:cs="Arial"/>
        </w:rPr>
        <w:t xml:space="preserve"> the organisational strategy. Through systematic analysis of macro actors, companies are able to modify their marketing mix, allocation of resources, innovations, and the entire competitive strategy so that they are able to stay relevant and competitive in the changing market environments.</w:t>
      </w:r>
    </w:p>
    <w:p w14:paraId="41C8687B" w14:textId="2E9705F2" w:rsidR="0085429F" w:rsidRPr="00D93729" w:rsidRDefault="0085429F" w:rsidP="00B32A7B">
      <w:pPr>
        <w:pStyle w:val="Heading2"/>
        <w:spacing w:line="360" w:lineRule="auto"/>
        <w:rPr>
          <w:rFonts w:cs="Arial"/>
        </w:rPr>
      </w:pPr>
      <w:bookmarkStart w:id="4" w:name="_Toc214403118"/>
      <w:r w:rsidRPr="00D93729">
        <w:rPr>
          <w:rFonts w:cs="Arial"/>
        </w:rPr>
        <w:t>2.2 Pioneering vs Follower Organisations.</w:t>
      </w:r>
      <w:bookmarkEnd w:id="4"/>
    </w:p>
    <w:p w14:paraId="405D202F" w14:textId="29812F87" w:rsidR="0085429F" w:rsidRPr="00D93729" w:rsidRDefault="0085429F" w:rsidP="00B32A7B">
      <w:pPr>
        <w:spacing w:line="360" w:lineRule="auto"/>
        <w:rPr>
          <w:rFonts w:cs="Arial"/>
        </w:rPr>
      </w:pPr>
      <w:r w:rsidRPr="00D93729">
        <w:rPr>
          <w:rFonts w:cs="Arial"/>
        </w:rPr>
        <w:t>Pioneering organisations, also referred to as first movers, are firms that launch new products, technologies or types of business before other firms. They define the preliminary market anticipations, set the standards in the industry, and usually enjoy good brand awareness and consumer attachment. Early entrants can seize a large portion of the market and amass either a technological or experiential edge that might be hard to duplicate by the late entrants</w:t>
      </w:r>
      <w:r w:rsidR="0091633E" w:rsidRPr="00D93729">
        <w:rPr>
          <w:rFonts w:cs="Arial"/>
        </w:rPr>
        <w:t xml:space="preserve"> (Wurzel, et al., 2019)</w:t>
      </w:r>
      <w:r w:rsidRPr="00D93729">
        <w:rPr>
          <w:rFonts w:cs="Arial"/>
        </w:rPr>
        <w:t>. Nevertheless, the risk is also high as an early entrant is involved in uncertainty, significant development expenses, and the risk of introducing a product or technology before the market is completely prepared.</w:t>
      </w:r>
    </w:p>
    <w:p w14:paraId="6B048A37" w14:textId="5C0920C3" w:rsidR="0085429F" w:rsidRPr="00D93729" w:rsidRDefault="0085429F" w:rsidP="00B32A7B">
      <w:pPr>
        <w:spacing w:line="360" w:lineRule="auto"/>
        <w:rPr>
          <w:rFonts w:cs="Arial"/>
        </w:rPr>
      </w:pPr>
      <w:r w:rsidRPr="00D93729">
        <w:rPr>
          <w:rFonts w:cs="Arial"/>
        </w:rPr>
        <w:t xml:space="preserve">Instead, follower organisations are those organisations that enter the market following </w:t>
      </w:r>
      <w:r w:rsidR="0091633E" w:rsidRPr="00D93729">
        <w:rPr>
          <w:rFonts w:cs="Arial"/>
        </w:rPr>
        <w:t xml:space="preserve">the </w:t>
      </w:r>
      <w:r w:rsidRPr="00D93729">
        <w:rPr>
          <w:rFonts w:cs="Arial"/>
        </w:rPr>
        <w:t xml:space="preserve">pioneers. They rely on the reaction of the market and on the achievements or setbacks of the pioneer and make adjustments to offer at a reduced price. The followers are not able to take the risks of early innovation and may enjoy better technologies and more sophisticated products, as well as more predictable consumer demand. Nevertheless, they might not be able to distinguish themselves, encounter greater competition, and hardly enjoy the equivalent level of brand authority as early movers unless they add extra </w:t>
      </w:r>
      <w:r w:rsidRPr="00D93729">
        <w:rPr>
          <w:rFonts w:cs="Arial"/>
        </w:rPr>
        <w:lastRenderedPageBreak/>
        <w:t>value or reduce prices.</w:t>
      </w:r>
      <w:r w:rsidR="00672441" w:rsidRPr="00D93729">
        <w:rPr>
          <w:rFonts w:cs="Arial"/>
        </w:rPr>
        <w:t xml:space="preserve"> </w:t>
      </w:r>
      <w:r w:rsidRPr="00D93729">
        <w:rPr>
          <w:rFonts w:cs="Arial"/>
        </w:rPr>
        <w:t>It is important to compare pioneers and followers in the same industry since it is true that external macro actors have different influences on them. Technology disruptions or regulatory changes can be more exposed to pioneers, and more efficient adaptation to new trends can be seen in followers.</w:t>
      </w:r>
    </w:p>
    <w:p w14:paraId="7E4A74E8" w14:textId="6C47034A" w:rsidR="0085429F" w:rsidRPr="00D93729" w:rsidRDefault="0085429F" w:rsidP="00B32A7B">
      <w:pPr>
        <w:pStyle w:val="Heading1"/>
        <w:spacing w:line="360" w:lineRule="auto"/>
        <w:rPr>
          <w:rFonts w:cs="Arial"/>
        </w:rPr>
      </w:pPr>
      <w:bookmarkStart w:id="5" w:name="_Toc214403119"/>
      <w:r w:rsidRPr="00D93729">
        <w:rPr>
          <w:rFonts w:cs="Arial"/>
        </w:rPr>
        <w:t>3. Task 1: Critical Analysis of Selected Macro Marketing Actors</w:t>
      </w:r>
      <w:bookmarkEnd w:id="5"/>
      <w:r w:rsidRPr="00D93729">
        <w:rPr>
          <w:rFonts w:cs="Arial"/>
        </w:rPr>
        <w:t xml:space="preserve"> </w:t>
      </w:r>
    </w:p>
    <w:p w14:paraId="6BE565B0" w14:textId="540C05CA" w:rsidR="0085429F" w:rsidRPr="00D93729" w:rsidRDefault="0085429F" w:rsidP="00B32A7B">
      <w:pPr>
        <w:pStyle w:val="Heading2"/>
        <w:spacing w:line="360" w:lineRule="auto"/>
        <w:rPr>
          <w:rFonts w:cs="Arial"/>
        </w:rPr>
      </w:pPr>
      <w:bookmarkStart w:id="6" w:name="_Toc214403120"/>
      <w:r w:rsidRPr="00D93729">
        <w:rPr>
          <w:rFonts w:cs="Arial"/>
        </w:rPr>
        <w:t>3.1 Rationale for Selecting the Two Macro Actors</w:t>
      </w:r>
      <w:bookmarkEnd w:id="6"/>
    </w:p>
    <w:p w14:paraId="5A7AEF32" w14:textId="1058DA96" w:rsidR="0085429F" w:rsidRPr="00D93729" w:rsidRDefault="0085429F" w:rsidP="00B32A7B">
      <w:pPr>
        <w:spacing w:line="360" w:lineRule="auto"/>
        <w:rPr>
          <w:rFonts w:cs="Arial"/>
        </w:rPr>
      </w:pPr>
      <w:r w:rsidRPr="00D93729">
        <w:rPr>
          <w:rFonts w:cs="Arial"/>
        </w:rPr>
        <w:t xml:space="preserve">This discussion is on the sportswear and athletic footwear industry in the world, which is a very competitive and innovative market with the major players being Nike, Adidas, Puma, and other upcoming companies. The market has been typified by consumer preferences that change very quickly, a high pace of technological development and a growing demand </w:t>
      </w:r>
      <w:r w:rsidR="00EE233E" w:rsidRPr="00D93729">
        <w:rPr>
          <w:rFonts w:cs="Arial"/>
        </w:rPr>
        <w:t>for</w:t>
      </w:r>
      <w:r w:rsidRPr="00D93729">
        <w:rPr>
          <w:rFonts w:cs="Arial"/>
        </w:rPr>
        <w:t xml:space="preserve"> sustainable production</w:t>
      </w:r>
      <w:r w:rsidR="00F63680" w:rsidRPr="00D93729">
        <w:rPr>
          <w:rFonts w:cs="Arial"/>
        </w:rPr>
        <w:t xml:space="preserve"> (Niskanen, 2019)</w:t>
      </w:r>
      <w:r w:rsidRPr="00D93729">
        <w:rPr>
          <w:rFonts w:cs="Arial"/>
        </w:rPr>
        <w:t>. The nature of the industry and its constant dependence on design innovations, digital retailing and international supply chains make the industry highly influenced by the external macro-environmental forces.</w:t>
      </w:r>
    </w:p>
    <w:p w14:paraId="1727993C" w14:textId="29B9C8BD" w:rsidR="0085429F" w:rsidRPr="00D93729" w:rsidRDefault="0085429F" w:rsidP="00B32A7B">
      <w:pPr>
        <w:spacing w:line="360" w:lineRule="auto"/>
        <w:rPr>
          <w:rFonts w:cs="Arial"/>
        </w:rPr>
      </w:pPr>
      <w:r w:rsidRPr="00D93729">
        <w:rPr>
          <w:rFonts w:cs="Arial"/>
        </w:rPr>
        <w:t>To conduct this report, we have chosen two macro marketing actors, that is, Technological factors and Environmental factors. The sportswear industry is sensitive to these actors</w:t>
      </w:r>
      <w:r w:rsidR="00EE233E" w:rsidRPr="00D93729">
        <w:rPr>
          <w:rFonts w:cs="Arial"/>
        </w:rPr>
        <w:t>,</w:t>
      </w:r>
      <w:r w:rsidRPr="00D93729">
        <w:rPr>
          <w:rFonts w:cs="Arial"/>
        </w:rPr>
        <w:t xml:space="preserve"> especially due to the role played by technology in product innovation, digital experiences, efficiency, and competitive differentiation in manufacturing. Meanwhile, environmental influences, climate issues, </w:t>
      </w:r>
      <w:r w:rsidR="00EE233E" w:rsidRPr="00D93729">
        <w:rPr>
          <w:rFonts w:cs="Arial"/>
        </w:rPr>
        <w:t xml:space="preserve">the </w:t>
      </w:r>
      <w:r w:rsidRPr="00D93729">
        <w:rPr>
          <w:rFonts w:cs="Arial"/>
        </w:rPr>
        <w:t>use of sustainable materials and governmental requirements have also become a focal point of brand perception and consumer expectations. The two actors play a major role in both pioneering and follower firms since the former generate the innovation and the latter respond to changes in the market.</w:t>
      </w:r>
    </w:p>
    <w:p w14:paraId="4203E115" w14:textId="77777777" w:rsidR="00EE233E" w:rsidRPr="00D93729" w:rsidRDefault="00EE233E" w:rsidP="00B32A7B">
      <w:pPr>
        <w:spacing w:line="360" w:lineRule="auto"/>
        <w:rPr>
          <w:rFonts w:eastAsiaTheme="majorEastAsia" w:cs="Arial"/>
          <w:b/>
          <w:color w:val="2F5496" w:themeColor="accent1" w:themeShade="BF"/>
          <w:sz w:val="28"/>
          <w:szCs w:val="32"/>
        </w:rPr>
      </w:pPr>
      <w:r w:rsidRPr="00D93729">
        <w:rPr>
          <w:rFonts w:eastAsiaTheme="majorEastAsia" w:cs="Arial"/>
          <w:b/>
          <w:color w:val="2F5496" w:themeColor="accent1" w:themeShade="BF"/>
          <w:sz w:val="28"/>
          <w:szCs w:val="32"/>
        </w:rPr>
        <w:t>3.2 Macro Actor 1: Opportunities and Threats for Pioneering Organisations</w:t>
      </w:r>
    </w:p>
    <w:p w14:paraId="3CA68D74" w14:textId="3AD08A70" w:rsidR="0085429F" w:rsidRPr="00D93729" w:rsidRDefault="0085429F" w:rsidP="00B32A7B">
      <w:pPr>
        <w:spacing w:line="360" w:lineRule="auto"/>
        <w:rPr>
          <w:rFonts w:cs="Arial"/>
        </w:rPr>
      </w:pPr>
      <w:r w:rsidRPr="00D93729">
        <w:rPr>
          <w:rFonts w:cs="Arial"/>
        </w:rPr>
        <w:t xml:space="preserve">The technological change has significant opportunities </w:t>
      </w:r>
      <w:r w:rsidR="00EE233E" w:rsidRPr="00D93729">
        <w:rPr>
          <w:rFonts w:cs="Arial"/>
        </w:rPr>
        <w:t>for</w:t>
      </w:r>
      <w:r w:rsidRPr="00D93729">
        <w:rPr>
          <w:rFonts w:cs="Arial"/>
        </w:rPr>
        <w:t xml:space="preserve"> the pioneering organisations in the sportswear and athletic footwear business. There are emerging digital tools, materials </w:t>
      </w:r>
      <w:r w:rsidRPr="00D93729">
        <w:rPr>
          <w:rFonts w:cs="Arial"/>
        </w:rPr>
        <w:lastRenderedPageBreak/>
        <w:t xml:space="preserve">and production techniques, and pioneers may also apply them to create new products, </w:t>
      </w:r>
      <w:r w:rsidR="00EE233E" w:rsidRPr="00D93729">
        <w:rPr>
          <w:rFonts w:cs="Arial"/>
        </w:rPr>
        <w:t>personalise</w:t>
      </w:r>
      <w:r w:rsidRPr="00D93729">
        <w:rPr>
          <w:rFonts w:cs="Arial"/>
        </w:rPr>
        <w:t xml:space="preserve"> interactions with customers and brand differentiation. Indicatively, Nike has built advanced investment in online platforms, data applications, and wearables to provide tailored shoes, training applications, and member offers</w:t>
      </w:r>
      <w:r w:rsidR="00BB3FFE" w:rsidRPr="00D93729">
        <w:rPr>
          <w:rFonts w:cs="Arial"/>
        </w:rPr>
        <w:t xml:space="preserve"> (Hayes, and Venkatraman, 2016)</w:t>
      </w:r>
      <w:r w:rsidRPr="00D93729">
        <w:rPr>
          <w:rFonts w:cs="Arial"/>
        </w:rPr>
        <w:t xml:space="preserve">. The first to implement technologies 3D design, sophisticated cushioning and digital </w:t>
      </w:r>
      <w:r w:rsidR="00EE233E" w:rsidRPr="00D93729">
        <w:rPr>
          <w:rFonts w:cs="Arial"/>
        </w:rPr>
        <w:t>direct-to-consumer</w:t>
      </w:r>
      <w:r w:rsidRPr="00D93729">
        <w:rPr>
          <w:rFonts w:cs="Arial"/>
        </w:rPr>
        <w:t xml:space="preserve"> pathways</w:t>
      </w:r>
      <w:r w:rsidR="00EE233E" w:rsidRPr="00D93729">
        <w:rPr>
          <w:rFonts w:cs="Arial"/>
        </w:rPr>
        <w:t>,</w:t>
      </w:r>
      <w:r w:rsidRPr="00D93729">
        <w:rPr>
          <w:rFonts w:cs="Arial"/>
        </w:rPr>
        <w:t xml:space="preserve"> </w:t>
      </w:r>
      <w:r w:rsidR="00EE233E" w:rsidRPr="00D93729">
        <w:rPr>
          <w:rFonts w:cs="Arial"/>
        </w:rPr>
        <w:t>enables</w:t>
      </w:r>
      <w:r w:rsidRPr="00D93729">
        <w:rPr>
          <w:rFonts w:cs="Arial"/>
        </w:rPr>
        <w:t xml:space="preserve"> the pioneer company to influence customer expectations and develop a high level of brand loyalty.</w:t>
      </w:r>
    </w:p>
    <w:p w14:paraId="7727A37E" w14:textId="159CAA70" w:rsidR="0085429F" w:rsidRPr="00D93729" w:rsidRDefault="0085429F" w:rsidP="00B32A7B">
      <w:pPr>
        <w:spacing w:line="360" w:lineRule="auto"/>
        <w:rPr>
          <w:rFonts w:cs="Arial"/>
        </w:rPr>
      </w:pPr>
      <w:r w:rsidRPr="00D93729">
        <w:rPr>
          <w:rFonts w:cs="Arial"/>
        </w:rPr>
        <w:t xml:space="preserve">Nevertheless, the threat to innovative companies is also severe due to the same technological forces. Innovation demands a lot of investment in research, development, IT systems and expertise. In case a new technology does not work or is implemented too soon, pioneers can lose money and reputation. Successful technologies can also be duplicated by </w:t>
      </w:r>
      <w:r w:rsidR="00EE233E" w:rsidRPr="00D93729">
        <w:rPr>
          <w:rFonts w:cs="Arial"/>
        </w:rPr>
        <w:t>competitors</w:t>
      </w:r>
      <w:r w:rsidRPr="00D93729">
        <w:rPr>
          <w:rFonts w:cs="Arial"/>
        </w:rPr>
        <w:t xml:space="preserve"> at a cheaper rate</w:t>
      </w:r>
      <w:r w:rsidR="00EE233E" w:rsidRPr="00D93729">
        <w:rPr>
          <w:rFonts w:cs="Arial"/>
        </w:rPr>
        <w:t>,</w:t>
      </w:r>
      <w:r w:rsidRPr="00D93729">
        <w:rPr>
          <w:rFonts w:cs="Arial"/>
        </w:rPr>
        <w:t xml:space="preserve"> and the pioneer loses its advantage over time. Also, the high rate of technological change can obsolesce the current products, manufacturing facilities or digital platforms so that pioneers such as Nike are forced to upgrade their systems every minute just to keep their position in the market.</w:t>
      </w:r>
    </w:p>
    <w:p w14:paraId="7B6DACD8" w14:textId="77777777" w:rsidR="00EE233E" w:rsidRPr="00D93729" w:rsidRDefault="00EE233E" w:rsidP="00B32A7B">
      <w:pPr>
        <w:spacing w:line="360" w:lineRule="auto"/>
        <w:rPr>
          <w:rFonts w:eastAsiaTheme="majorEastAsia" w:cs="Arial"/>
          <w:b/>
          <w:color w:val="2F5496" w:themeColor="accent1" w:themeShade="BF"/>
          <w:sz w:val="28"/>
          <w:szCs w:val="32"/>
        </w:rPr>
      </w:pPr>
      <w:r w:rsidRPr="00D93729">
        <w:rPr>
          <w:rFonts w:eastAsiaTheme="majorEastAsia" w:cs="Arial"/>
          <w:b/>
          <w:color w:val="2F5496" w:themeColor="accent1" w:themeShade="BF"/>
          <w:sz w:val="28"/>
          <w:szCs w:val="32"/>
        </w:rPr>
        <w:t>3.3 Macro Actor 1: Opportunities and Threats for Follower Organisations</w:t>
      </w:r>
    </w:p>
    <w:p w14:paraId="1D9D97D9" w14:textId="0D797F7A" w:rsidR="0085429F" w:rsidRPr="00D93729" w:rsidRDefault="0085429F" w:rsidP="00B32A7B">
      <w:pPr>
        <w:spacing w:line="360" w:lineRule="auto"/>
        <w:rPr>
          <w:rFonts w:cs="Arial"/>
        </w:rPr>
      </w:pPr>
      <w:r w:rsidRPr="00D93729">
        <w:rPr>
          <w:rFonts w:cs="Arial"/>
        </w:rPr>
        <w:t>Another important opportunity presented to the sportswear industry by technological change is meaningful opportunities to follower organisations. Since followers come after pioneers, they view which technology is successful and implement it at a lower risk and reduced cost of development. The example of Skechers, a well-known follower brand, is where it waits until a new cushioning system, digital retail? or material innovation has shown a commercial maturity to be integrated into its own product</w:t>
      </w:r>
      <w:r w:rsidR="00EA6D5C" w:rsidRPr="00D93729">
        <w:rPr>
          <w:rFonts w:cs="Arial"/>
        </w:rPr>
        <w:t xml:space="preserve"> (Chuang, 2019)</w:t>
      </w:r>
      <w:r w:rsidRPr="00D93729">
        <w:rPr>
          <w:rFonts w:cs="Arial"/>
        </w:rPr>
        <w:t xml:space="preserve">. This strategy enables the followers to escape the high cost of R and D incurred by the pioneers and concentrate instead on enhancing affordability, comfort, and design differentiation. Technology may also aid followers to create more powerful digital sales channels, apply effective e-commerce platforms, </w:t>
      </w:r>
      <w:r w:rsidR="00EE233E" w:rsidRPr="00D93729">
        <w:rPr>
          <w:rFonts w:cs="Arial"/>
        </w:rPr>
        <w:t>automate</w:t>
      </w:r>
      <w:r w:rsidRPr="00D93729">
        <w:rPr>
          <w:rFonts w:cs="Arial"/>
        </w:rPr>
        <w:t xml:space="preserve"> supply chains, and </w:t>
      </w:r>
      <w:r w:rsidR="00EE233E" w:rsidRPr="00D93729">
        <w:rPr>
          <w:rFonts w:cs="Arial"/>
        </w:rPr>
        <w:t xml:space="preserve">use </w:t>
      </w:r>
      <w:r w:rsidRPr="00D93729">
        <w:rPr>
          <w:rFonts w:cs="Arial"/>
        </w:rPr>
        <w:t>data-driven marketing with fewer experiments.</w:t>
      </w:r>
    </w:p>
    <w:p w14:paraId="55222A95" w14:textId="1DD3D562" w:rsidR="0085429F" w:rsidRPr="00D93729" w:rsidRDefault="0085429F" w:rsidP="00B32A7B">
      <w:pPr>
        <w:spacing w:line="360" w:lineRule="auto"/>
        <w:rPr>
          <w:rFonts w:cs="Arial"/>
        </w:rPr>
      </w:pPr>
      <w:r w:rsidRPr="00D93729">
        <w:rPr>
          <w:rFonts w:cs="Arial"/>
        </w:rPr>
        <w:lastRenderedPageBreak/>
        <w:t>Although these are the benefits, technological change has threats as well to the follower organisations. Since the first to adopt technology are the ones that influence the initial consumer expectations, they may not be able to stand out when their followers adopt the same technologies</w:t>
      </w:r>
      <w:r w:rsidR="00EE233E" w:rsidRPr="00D93729">
        <w:rPr>
          <w:rFonts w:cs="Arial"/>
        </w:rPr>
        <w:t>,</w:t>
      </w:r>
      <w:r w:rsidRPr="00D93729">
        <w:rPr>
          <w:rFonts w:cs="Arial"/>
        </w:rPr>
        <w:t xml:space="preserve"> </w:t>
      </w:r>
      <w:r w:rsidR="00EE233E" w:rsidRPr="00D93729">
        <w:rPr>
          <w:rFonts w:cs="Arial"/>
        </w:rPr>
        <w:t>and</w:t>
      </w:r>
      <w:r w:rsidRPr="00D93729">
        <w:rPr>
          <w:rFonts w:cs="Arial"/>
        </w:rPr>
        <w:t xml:space="preserve"> it is too late. There is also the danger of being viewed as a copycat and not innovative, which may undermine brand positioning. Moreover, to keep up with the high-speed digital evolution, follower companies should constantly invest, despite their possible lack of financial and technological capabilities of the market leaders. In the case of brands such as Skechers, a failure to embrace new technologies fast enough may result in irrelevance, lack of competitiveness, and its inability to appeal to younger </w:t>
      </w:r>
      <w:r w:rsidR="00EE233E" w:rsidRPr="00D93729">
        <w:rPr>
          <w:rFonts w:cs="Arial"/>
        </w:rPr>
        <w:t>consumers</w:t>
      </w:r>
      <w:r w:rsidRPr="00D93729">
        <w:rPr>
          <w:rFonts w:cs="Arial"/>
        </w:rPr>
        <w:t xml:space="preserve"> who are digitally savvy.</w:t>
      </w:r>
    </w:p>
    <w:p w14:paraId="1AC878AA" w14:textId="77C34D2F" w:rsidR="0085429F" w:rsidRPr="00D93729" w:rsidRDefault="00EE233E" w:rsidP="00B32A7B">
      <w:pPr>
        <w:pStyle w:val="Heading2"/>
        <w:spacing w:line="360" w:lineRule="auto"/>
        <w:rPr>
          <w:rFonts w:cs="Arial"/>
        </w:rPr>
      </w:pPr>
      <w:bookmarkStart w:id="7" w:name="_Toc214403121"/>
      <w:r w:rsidRPr="00D93729">
        <w:rPr>
          <w:rFonts w:cs="Arial"/>
        </w:rPr>
        <w:t>3.4 Macro Actor 2: Opportunities and Threats for Pioneering Organisations</w:t>
      </w:r>
      <w:bookmarkEnd w:id="7"/>
    </w:p>
    <w:p w14:paraId="17C9BFC4" w14:textId="7F9E6BED" w:rsidR="0085429F" w:rsidRPr="00D93729" w:rsidRDefault="0085429F" w:rsidP="00B32A7B">
      <w:pPr>
        <w:spacing w:line="360" w:lineRule="auto"/>
        <w:rPr>
          <w:rFonts w:cs="Arial"/>
        </w:rPr>
      </w:pPr>
      <w:r w:rsidRPr="00D93729">
        <w:rPr>
          <w:rFonts w:cs="Arial"/>
        </w:rPr>
        <w:t>The environmental condition builds substantial opportunities among the first mover organisations in the sportswear and footwear sector</w:t>
      </w:r>
      <w:r w:rsidR="00EE233E" w:rsidRPr="00D93729">
        <w:rPr>
          <w:rFonts w:cs="Arial"/>
        </w:rPr>
        <w:t>,</w:t>
      </w:r>
      <w:r w:rsidRPr="00D93729">
        <w:rPr>
          <w:rFonts w:cs="Arial"/>
        </w:rPr>
        <w:t xml:space="preserve"> especially </w:t>
      </w:r>
      <w:r w:rsidR="00EE233E" w:rsidRPr="00D93729">
        <w:rPr>
          <w:rFonts w:cs="Arial"/>
        </w:rPr>
        <w:t>with</w:t>
      </w:r>
      <w:r w:rsidRPr="00D93729">
        <w:rPr>
          <w:rFonts w:cs="Arial"/>
        </w:rPr>
        <w:t xml:space="preserve"> the rise of global consumers focusing on sustainable ways of consumption, ethical sourcing, and environmentally friendly production. </w:t>
      </w:r>
      <w:r w:rsidR="00EE233E" w:rsidRPr="00D93729">
        <w:rPr>
          <w:rFonts w:cs="Arial"/>
        </w:rPr>
        <w:t>Pioneers can leverage this shift to incorporate environmentally friendly materials, reduce carbon emissions, and establish</w:t>
      </w:r>
      <w:r w:rsidRPr="00D93729">
        <w:rPr>
          <w:rFonts w:cs="Arial"/>
        </w:rPr>
        <w:t xml:space="preserve"> brand trust. An example is the Move to Zero program of Nike that makes the company a sustainability leader with its promise of using renewable energy, recycled polyester, and carbon-neutral production</w:t>
      </w:r>
      <w:r w:rsidR="00B32A7B" w:rsidRPr="00D93729">
        <w:rPr>
          <w:rFonts w:cs="Arial"/>
        </w:rPr>
        <w:t xml:space="preserve"> (Baier, et al., 2020)</w:t>
      </w:r>
      <w:r w:rsidRPr="00D93729">
        <w:rPr>
          <w:rFonts w:cs="Arial"/>
        </w:rPr>
        <w:t>. Pioneers have the opportunity to appeal to the environmentally conscious consumer, set future regulations already and shape the sustainability of the industry by innovating early in sustainable materials and models of the circular design.</w:t>
      </w:r>
    </w:p>
    <w:p w14:paraId="5EE616F8" w14:textId="3DECDDD0" w:rsidR="0085429F" w:rsidRPr="00D93729" w:rsidRDefault="0085429F" w:rsidP="00B32A7B">
      <w:pPr>
        <w:spacing w:line="360" w:lineRule="auto"/>
        <w:rPr>
          <w:rFonts w:cs="Arial"/>
        </w:rPr>
      </w:pPr>
      <w:r w:rsidRPr="00D93729">
        <w:rPr>
          <w:rFonts w:cs="Arial"/>
        </w:rPr>
        <w:t xml:space="preserve">Nevertheless, the environmental forces also pose significant threats to innovative companies. It means that significant investments in supply chain transformation, new materials, </w:t>
      </w:r>
      <w:r w:rsidR="00EE233E" w:rsidRPr="00D93729">
        <w:rPr>
          <w:rFonts w:cs="Arial"/>
        </w:rPr>
        <w:t>energy-efficient</w:t>
      </w:r>
      <w:r w:rsidRPr="00D93729">
        <w:rPr>
          <w:rFonts w:cs="Arial"/>
        </w:rPr>
        <w:t xml:space="preserve"> technologies, and transparent reporting are needed to meet the sustainability goal, which pioneers have to bear before followers. Unless sustainability is thoroughly proven, the innovators can be accused of greenwashing, which will damage the reputation of the brand</w:t>
      </w:r>
      <w:r w:rsidR="008C5F02" w:rsidRPr="00D93729">
        <w:rPr>
          <w:rFonts w:cs="Arial"/>
        </w:rPr>
        <w:t xml:space="preserve"> (Marchi, and Zanoni, 2017)</w:t>
      </w:r>
      <w:r w:rsidRPr="00D93729">
        <w:rPr>
          <w:rFonts w:cs="Arial"/>
        </w:rPr>
        <w:t xml:space="preserve">. Also, new and quick regulatory adjustments, waste minimisation, carbon taxes, or labour practices can make operations </w:t>
      </w:r>
      <w:r w:rsidRPr="00D93729">
        <w:rPr>
          <w:rFonts w:cs="Arial"/>
        </w:rPr>
        <w:lastRenderedPageBreak/>
        <w:t xml:space="preserve">more complicated. In the case of Nike, missing challenging goals puts this corporation at risk of a tarnished image, commercial </w:t>
      </w:r>
      <w:r w:rsidR="00EE233E" w:rsidRPr="00D93729">
        <w:rPr>
          <w:rFonts w:cs="Arial"/>
        </w:rPr>
        <w:t>setback</w:t>
      </w:r>
      <w:r w:rsidRPr="00D93729">
        <w:rPr>
          <w:rFonts w:cs="Arial"/>
        </w:rPr>
        <w:t>, and further investigation by both buyers and authorities</w:t>
      </w:r>
      <w:r w:rsidR="00EE233E" w:rsidRPr="00D93729">
        <w:rPr>
          <w:rFonts w:cs="Arial"/>
        </w:rPr>
        <w:t>,</w:t>
      </w:r>
      <w:r w:rsidRPr="00D93729">
        <w:rPr>
          <w:rFonts w:cs="Arial"/>
        </w:rPr>
        <w:t xml:space="preserve"> as well as interest groups.</w:t>
      </w:r>
    </w:p>
    <w:p w14:paraId="3C0C0EBF" w14:textId="21D63590" w:rsidR="0085429F" w:rsidRPr="00D93729" w:rsidRDefault="00EE233E" w:rsidP="00B32A7B">
      <w:pPr>
        <w:pStyle w:val="Heading2"/>
        <w:spacing w:line="360" w:lineRule="auto"/>
        <w:rPr>
          <w:rFonts w:cs="Arial"/>
        </w:rPr>
      </w:pPr>
      <w:bookmarkStart w:id="8" w:name="_Toc214403122"/>
      <w:r w:rsidRPr="00D93729">
        <w:rPr>
          <w:rFonts w:cs="Arial"/>
        </w:rPr>
        <w:t>3.5 Macro Actor 2: Opportunities and Threats for Follower Organisations</w:t>
      </w:r>
      <w:bookmarkEnd w:id="8"/>
    </w:p>
    <w:p w14:paraId="359E8962" w14:textId="5C84E0AE" w:rsidR="0085429F" w:rsidRPr="00D93729" w:rsidRDefault="0085429F" w:rsidP="00B32A7B">
      <w:pPr>
        <w:spacing w:line="360" w:lineRule="auto"/>
        <w:rPr>
          <w:rFonts w:cs="Arial"/>
        </w:rPr>
      </w:pPr>
      <w:r w:rsidRPr="00D93729">
        <w:rPr>
          <w:rFonts w:cs="Arial"/>
        </w:rPr>
        <w:t xml:space="preserve">There are also significant opportunities </w:t>
      </w:r>
      <w:r w:rsidR="00EE233E" w:rsidRPr="00D93729">
        <w:rPr>
          <w:rFonts w:cs="Arial"/>
        </w:rPr>
        <w:t>for</w:t>
      </w:r>
      <w:r w:rsidRPr="00D93729">
        <w:rPr>
          <w:rFonts w:cs="Arial"/>
        </w:rPr>
        <w:t xml:space="preserve"> follower organisations in </w:t>
      </w:r>
      <w:r w:rsidR="00EE233E" w:rsidRPr="00D93729">
        <w:rPr>
          <w:rFonts w:cs="Arial"/>
        </w:rPr>
        <w:t xml:space="preserve">the </w:t>
      </w:r>
      <w:r w:rsidRPr="00D93729">
        <w:rPr>
          <w:rFonts w:cs="Arial"/>
        </w:rPr>
        <w:t xml:space="preserve">sportswear industry due to environmental pressures. Since the followers embrace sustainable practices later, they will be able to learn what other firms that have been </w:t>
      </w:r>
      <w:r w:rsidR="00EE233E" w:rsidRPr="00D93729">
        <w:rPr>
          <w:rFonts w:cs="Arial"/>
        </w:rPr>
        <w:t>at</w:t>
      </w:r>
      <w:r w:rsidRPr="00D93729">
        <w:rPr>
          <w:rFonts w:cs="Arial"/>
        </w:rPr>
        <w:t xml:space="preserve"> the forefront have learned and apply better solutions at a low cost. Indicatively, follower brands like Anta or Li-Ning tend to use recycled materials, sustainable packaging, or manufacturing energy-efficient only after these strategies have been successfully demonstrated by industry pioneers like Nike or Adidas. This minimises the cost of experimentation and gives the followers a chance to establish themselves as cheap but</w:t>
      </w:r>
      <w:r w:rsidR="00EE233E" w:rsidRPr="00D93729">
        <w:rPr>
          <w:rFonts w:cs="Arial"/>
        </w:rPr>
        <w:t>,</w:t>
      </w:r>
      <w:r w:rsidRPr="00D93729">
        <w:rPr>
          <w:rFonts w:cs="Arial"/>
        </w:rPr>
        <w:t xml:space="preserve"> at the same time, green products</w:t>
      </w:r>
      <w:r w:rsidR="008E0181" w:rsidRPr="00D93729">
        <w:rPr>
          <w:rFonts w:cs="Arial"/>
        </w:rPr>
        <w:t xml:space="preserve"> (Baumann-Pauly, et al., 2016)</w:t>
      </w:r>
      <w:r w:rsidRPr="00D93729">
        <w:rPr>
          <w:rFonts w:cs="Arial"/>
        </w:rPr>
        <w:t>. The environmental policies and customer demands also compel the followers to modernise their supply chains to enable them to increase their efficiency and brand credibility without having to shoulder the entire responsibility of pioneering innovation.</w:t>
      </w:r>
    </w:p>
    <w:p w14:paraId="05B8E7EC" w14:textId="788A37D9" w:rsidR="0085429F" w:rsidRPr="00D93729" w:rsidRDefault="0085429F" w:rsidP="00B32A7B">
      <w:pPr>
        <w:spacing w:line="360" w:lineRule="auto"/>
        <w:rPr>
          <w:rFonts w:cs="Arial"/>
        </w:rPr>
      </w:pPr>
      <w:r w:rsidRPr="00D93729">
        <w:rPr>
          <w:rFonts w:cs="Arial"/>
        </w:rPr>
        <w:t xml:space="preserve">Nevertheless, the external conditions are also a serious limitation </w:t>
      </w:r>
      <w:r w:rsidR="00EE233E" w:rsidRPr="00D93729">
        <w:rPr>
          <w:rFonts w:cs="Arial"/>
        </w:rPr>
        <w:t>for</w:t>
      </w:r>
      <w:r w:rsidRPr="00D93729">
        <w:rPr>
          <w:rFonts w:cs="Arial"/>
        </w:rPr>
        <w:t xml:space="preserve"> the followers. They might not be able to keep up with the sustainability standards that the pioneers have already set</w:t>
      </w:r>
      <w:r w:rsidR="00EE233E" w:rsidRPr="00D93729">
        <w:rPr>
          <w:rFonts w:cs="Arial"/>
        </w:rPr>
        <w:t>,</w:t>
      </w:r>
      <w:r w:rsidRPr="00D93729">
        <w:rPr>
          <w:rFonts w:cs="Arial"/>
        </w:rPr>
        <w:t xml:space="preserve"> and it is not easy to differentiate to create leadership. The followers tend not to have the financial resources or technological alliances to quickly update the materials, cut emissions or </w:t>
      </w:r>
      <w:r w:rsidR="00EE233E" w:rsidRPr="00D93729">
        <w:rPr>
          <w:rFonts w:cs="Arial"/>
        </w:rPr>
        <w:t>fulfil</w:t>
      </w:r>
      <w:r w:rsidRPr="00D93729">
        <w:rPr>
          <w:rFonts w:cs="Arial"/>
        </w:rPr>
        <w:t xml:space="preserve"> the rigorous environmental reporting demands. Also, when followers go too slow in their sustainability practice, they will be viewed as either </w:t>
      </w:r>
      <w:r w:rsidR="00EE233E" w:rsidRPr="00D93729">
        <w:rPr>
          <w:rFonts w:cs="Arial"/>
        </w:rPr>
        <w:t>old-fashioned</w:t>
      </w:r>
      <w:r w:rsidRPr="00D93729">
        <w:rPr>
          <w:rFonts w:cs="Arial"/>
        </w:rPr>
        <w:t xml:space="preserve"> or irresponsible compared to the market leaders. In sum, pioneers have more risks, but at the same time, they have reputational </w:t>
      </w:r>
      <w:r w:rsidR="00EE233E" w:rsidRPr="00D93729">
        <w:rPr>
          <w:rFonts w:cs="Arial"/>
        </w:rPr>
        <w:t>benefits</w:t>
      </w:r>
      <w:r w:rsidRPr="00D93729">
        <w:rPr>
          <w:rFonts w:cs="Arial"/>
        </w:rPr>
        <w:t>, and followers have cost-efficient learning but have to work harder to not be seen as reactive and less committed to sustainability.</w:t>
      </w:r>
    </w:p>
    <w:p w14:paraId="21A5F445" w14:textId="78670797" w:rsidR="0085429F" w:rsidRPr="00D93729" w:rsidRDefault="00EE233E" w:rsidP="00B32A7B">
      <w:pPr>
        <w:pStyle w:val="Heading1"/>
        <w:spacing w:line="360" w:lineRule="auto"/>
        <w:rPr>
          <w:rFonts w:cs="Arial"/>
        </w:rPr>
      </w:pPr>
      <w:bookmarkStart w:id="9" w:name="_Toc214403123"/>
      <w:r w:rsidRPr="00D93729">
        <w:rPr>
          <w:rFonts w:cs="Arial"/>
        </w:rPr>
        <w:lastRenderedPageBreak/>
        <w:t>4. Task 2: Strategic Responses of Pioneers and Followers</w:t>
      </w:r>
      <w:r w:rsidR="0085429F" w:rsidRPr="00D93729">
        <w:rPr>
          <w:rFonts w:cs="Arial"/>
        </w:rPr>
        <w:t>.</w:t>
      </w:r>
      <w:bookmarkEnd w:id="9"/>
    </w:p>
    <w:p w14:paraId="3045848E" w14:textId="194F2F4C" w:rsidR="00EE233E" w:rsidRPr="00D93729" w:rsidRDefault="00EE233E" w:rsidP="00B32A7B">
      <w:pPr>
        <w:pStyle w:val="Heading2"/>
        <w:spacing w:line="360" w:lineRule="auto"/>
        <w:rPr>
          <w:rFonts w:cs="Arial"/>
        </w:rPr>
      </w:pPr>
      <w:bookmarkStart w:id="10" w:name="_Toc214403124"/>
      <w:r w:rsidRPr="00D93729">
        <w:rPr>
          <w:rFonts w:cs="Arial"/>
        </w:rPr>
        <w:t>4.1 Strategic Responses of Pioneering Organisations</w:t>
      </w:r>
      <w:bookmarkEnd w:id="10"/>
      <w:r w:rsidRPr="00D93729">
        <w:rPr>
          <w:rFonts w:cs="Arial"/>
        </w:rPr>
        <w:t xml:space="preserve"> </w:t>
      </w:r>
    </w:p>
    <w:p w14:paraId="7698C2FF" w14:textId="7035BAAF" w:rsidR="0085429F" w:rsidRPr="00D93729" w:rsidRDefault="0085429F" w:rsidP="00B32A7B">
      <w:pPr>
        <w:spacing w:line="360" w:lineRule="auto"/>
        <w:rPr>
          <w:rFonts w:cs="Arial"/>
        </w:rPr>
      </w:pPr>
      <w:r w:rsidRPr="00D93729">
        <w:rPr>
          <w:rFonts w:cs="Arial"/>
        </w:rPr>
        <w:t xml:space="preserve">Pioneering organisations are usually </w:t>
      </w:r>
      <w:r w:rsidR="00EE233E" w:rsidRPr="00D93729">
        <w:rPr>
          <w:rFonts w:cs="Arial"/>
        </w:rPr>
        <w:t>reactive</w:t>
      </w:r>
      <w:r w:rsidRPr="00D93729">
        <w:rPr>
          <w:rFonts w:cs="Arial"/>
        </w:rPr>
        <w:t xml:space="preserve"> to change in technology and environment</w:t>
      </w:r>
      <w:r w:rsidR="00EE233E" w:rsidRPr="00D93729">
        <w:rPr>
          <w:rFonts w:cs="Arial"/>
        </w:rPr>
        <w:t>,</w:t>
      </w:r>
      <w:r w:rsidRPr="00D93729">
        <w:rPr>
          <w:rFonts w:cs="Arial"/>
        </w:rPr>
        <w:t xml:space="preserve"> with strategies that cement their leadership roles. Innovation is another element which Nike, as pioneers in the sportswear industry, embraces with the help of technology, introducing superior materials, digitised product design, and individualised services in advance of its competitors. These companies use first-mover advantage as </w:t>
      </w:r>
      <w:r w:rsidR="00EE233E" w:rsidRPr="00D93729">
        <w:rPr>
          <w:rFonts w:cs="Arial"/>
        </w:rPr>
        <w:t>they</w:t>
      </w:r>
      <w:r w:rsidRPr="00D93729">
        <w:rPr>
          <w:rFonts w:cs="Arial"/>
        </w:rPr>
        <w:t xml:space="preserve"> keep implementing R&amp;D, testing smart manufacturing, and incorporating digital instruments into customer experiences</w:t>
      </w:r>
      <w:r w:rsidR="00D10185" w:rsidRPr="00D93729">
        <w:rPr>
          <w:rFonts w:cs="Arial"/>
        </w:rPr>
        <w:t xml:space="preserve"> (</w:t>
      </w:r>
      <w:proofErr w:type="spellStart"/>
      <w:r w:rsidR="00D10185" w:rsidRPr="00D93729">
        <w:rPr>
          <w:rFonts w:cs="Arial"/>
        </w:rPr>
        <w:t>Kaushikkar</w:t>
      </w:r>
      <w:proofErr w:type="spellEnd"/>
      <w:r w:rsidR="00D10185" w:rsidRPr="00D93729">
        <w:rPr>
          <w:rFonts w:cs="Arial"/>
        </w:rPr>
        <w:t>, et al., 2020)</w:t>
      </w:r>
      <w:r w:rsidRPr="00D93729">
        <w:rPr>
          <w:rFonts w:cs="Arial"/>
        </w:rPr>
        <w:t xml:space="preserve">. To support their reaction, strategic marketing choices are made: creating products of high innovativeness, premium pricing as an indication of the technological value, omnichannel place strategy, and positioning their innovations through an effective </w:t>
      </w:r>
      <w:r w:rsidR="00EE233E" w:rsidRPr="00D93729">
        <w:rPr>
          <w:rFonts w:cs="Arial"/>
        </w:rPr>
        <w:t>brand storytelling</w:t>
      </w:r>
      <w:r w:rsidRPr="00D93729">
        <w:rPr>
          <w:rFonts w:cs="Arial"/>
        </w:rPr>
        <w:t xml:space="preserve"> technique are adopted.</w:t>
      </w:r>
    </w:p>
    <w:p w14:paraId="547AA38A" w14:textId="20A62952" w:rsidR="0085429F" w:rsidRPr="00D93729" w:rsidRDefault="0085429F" w:rsidP="00B32A7B">
      <w:pPr>
        <w:spacing w:line="360" w:lineRule="auto"/>
        <w:rPr>
          <w:rFonts w:cs="Arial"/>
        </w:rPr>
      </w:pPr>
      <w:r w:rsidRPr="00D93729">
        <w:rPr>
          <w:rFonts w:cs="Arial"/>
        </w:rPr>
        <w:t>In reacting to environmental demands, the pioneers are starting to embrace sustainability in their long-term strategic plan through methods such as using recycled materials, enhancing supply chain visibility, and lowering carbon emissions. These efforts affect various aspects of the 7Ps</w:t>
      </w:r>
      <w:r w:rsidR="00EE233E" w:rsidRPr="00D93729">
        <w:rPr>
          <w:rFonts w:cs="Arial"/>
        </w:rPr>
        <w:t>,</w:t>
      </w:r>
      <w:r w:rsidRPr="00D93729">
        <w:rPr>
          <w:rFonts w:cs="Arial"/>
        </w:rPr>
        <w:t xml:space="preserve"> like product development that is environmentally conscious, sustainable packaging as a tangible form of evidence, and promotion communications that are green. Pioneers also educate their people on how to </w:t>
      </w:r>
      <w:r w:rsidR="00EE233E" w:rsidRPr="00D93729">
        <w:rPr>
          <w:rFonts w:cs="Arial"/>
        </w:rPr>
        <w:t xml:space="preserve">apply </w:t>
      </w:r>
      <w:r w:rsidRPr="00D93729">
        <w:rPr>
          <w:rFonts w:cs="Arial"/>
        </w:rPr>
        <w:t xml:space="preserve">sustainability standards and </w:t>
      </w:r>
      <w:r w:rsidR="00EE233E" w:rsidRPr="00D93729">
        <w:rPr>
          <w:rFonts w:cs="Arial"/>
        </w:rPr>
        <w:t>streamline</w:t>
      </w:r>
      <w:r w:rsidRPr="00D93729">
        <w:rPr>
          <w:rFonts w:cs="Arial"/>
        </w:rPr>
        <w:t xml:space="preserve"> the procedures to suit regulatory needs. Incorporating environmental responsibility into the general strategic and marketing models, leaders can build stronger brand images and appeal to environmentally friendly consumers and position themselves as the industry leaders that can address the upcoming regulatory and social challenges.</w:t>
      </w:r>
    </w:p>
    <w:p w14:paraId="7FE0D0CD" w14:textId="489BAF50" w:rsidR="0085429F" w:rsidRPr="00D93729" w:rsidRDefault="00EE233E" w:rsidP="00B32A7B">
      <w:pPr>
        <w:pStyle w:val="Heading2"/>
        <w:spacing w:line="360" w:lineRule="auto"/>
        <w:rPr>
          <w:rFonts w:cs="Arial"/>
        </w:rPr>
      </w:pPr>
      <w:bookmarkStart w:id="11" w:name="_Toc214403125"/>
      <w:r w:rsidRPr="00D93729">
        <w:rPr>
          <w:rFonts w:cs="Arial"/>
        </w:rPr>
        <w:t>4.2 Strategic Responses of Follower Organisations</w:t>
      </w:r>
      <w:bookmarkEnd w:id="11"/>
    </w:p>
    <w:p w14:paraId="6EB74959" w14:textId="5E8BA0C1" w:rsidR="0085429F" w:rsidRPr="00D93729" w:rsidRDefault="0085429F" w:rsidP="00B32A7B">
      <w:pPr>
        <w:spacing w:line="360" w:lineRule="auto"/>
        <w:rPr>
          <w:rFonts w:cs="Arial"/>
        </w:rPr>
      </w:pPr>
      <w:r w:rsidRPr="00D93729">
        <w:rPr>
          <w:rFonts w:cs="Arial"/>
        </w:rPr>
        <w:t xml:space="preserve">The common responses of the follower organisations to technological and environmental shifts are imitation, </w:t>
      </w:r>
      <w:r w:rsidR="00EE233E" w:rsidRPr="00D93729">
        <w:rPr>
          <w:rFonts w:cs="Arial"/>
        </w:rPr>
        <w:t>adaptation</w:t>
      </w:r>
      <w:r w:rsidRPr="00D93729">
        <w:rPr>
          <w:rFonts w:cs="Arial"/>
        </w:rPr>
        <w:t xml:space="preserve">, and cost-oriented strategy, meaning that they can enjoy the fruits of the innovation without having to bear the risks associated with the pioneers. The sportswear business is well known to have follower brands taking a back seat before new technologies, like a new cushioning system, digital retail tools, or sustainable </w:t>
      </w:r>
      <w:r w:rsidRPr="00D93729">
        <w:rPr>
          <w:rFonts w:cs="Arial"/>
        </w:rPr>
        <w:lastRenderedPageBreak/>
        <w:t xml:space="preserve">materials, have been tested against by the best in the business, such as Nike or Adidas. As soon as these technologies demonstrate good business potential, the followers incorporate them in their products at </w:t>
      </w:r>
      <w:r w:rsidR="00EE233E" w:rsidRPr="00D93729">
        <w:rPr>
          <w:rFonts w:cs="Arial"/>
        </w:rPr>
        <w:t xml:space="preserve">a </w:t>
      </w:r>
      <w:r w:rsidRPr="00D93729">
        <w:rPr>
          <w:rFonts w:cs="Arial"/>
        </w:rPr>
        <w:t>reduced rate and with more efficiency</w:t>
      </w:r>
      <w:r w:rsidR="008E3EA0" w:rsidRPr="00D93729">
        <w:rPr>
          <w:rFonts w:cs="Arial"/>
        </w:rPr>
        <w:t xml:space="preserve"> (Jaworek, et al., 2021)</w:t>
      </w:r>
      <w:r w:rsidRPr="00D93729">
        <w:rPr>
          <w:rFonts w:cs="Arial"/>
        </w:rPr>
        <w:t xml:space="preserve">. This second-mover strategy will allow them to perfect product designs, stream operations, and focus on value-sensitive customers without excessive pricing. It is common to have the followers focus on affordable variations of the products, competitive prices, larger coverage of the place by mass retailers and more realistic </w:t>
      </w:r>
      <w:r w:rsidR="00EE233E" w:rsidRPr="00D93729">
        <w:rPr>
          <w:rFonts w:cs="Arial"/>
        </w:rPr>
        <w:t>promotions</w:t>
      </w:r>
      <w:r w:rsidRPr="00D93729">
        <w:rPr>
          <w:rFonts w:cs="Arial"/>
        </w:rPr>
        <w:t xml:space="preserve"> that </w:t>
      </w:r>
      <w:r w:rsidR="00EE233E" w:rsidRPr="00D93729">
        <w:rPr>
          <w:rFonts w:cs="Arial"/>
        </w:rPr>
        <w:t>concentrate</w:t>
      </w:r>
      <w:r w:rsidRPr="00D93729">
        <w:rPr>
          <w:rFonts w:cs="Arial"/>
        </w:rPr>
        <w:t xml:space="preserve"> on comfort and value rather than superiority in technology.</w:t>
      </w:r>
    </w:p>
    <w:p w14:paraId="0EF10ECD" w14:textId="498AE8B6" w:rsidR="0085429F" w:rsidRPr="00D93729" w:rsidRDefault="0085429F" w:rsidP="00B32A7B">
      <w:pPr>
        <w:spacing w:line="360" w:lineRule="auto"/>
        <w:rPr>
          <w:rFonts w:cs="Arial"/>
        </w:rPr>
      </w:pPr>
      <w:r w:rsidRPr="00D93729">
        <w:rPr>
          <w:rFonts w:cs="Arial"/>
        </w:rPr>
        <w:t xml:space="preserve">As part of a reaction to environmental pressures, follower organisations are likely to respond more slowly to sustainability initiatives with a view to fulfilling viable improvements that enhance brand credibility without pushing them beyond their resource base limits. Once these practices are accepted and </w:t>
      </w:r>
      <w:r w:rsidR="00EE233E" w:rsidRPr="00D93729">
        <w:rPr>
          <w:rFonts w:cs="Arial"/>
        </w:rPr>
        <w:t>cost-efficient</w:t>
      </w:r>
      <w:r w:rsidRPr="00D93729">
        <w:rPr>
          <w:rFonts w:cs="Arial"/>
        </w:rPr>
        <w:t>, they can either use recycled materials, environmentally friendly packaging or more efficient logistics. They focus their marketing approaches on responsible behaviour instead of leadership</w:t>
      </w:r>
      <w:r w:rsidR="00EE233E" w:rsidRPr="00D93729">
        <w:rPr>
          <w:rFonts w:cs="Arial"/>
        </w:rPr>
        <w:t>,</w:t>
      </w:r>
      <w:r w:rsidRPr="00D93729">
        <w:rPr>
          <w:rFonts w:cs="Arial"/>
        </w:rPr>
        <w:t xml:space="preserve"> and in the process, they </w:t>
      </w:r>
      <w:r w:rsidR="00EE233E" w:rsidRPr="00D93729">
        <w:rPr>
          <w:rFonts w:cs="Arial"/>
        </w:rPr>
        <w:t>can</w:t>
      </w:r>
      <w:r w:rsidRPr="00D93729">
        <w:rPr>
          <w:rFonts w:cs="Arial"/>
        </w:rPr>
        <w:t xml:space="preserve"> attract mainstream consumers.</w:t>
      </w:r>
    </w:p>
    <w:p w14:paraId="50D180AD" w14:textId="562650D7" w:rsidR="0085429F" w:rsidRPr="00D93729" w:rsidRDefault="00EE233E" w:rsidP="00B32A7B">
      <w:pPr>
        <w:pStyle w:val="Heading2"/>
        <w:spacing w:line="360" w:lineRule="auto"/>
        <w:rPr>
          <w:rFonts w:cs="Arial"/>
        </w:rPr>
      </w:pPr>
      <w:bookmarkStart w:id="12" w:name="_Toc214403126"/>
      <w:r w:rsidRPr="00D93729">
        <w:rPr>
          <w:rFonts w:cs="Arial"/>
        </w:rPr>
        <w:t>4.3 Comparative Evaluation of Strategic Responses</w:t>
      </w:r>
      <w:bookmarkEnd w:id="12"/>
    </w:p>
    <w:p w14:paraId="5F0249E6" w14:textId="233C6DD4" w:rsidR="0085429F" w:rsidRPr="00D93729" w:rsidRDefault="00EE233E" w:rsidP="00B32A7B">
      <w:pPr>
        <w:spacing w:line="360" w:lineRule="auto"/>
        <w:rPr>
          <w:rFonts w:cs="Arial"/>
        </w:rPr>
      </w:pPr>
      <w:r w:rsidRPr="00D93729">
        <w:rPr>
          <w:rFonts w:cs="Arial"/>
        </w:rPr>
        <w:t>Generally</w:t>
      </w:r>
      <w:r w:rsidR="0085429F" w:rsidRPr="00D93729">
        <w:rPr>
          <w:rFonts w:cs="Arial"/>
        </w:rPr>
        <w:t>, first movers have a better place in the world when technological and environmental shifts need high innovation rates, robust brand leadership, and early investment</w:t>
      </w:r>
      <w:r w:rsidRPr="00D93729">
        <w:rPr>
          <w:rFonts w:cs="Arial"/>
        </w:rPr>
        <w:t>,</w:t>
      </w:r>
      <w:r w:rsidR="0085429F" w:rsidRPr="00D93729">
        <w:rPr>
          <w:rFonts w:cs="Arial"/>
        </w:rPr>
        <w:t xml:space="preserve"> as they have the resources and power to influence consumer expectations and industry base. They are in the best position when the main factors in a successful business are their differentiation, high pricing, and superior capabilities. On the contrary, it is more advantageous when markets prefer low cost, experience, and mass</w:t>
      </w:r>
      <w:r w:rsidR="00744B09" w:rsidRPr="00D93729">
        <w:rPr>
          <w:rFonts w:cs="Arial"/>
        </w:rPr>
        <w:t xml:space="preserve"> (</w:t>
      </w:r>
      <w:proofErr w:type="spellStart"/>
      <w:r w:rsidR="00744B09" w:rsidRPr="00D93729">
        <w:rPr>
          <w:rFonts w:cs="Arial"/>
        </w:rPr>
        <w:t>Suntsova</w:t>
      </w:r>
      <w:proofErr w:type="spellEnd"/>
      <w:r w:rsidR="00744B09" w:rsidRPr="00D93729">
        <w:rPr>
          <w:rFonts w:cs="Arial"/>
        </w:rPr>
        <w:t>, 2024)</w:t>
      </w:r>
      <w:r w:rsidR="0085429F" w:rsidRPr="00D93729">
        <w:rPr>
          <w:rFonts w:cs="Arial"/>
        </w:rPr>
        <w:t xml:space="preserve">. Their second-mover strategy also provides them with the ability to implement </w:t>
      </w:r>
      <w:r w:rsidRPr="00D93729">
        <w:rPr>
          <w:rFonts w:cs="Arial"/>
        </w:rPr>
        <w:t>sophisticated</w:t>
      </w:r>
      <w:r w:rsidR="0085429F" w:rsidRPr="00D93729">
        <w:rPr>
          <w:rFonts w:cs="Arial"/>
        </w:rPr>
        <w:t xml:space="preserve"> technologies and sustainable practices at less risk, thus being more competitive in value-based and price-sensitive segments.</w:t>
      </w:r>
    </w:p>
    <w:p w14:paraId="75D9DDCF" w14:textId="77777777" w:rsidR="0085429F" w:rsidRPr="00D93729" w:rsidRDefault="0085429F" w:rsidP="00B32A7B">
      <w:pPr>
        <w:pStyle w:val="Heading1"/>
        <w:spacing w:line="360" w:lineRule="auto"/>
        <w:rPr>
          <w:rFonts w:cs="Arial"/>
        </w:rPr>
      </w:pPr>
      <w:bookmarkStart w:id="13" w:name="_Toc214403127"/>
      <w:r w:rsidRPr="00D93729">
        <w:rPr>
          <w:rFonts w:cs="Arial"/>
        </w:rPr>
        <w:t>5. Conclusion</w:t>
      </w:r>
      <w:bookmarkEnd w:id="13"/>
    </w:p>
    <w:p w14:paraId="0F10440C" w14:textId="0EA71E78" w:rsidR="003C08A4" w:rsidRPr="00D93729" w:rsidRDefault="0085429F" w:rsidP="00B32A7B">
      <w:pPr>
        <w:spacing w:line="360" w:lineRule="auto"/>
        <w:rPr>
          <w:rFonts w:cs="Arial"/>
        </w:rPr>
      </w:pPr>
      <w:r w:rsidRPr="00D93729">
        <w:rPr>
          <w:rFonts w:cs="Arial"/>
        </w:rPr>
        <w:t xml:space="preserve">To sum up, it is possible to conclude that the analysis of technological and environmental macro actors in the sportswear and athletic footwear industry demonstrates that the pioneers and followers alike have both substantial opportunities and threats to seriously </w:t>
      </w:r>
      <w:r w:rsidRPr="00D93729">
        <w:rPr>
          <w:rFonts w:cs="Arial"/>
        </w:rPr>
        <w:lastRenderedPageBreak/>
        <w:t xml:space="preserve">take care of. First-mover advantages of innovation, leadership in sustainability, </w:t>
      </w:r>
      <w:r w:rsidR="00EE233E" w:rsidRPr="00D93729">
        <w:rPr>
          <w:rFonts w:cs="Arial"/>
        </w:rPr>
        <w:t xml:space="preserve">and </w:t>
      </w:r>
      <w:r w:rsidRPr="00D93729">
        <w:rPr>
          <w:rFonts w:cs="Arial"/>
        </w:rPr>
        <w:t>brand differentiation come at a greater cost and higher risk and exposure to failure among pioneers. The benefits experienced by followers are imitation, learning, and cost-effectiveness, but they are not able to be unique and will have difficulties with timeliness and weak reaction. The strategic action plans covered in Task 2 reveal that all firms today need to ensure the macro-environment is scanned at all times as a way of ensuring competitiveness</w:t>
      </w:r>
      <w:r w:rsidR="00EE233E" w:rsidRPr="00D93729">
        <w:rPr>
          <w:rFonts w:cs="Arial"/>
        </w:rPr>
        <w:t>,</w:t>
      </w:r>
      <w:r w:rsidRPr="00D93729">
        <w:rPr>
          <w:rFonts w:cs="Arial"/>
        </w:rPr>
        <w:t xml:space="preserve"> not to mention the effect of strategic resilience and long-term market relevance.</w:t>
      </w:r>
    </w:p>
    <w:p w14:paraId="0AB23785" w14:textId="77777777" w:rsidR="0085429F" w:rsidRPr="00D93729" w:rsidRDefault="0085429F" w:rsidP="00B32A7B">
      <w:pPr>
        <w:spacing w:line="360" w:lineRule="auto"/>
        <w:rPr>
          <w:rFonts w:cs="Arial"/>
        </w:rPr>
      </w:pPr>
    </w:p>
    <w:p w14:paraId="51F7CC73" w14:textId="77777777" w:rsidR="0085429F" w:rsidRPr="00D93729" w:rsidRDefault="0085429F" w:rsidP="00B32A7B">
      <w:pPr>
        <w:spacing w:line="360" w:lineRule="auto"/>
        <w:rPr>
          <w:rFonts w:cs="Arial"/>
        </w:rPr>
      </w:pPr>
    </w:p>
    <w:p w14:paraId="260C6AE8" w14:textId="77777777" w:rsidR="00EE233E" w:rsidRDefault="00EE233E" w:rsidP="00B32A7B">
      <w:pPr>
        <w:spacing w:line="360" w:lineRule="auto"/>
        <w:rPr>
          <w:rFonts w:cs="Arial"/>
        </w:rPr>
      </w:pPr>
    </w:p>
    <w:p w14:paraId="6BB86BBE" w14:textId="77777777" w:rsidR="00D93729" w:rsidRDefault="00D93729" w:rsidP="00B32A7B">
      <w:pPr>
        <w:spacing w:line="360" w:lineRule="auto"/>
        <w:rPr>
          <w:rFonts w:cs="Arial"/>
        </w:rPr>
      </w:pPr>
    </w:p>
    <w:p w14:paraId="31603563" w14:textId="77777777" w:rsidR="00D93729" w:rsidRDefault="00D93729" w:rsidP="00B32A7B">
      <w:pPr>
        <w:spacing w:line="360" w:lineRule="auto"/>
        <w:rPr>
          <w:rFonts w:cs="Arial"/>
        </w:rPr>
      </w:pPr>
    </w:p>
    <w:p w14:paraId="5AFB2AA1" w14:textId="77777777" w:rsidR="00D93729" w:rsidRDefault="00D93729" w:rsidP="00B32A7B">
      <w:pPr>
        <w:spacing w:line="360" w:lineRule="auto"/>
        <w:rPr>
          <w:rFonts w:cs="Arial"/>
        </w:rPr>
      </w:pPr>
    </w:p>
    <w:p w14:paraId="0640C89E" w14:textId="77777777" w:rsidR="00D93729" w:rsidRDefault="00D93729" w:rsidP="00B32A7B">
      <w:pPr>
        <w:spacing w:line="360" w:lineRule="auto"/>
        <w:rPr>
          <w:rFonts w:cs="Arial"/>
        </w:rPr>
      </w:pPr>
    </w:p>
    <w:p w14:paraId="33C23F2C" w14:textId="77777777" w:rsidR="00D93729" w:rsidRDefault="00D93729" w:rsidP="00B32A7B">
      <w:pPr>
        <w:spacing w:line="360" w:lineRule="auto"/>
        <w:rPr>
          <w:rFonts w:cs="Arial"/>
        </w:rPr>
      </w:pPr>
    </w:p>
    <w:p w14:paraId="501105DC" w14:textId="77777777" w:rsidR="00D93729" w:rsidRDefault="00D93729" w:rsidP="00B32A7B">
      <w:pPr>
        <w:spacing w:line="360" w:lineRule="auto"/>
        <w:rPr>
          <w:rFonts w:cs="Arial"/>
        </w:rPr>
      </w:pPr>
    </w:p>
    <w:p w14:paraId="673BA59D" w14:textId="77777777" w:rsidR="00D93729" w:rsidRDefault="00D93729" w:rsidP="00B32A7B">
      <w:pPr>
        <w:spacing w:line="360" w:lineRule="auto"/>
        <w:rPr>
          <w:rFonts w:cs="Arial"/>
        </w:rPr>
      </w:pPr>
    </w:p>
    <w:p w14:paraId="70B3DFB0" w14:textId="77777777" w:rsidR="00D93729" w:rsidRDefault="00D93729" w:rsidP="00B32A7B">
      <w:pPr>
        <w:spacing w:line="360" w:lineRule="auto"/>
        <w:rPr>
          <w:rFonts w:cs="Arial"/>
        </w:rPr>
      </w:pPr>
    </w:p>
    <w:p w14:paraId="70F46A60" w14:textId="77777777" w:rsidR="00D93729" w:rsidRDefault="00D93729" w:rsidP="00B32A7B">
      <w:pPr>
        <w:spacing w:line="360" w:lineRule="auto"/>
        <w:rPr>
          <w:rFonts w:cs="Arial"/>
        </w:rPr>
      </w:pPr>
    </w:p>
    <w:p w14:paraId="665E2C05" w14:textId="77777777" w:rsidR="00D93729" w:rsidRDefault="00D93729" w:rsidP="00B32A7B">
      <w:pPr>
        <w:spacing w:line="360" w:lineRule="auto"/>
        <w:rPr>
          <w:rFonts w:cs="Arial"/>
        </w:rPr>
      </w:pPr>
    </w:p>
    <w:p w14:paraId="14896893" w14:textId="77777777" w:rsidR="00D93729" w:rsidRDefault="00D93729" w:rsidP="00B32A7B">
      <w:pPr>
        <w:spacing w:line="360" w:lineRule="auto"/>
        <w:rPr>
          <w:rFonts w:cs="Arial"/>
        </w:rPr>
      </w:pPr>
    </w:p>
    <w:p w14:paraId="26426779" w14:textId="77777777" w:rsidR="00D93729" w:rsidRPr="00D93729" w:rsidRDefault="00D93729" w:rsidP="00B32A7B">
      <w:pPr>
        <w:spacing w:line="360" w:lineRule="auto"/>
        <w:rPr>
          <w:rFonts w:cs="Arial"/>
        </w:rPr>
      </w:pPr>
    </w:p>
    <w:p w14:paraId="2BBC437B" w14:textId="1D6F71FB" w:rsidR="00EE233E" w:rsidRPr="00D93729" w:rsidRDefault="00EE233E" w:rsidP="00B32A7B">
      <w:pPr>
        <w:pStyle w:val="Heading1"/>
        <w:spacing w:line="360" w:lineRule="auto"/>
        <w:rPr>
          <w:rFonts w:cs="Arial"/>
        </w:rPr>
      </w:pPr>
      <w:bookmarkStart w:id="14" w:name="_Toc214403128"/>
      <w:r w:rsidRPr="00D93729">
        <w:rPr>
          <w:rFonts w:cs="Arial"/>
        </w:rPr>
        <w:lastRenderedPageBreak/>
        <w:t>References</w:t>
      </w:r>
      <w:bookmarkEnd w:id="14"/>
    </w:p>
    <w:p w14:paraId="53E38F66" w14:textId="77777777" w:rsidR="00B32A7B" w:rsidRPr="00D93729" w:rsidRDefault="00B32A7B" w:rsidP="00B32A7B">
      <w:pPr>
        <w:spacing w:line="360" w:lineRule="auto"/>
        <w:rPr>
          <w:rFonts w:cs="Arial"/>
        </w:rPr>
      </w:pPr>
      <w:r w:rsidRPr="00D93729">
        <w:rPr>
          <w:rFonts w:cs="Arial"/>
        </w:rPr>
        <w:t>Baier, D., Rausch, T.M. and Wagner, T.F., 2020. The drivers of sustainable apparel and sportswear consumption: A segmented kano perspective. </w:t>
      </w:r>
      <w:r w:rsidRPr="00D93729">
        <w:rPr>
          <w:rFonts w:cs="Arial"/>
          <w:i/>
          <w:iCs/>
        </w:rPr>
        <w:t>Sustainability</w:t>
      </w:r>
      <w:r w:rsidRPr="00D93729">
        <w:rPr>
          <w:rFonts w:cs="Arial"/>
        </w:rPr>
        <w:t>, </w:t>
      </w:r>
      <w:r w:rsidRPr="00D93729">
        <w:rPr>
          <w:rFonts w:cs="Arial"/>
          <w:i/>
          <w:iCs/>
        </w:rPr>
        <w:t>12</w:t>
      </w:r>
      <w:r w:rsidRPr="00D93729">
        <w:rPr>
          <w:rFonts w:cs="Arial"/>
        </w:rPr>
        <w:t>(7), p.2788.</w:t>
      </w:r>
    </w:p>
    <w:p w14:paraId="5C01178A" w14:textId="77777777" w:rsidR="00B32A7B" w:rsidRPr="00D93729" w:rsidRDefault="00B32A7B" w:rsidP="00B32A7B">
      <w:pPr>
        <w:spacing w:line="360" w:lineRule="auto"/>
        <w:rPr>
          <w:rFonts w:cs="Arial"/>
        </w:rPr>
      </w:pPr>
      <w:r w:rsidRPr="00D93729">
        <w:rPr>
          <w:rFonts w:cs="Arial"/>
        </w:rPr>
        <w:t>Baumann-Pauly, D., Scherer, A.G. and Palazzo, G., 2016. Managing institutional complexity: A longitudinal study of legitimacy strategies at a sportswear brand company. </w:t>
      </w:r>
      <w:r w:rsidRPr="00D93729">
        <w:rPr>
          <w:rFonts w:cs="Arial"/>
          <w:i/>
          <w:iCs/>
        </w:rPr>
        <w:t>Journal of Business Ethics</w:t>
      </w:r>
      <w:r w:rsidRPr="00D93729">
        <w:rPr>
          <w:rFonts w:cs="Arial"/>
        </w:rPr>
        <w:t>, </w:t>
      </w:r>
      <w:r w:rsidRPr="00D93729">
        <w:rPr>
          <w:rFonts w:cs="Arial"/>
          <w:i/>
          <w:iCs/>
        </w:rPr>
        <w:t>137</w:t>
      </w:r>
      <w:r w:rsidRPr="00D93729">
        <w:rPr>
          <w:rFonts w:cs="Arial"/>
        </w:rPr>
        <w:t>(1), pp.31-51.</w:t>
      </w:r>
    </w:p>
    <w:p w14:paraId="30F10105" w14:textId="77777777" w:rsidR="00B32A7B" w:rsidRPr="00D93729" w:rsidRDefault="00B32A7B" w:rsidP="00B32A7B">
      <w:pPr>
        <w:spacing w:line="360" w:lineRule="auto"/>
        <w:rPr>
          <w:rFonts w:cs="Arial"/>
        </w:rPr>
      </w:pPr>
      <w:r w:rsidRPr="00D93729">
        <w:rPr>
          <w:rFonts w:cs="Arial"/>
        </w:rPr>
        <w:t>Chuang, Y.N., 2019. Cultivating sportswear innovation: A mixed approach combining the lead user method and participatory design.</w:t>
      </w:r>
    </w:p>
    <w:p w14:paraId="28C0E845" w14:textId="77777777" w:rsidR="00B32A7B" w:rsidRPr="00D93729" w:rsidRDefault="00B32A7B" w:rsidP="00B32A7B">
      <w:pPr>
        <w:spacing w:line="360" w:lineRule="auto"/>
        <w:rPr>
          <w:rFonts w:cs="Arial"/>
        </w:rPr>
      </w:pPr>
      <w:r w:rsidRPr="00D93729">
        <w:rPr>
          <w:rFonts w:cs="Arial"/>
        </w:rPr>
        <w:t>Hayes, S.G. and Venkatraman, P. eds., 2016. </w:t>
      </w:r>
      <w:r w:rsidRPr="00D93729">
        <w:rPr>
          <w:rFonts w:cs="Arial"/>
          <w:i/>
          <w:iCs/>
        </w:rPr>
        <w:t>Materials and technology for sportswear and performance apparel</w:t>
      </w:r>
      <w:r w:rsidRPr="00D93729">
        <w:rPr>
          <w:rFonts w:cs="Arial"/>
        </w:rPr>
        <w:t> (p. 293). Boca Raton, FL: CRC Press.</w:t>
      </w:r>
    </w:p>
    <w:p w14:paraId="0B9B758A" w14:textId="77777777" w:rsidR="00B32A7B" w:rsidRPr="00D93729" w:rsidRDefault="00B32A7B" w:rsidP="00B32A7B">
      <w:pPr>
        <w:spacing w:line="360" w:lineRule="auto"/>
        <w:rPr>
          <w:rFonts w:cs="Arial"/>
        </w:rPr>
      </w:pPr>
      <w:r w:rsidRPr="00D93729">
        <w:rPr>
          <w:rFonts w:cs="Arial"/>
        </w:rPr>
        <w:t>Jaworek, M., Karaszewski, W. and Kuczmarska, M., 2021. Source of success of the most valuable sportswear brands in the world. </w:t>
      </w:r>
      <w:r w:rsidRPr="00D93729">
        <w:rPr>
          <w:rFonts w:cs="Arial"/>
          <w:i/>
          <w:iCs/>
        </w:rPr>
        <w:t>Journal of Physical Education and Sport</w:t>
      </w:r>
      <w:r w:rsidRPr="00D93729">
        <w:rPr>
          <w:rFonts w:cs="Arial"/>
        </w:rPr>
        <w:t>, </w:t>
      </w:r>
      <w:r w:rsidRPr="00D93729">
        <w:rPr>
          <w:rFonts w:cs="Arial"/>
          <w:i/>
          <w:iCs/>
        </w:rPr>
        <w:t>21</w:t>
      </w:r>
      <w:r w:rsidRPr="00D93729">
        <w:rPr>
          <w:rFonts w:cs="Arial"/>
        </w:rPr>
        <w:t>, pp.1050-1056.</w:t>
      </w:r>
    </w:p>
    <w:p w14:paraId="65F8D3C5" w14:textId="77777777" w:rsidR="00B32A7B" w:rsidRPr="00D93729" w:rsidRDefault="00B32A7B" w:rsidP="00B32A7B">
      <w:pPr>
        <w:spacing w:line="360" w:lineRule="auto"/>
        <w:rPr>
          <w:rFonts w:cs="Arial"/>
        </w:rPr>
      </w:pPr>
      <w:proofErr w:type="spellStart"/>
      <w:r w:rsidRPr="00D93729">
        <w:rPr>
          <w:rFonts w:cs="Arial"/>
        </w:rPr>
        <w:t>Kaushikkar</w:t>
      </w:r>
      <w:proofErr w:type="spellEnd"/>
      <w:r w:rsidRPr="00D93729">
        <w:rPr>
          <w:rFonts w:cs="Arial"/>
        </w:rPr>
        <w:t xml:space="preserve">, A., </w:t>
      </w:r>
      <w:proofErr w:type="spellStart"/>
      <w:r w:rsidRPr="00D93729">
        <w:rPr>
          <w:rFonts w:cs="Arial"/>
        </w:rPr>
        <w:t>Kirkewoog</w:t>
      </w:r>
      <w:proofErr w:type="spellEnd"/>
      <w:r w:rsidRPr="00D93729">
        <w:rPr>
          <w:rFonts w:cs="Arial"/>
        </w:rPr>
        <w:t>, S., Merckling, E., Prabhu, S., Daim, T.U. and Meissner, D., 2020. Sports Innovation. In </w:t>
      </w:r>
      <w:r w:rsidRPr="00D93729">
        <w:rPr>
          <w:rFonts w:cs="Arial"/>
          <w:i/>
          <w:iCs/>
        </w:rPr>
        <w:t>Innovation Management in the Intelligent World: Cases and Tools</w:t>
      </w:r>
      <w:r w:rsidRPr="00D93729">
        <w:rPr>
          <w:rFonts w:cs="Arial"/>
        </w:rPr>
        <w:t> (pp. 119-137). Cham: Springer International Publishing.</w:t>
      </w:r>
    </w:p>
    <w:p w14:paraId="15E125F4" w14:textId="77777777" w:rsidR="00B32A7B" w:rsidRPr="00D93729" w:rsidRDefault="00B32A7B" w:rsidP="00B32A7B">
      <w:pPr>
        <w:spacing w:line="360" w:lineRule="auto"/>
        <w:rPr>
          <w:rFonts w:cs="Arial"/>
        </w:rPr>
      </w:pPr>
      <w:r w:rsidRPr="00D93729">
        <w:rPr>
          <w:rFonts w:cs="Arial"/>
        </w:rPr>
        <w:t>Marchi, B. and Zanoni, S., 2017. Supply chain management for improved energy efficiency: Review and opportunities. </w:t>
      </w:r>
      <w:r w:rsidRPr="00D93729">
        <w:rPr>
          <w:rFonts w:cs="Arial"/>
          <w:i/>
          <w:iCs/>
        </w:rPr>
        <w:t>Energies</w:t>
      </w:r>
      <w:r w:rsidRPr="00D93729">
        <w:rPr>
          <w:rFonts w:cs="Arial"/>
        </w:rPr>
        <w:t>, </w:t>
      </w:r>
      <w:r w:rsidRPr="00D93729">
        <w:rPr>
          <w:rFonts w:cs="Arial"/>
          <w:i/>
          <w:iCs/>
        </w:rPr>
        <w:t>10</w:t>
      </w:r>
      <w:r w:rsidRPr="00D93729">
        <w:rPr>
          <w:rFonts w:cs="Arial"/>
        </w:rPr>
        <w:t>(10), p.1618.</w:t>
      </w:r>
    </w:p>
    <w:p w14:paraId="7979BF01" w14:textId="77777777" w:rsidR="00B32A7B" w:rsidRPr="00D93729" w:rsidRDefault="00B32A7B" w:rsidP="00B32A7B">
      <w:pPr>
        <w:spacing w:line="360" w:lineRule="auto"/>
        <w:rPr>
          <w:rFonts w:cs="Arial"/>
        </w:rPr>
      </w:pPr>
      <w:r w:rsidRPr="00D93729">
        <w:rPr>
          <w:rFonts w:cs="Arial"/>
        </w:rPr>
        <w:t>Mose, A., 2016. Analysis of macro and micro environment on the marketing strategy formulation and the influence to the competitive advantage (case study). </w:t>
      </w:r>
      <w:r w:rsidRPr="00D93729">
        <w:rPr>
          <w:rFonts w:cs="Arial"/>
          <w:i/>
          <w:iCs/>
        </w:rPr>
        <w:t>Academy of Strategic Management Journal</w:t>
      </w:r>
      <w:r w:rsidRPr="00D93729">
        <w:rPr>
          <w:rFonts w:cs="Arial"/>
        </w:rPr>
        <w:t>, </w:t>
      </w:r>
      <w:r w:rsidRPr="00D93729">
        <w:rPr>
          <w:rFonts w:cs="Arial"/>
          <w:i/>
          <w:iCs/>
        </w:rPr>
        <w:t>15</w:t>
      </w:r>
      <w:r w:rsidRPr="00D93729">
        <w:rPr>
          <w:rFonts w:cs="Arial"/>
        </w:rPr>
        <w:t>, pp.35-41.</w:t>
      </w:r>
    </w:p>
    <w:p w14:paraId="4EA18080" w14:textId="77777777" w:rsidR="00B32A7B" w:rsidRPr="00D93729" w:rsidRDefault="00B32A7B" w:rsidP="00B32A7B">
      <w:pPr>
        <w:spacing w:line="360" w:lineRule="auto"/>
        <w:rPr>
          <w:rFonts w:cs="Arial"/>
        </w:rPr>
      </w:pPr>
      <w:r w:rsidRPr="00D93729">
        <w:rPr>
          <w:rFonts w:cs="Arial"/>
        </w:rPr>
        <w:t>Niskanen, H., 2019. Sustainability in the sporting goods industry: How Nike, Adidas and Puma have developed company sustainability.</w:t>
      </w:r>
    </w:p>
    <w:p w14:paraId="24CB8126" w14:textId="77777777" w:rsidR="00B32A7B" w:rsidRPr="00D93729" w:rsidRDefault="00B32A7B" w:rsidP="00B32A7B">
      <w:pPr>
        <w:spacing w:line="360" w:lineRule="auto"/>
        <w:rPr>
          <w:rFonts w:cs="Arial"/>
        </w:rPr>
      </w:pPr>
      <w:proofErr w:type="spellStart"/>
      <w:r w:rsidRPr="00D93729">
        <w:rPr>
          <w:rFonts w:cs="Arial"/>
        </w:rPr>
        <w:t>Silinevicha</w:t>
      </w:r>
      <w:proofErr w:type="spellEnd"/>
      <w:r w:rsidRPr="00D93729">
        <w:rPr>
          <w:rFonts w:cs="Arial"/>
        </w:rPr>
        <w:t>, V. and Kalinina, K., 2017. The Development of the Evaluation System of Factors, influencing on the Organization for the Prevention of Risks of Its Activity in the Market in Any Field of Activity, Using PEST—Analysis. </w:t>
      </w:r>
      <w:r w:rsidRPr="00D93729">
        <w:rPr>
          <w:rFonts w:cs="Arial"/>
          <w:i/>
          <w:iCs/>
        </w:rPr>
        <w:t>Professional Studies: Theory and Practice</w:t>
      </w:r>
      <w:r w:rsidRPr="00D93729">
        <w:rPr>
          <w:rFonts w:cs="Arial"/>
        </w:rPr>
        <w:t>, </w:t>
      </w:r>
      <w:r w:rsidRPr="00D93729">
        <w:rPr>
          <w:rFonts w:cs="Arial"/>
          <w:i/>
          <w:iCs/>
        </w:rPr>
        <w:t>3</w:t>
      </w:r>
      <w:r w:rsidRPr="00D93729">
        <w:rPr>
          <w:rFonts w:cs="Arial"/>
        </w:rPr>
        <w:t>(18), pp.38-44.</w:t>
      </w:r>
    </w:p>
    <w:p w14:paraId="2E264FB2" w14:textId="77777777" w:rsidR="00B32A7B" w:rsidRPr="00D93729" w:rsidRDefault="00B32A7B" w:rsidP="00B32A7B">
      <w:pPr>
        <w:spacing w:line="360" w:lineRule="auto"/>
        <w:rPr>
          <w:rFonts w:cs="Arial"/>
        </w:rPr>
      </w:pPr>
      <w:proofErr w:type="spellStart"/>
      <w:r w:rsidRPr="00D93729">
        <w:rPr>
          <w:rFonts w:cs="Arial"/>
        </w:rPr>
        <w:lastRenderedPageBreak/>
        <w:t>Suntsova</w:t>
      </w:r>
      <w:proofErr w:type="spellEnd"/>
      <w:r w:rsidRPr="00D93729">
        <w:rPr>
          <w:rFonts w:cs="Arial"/>
        </w:rPr>
        <w:t>, O., 2024. THE IMPACT OF “FIRST-MOVER ADVANTAGE” ON GLOBAL MARKET STRUCTURE AND DYNAMICS. </w:t>
      </w:r>
      <w:r w:rsidRPr="00D93729">
        <w:rPr>
          <w:rFonts w:cs="Arial"/>
          <w:i/>
          <w:iCs/>
        </w:rPr>
        <w:t>Available at SSRN 5125609</w:t>
      </w:r>
      <w:r w:rsidRPr="00D93729">
        <w:rPr>
          <w:rFonts w:cs="Arial"/>
        </w:rPr>
        <w:t>.</w:t>
      </w:r>
    </w:p>
    <w:p w14:paraId="0ECC1EAF" w14:textId="77777777" w:rsidR="00B32A7B" w:rsidRPr="00D93729" w:rsidRDefault="00B32A7B" w:rsidP="00B32A7B">
      <w:pPr>
        <w:spacing w:line="360" w:lineRule="auto"/>
        <w:rPr>
          <w:rFonts w:cs="Arial"/>
        </w:rPr>
      </w:pPr>
      <w:proofErr w:type="spellStart"/>
      <w:r w:rsidRPr="00D93729">
        <w:rPr>
          <w:rFonts w:cs="Arial"/>
        </w:rPr>
        <w:t>Wurzel</w:t>
      </w:r>
      <w:proofErr w:type="spellEnd"/>
      <w:r w:rsidRPr="00D93729">
        <w:rPr>
          <w:rFonts w:cs="Arial"/>
        </w:rPr>
        <w:t xml:space="preserve">, R.K., </w:t>
      </w:r>
      <w:proofErr w:type="spellStart"/>
      <w:r w:rsidRPr="00D93729">
        <w:rPr>
          <w:rFonts w:cs="Arial"/>
        </w:rPr>
        <w:t>Liefferink</w:t>
      </w:r>
      <w:proofErr w:type="spellEnd"/>
      <w:r w:rsidRPr="00D93729">
        <w:rPr>
          <w:rFonts w:cs="Arial"/>
        </w:rPr>
        <w:t>, D. and Torney, D., 2019. Pioneers, leaders and followers in multilevel and polycentric climate governance. </w:t>
      </w:r>
      <w:r w:rsidRPr="00D93729">
        <w:rPr>
          <w:rFonts w:cs="Arial"/>
          <w:i/>
          <w:iCs/>
        </w:rPr>
        <w:t>Environmental Politics</w:t>
      </w:r>
      <w:r w:rsidRPr="00D93729">
        <w:rPr>
          <w:rFonts w:cs="Arial"/>
        </w:rPr>
        <w:t>, </w:t>
      </w:r>
      <w:r w:rsidRPr="00D93729">
        <w:rPr>
          <w:rFonts w:cs="Arial"/>
          <w:i/>
          <w:iCs/>
        </w:rPr>
        <w:t>28</w:t>
      </w:r>
      <w:r w:rsidRPr="00D93729">
        <w:rPr>
          <w:rFonts w:cs="Arial"/>
        </w:rPr>
        <w:t>(1), pp.1-21.</w:t>
      </w:r>
    </w:p>
    <w:p w14:paraId="2A224110" w14:textId="77777777" w:rsidR="00EE233E" w:rsidRPr="00D93729" w:rsidRDefault="00EE233E" w:rsidP="00B32A7B">
      <w:pPr>
        <w:spacing w:line="360" w:lineRule="auto"/>
        <w:rPr>
          <w:rFonts w:cs="Arial"/>
        </w:rPr>
      </w:pPr>
    </w:p>
    <w:sectPr w:rsidR="00EE233E" w:rsidRPr="00D9372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579A7" w14:textId="77777777" w:rsidR="00610FEA" w:rsidRDefault="00610FEA" w:rsidP="00237681">
      <w:pPr>
        <w:spacing w:after="0" w:line="240" w:lineRule="auto"/>
      </w:pPr>
      <w:r>
        <w:separator/>
      </w:r>
    </w:p>
  </w:endnote>
  <w:endnote w:type="continuationSeparator" w:id="0">
    <w:p w14:paraId="56060B3D" w14:textId="77777777" w:rsidR="00610FEA" w:rsidRDefault="00610FEA" w:rsidP="00237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710648"/>
      <w:docPartObj>
        <w:docPartGallery w:val="Page Numbers (Bottom of Page)"/>
        <w:docPartUnique/>
      </w:docPartObj>
    </w:sdtPr>
    <w:sdtEndPr>
      <w:rPr>
        <w:color w:val="7F7F7F" w:themeColor="background1" w:themeShade="7F"/>
        <w:spacing w:val="60"/>
      </w:rPr>
    </w:sdtEndPr>
    <w:sdtContent>
      <w:p w14:paraId="2D53BC82" w14:textId="6B12D7A8" w:rsidR="00237681" w:rsidRDefault="00237681">
        <w:pPr>
          <w:pStyle w:val="Footer"/>
          <w:pBdr>
            <w:top w:val="single" w:sz="4" w:space="1" w:color="D9D9D9" w:themeColor="background1" w:themeShade="D9"/>
          </w:pBdr>
          <w:rPr>
            <w:b/>
            <w:bCs/>
          </w:rPr>
        </w:pPr>
        <w:r>
          <w:fldChar w:fldCharType="begin"/>
        </w:r>
        <w:r>
          <w:instrText>PAGE   \* MERGEFORMAT</w:instrText>
        </w:r>
        <w:r>
          <w:fldChar w:fldCharType="separate"/>
        </w:r>
        <w:r w:rsidR="00BB612E" w:rsidRPr="00BB612E">
          <w:rPr>
            <w:b/>
            <w:bCs/>
            <w:noProof/>
          </w:rPr>
          <w:t>2</w:t>
        </w:r>
        <w:r>
          <w:rPr>
            <w:b/>
            <w:bCs/>
          </w:rPr>
          <w:fldChar w:fldCharType="end"/>
        </w:r>
        <w:r>
          <w:rPr>
            <w:b/>
            <w:bCs/>
          </w:rPr>
          <w:t xml:space="preserve"> | </w:t>
        </w:r>
        <w:r>
          <w:rPr>
            <w:color w:val="7F7F7F" w:themeColor="background1" w:themeShade="7F"/>
            <w:spacing w:val="60"/>
          </w:rPr>
          <w:t>Page</w:t>
        </w:r>
      </w:p>
    </w:sdtContent>
  </w:sdt>
  <w:p w14:paraId="69E3D85B" w14:textId="77777777" w:rsidR="00237681" w:rsidRDefault="002376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1DC0A" w14:textId="77777777" w:rsidR="00610FEA" w:rsidRDefault="00610FEA" w:rsidP="00237681">
      <w:pPr>
        <w:spacing w:after="0" w:line="240" w:lineRule="auto"/>
      </w:pPr>
      <w:r>
        <w:separator/>
      </w:r>
    </w:p>
  </w:footnote>
  <w:footnote w:type="continuationSeparator" w:id="0">
    <w:p w14:paraId="675C1C6C" w14:textId="77777777" w:rsidR="00610FEA" w:rsidRDefault="00610FEA" w:rsidP="002376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29F"/>
    <w:rsid w:val="000A35A3"/>
    <w:rsid w:val="00115C62"/>
    <w:rsid w:val="001D6C3F"/>
    <w:rsid w:val="00237681"/>
    <w:rsid w:val="002E70CA"/>
    <w:rsid w:val="00305A36"/>
    <w:rsid w:val="003B185A"/>
    <w:rsid w:val="003C08A4"/>
    <w:rsid w:val="0043517A"/>
    <w:rsid w:val="00610FEA"/>
    <w:rsid w:val="006700AD"/>
    <w:rsid w:val="00672441"/>
    <w:rsid w:val="006C71C5"/>
    <w:rsid w:val="006E0F27"/>
    <w:rsid w:val="006E7B78"/>
    <w:rsid w:val="007003A6"/>
    <w:rsid w:val="0073097B"/>
    <w:rsid w:val="00744B09"/>
    <w:rsid w:val="007A31DA"/>
    <w:rsid w:val="007D119B"/>
    <w:rsid w:val="0085429F"/>
    <w:rsid w:val="00880133"/>
    <w:rsid w:val="008C5F02"/>
    <w:rsid w:val="008E0181"/>
    <w:rsid w:val="008E3EA0"/>
    <w:rsid w:val="0091633E"/>
    <w:rsid w:val="009F2CB2"/>
    <w:rsid w:val="00AC3934"/>
    <w:rsid w:val="00B15CEB"/>
    <w:rsid w:val="00B32A7B"/>
    <w:rsid w:val="00B7046C"/>
    <w:rsid w:val="00BB322E"/>
    <w:rsid w:val="00BB3FFE"/>
    <w:rsid w:val="00BB612E"/>
    <w:rsid w:val="00BD260A"/>
    <w:rsid w:val="00D10185"/>
    <w:rsid w:val="00D56637"/>
    <w:rsid w:val="00D81CBF"/>
    <w:rsid w:val="00D93729"/>
    <w:rsid w:val="00DD5996"/>
    <w:rsid w:val="00E95261"/>
    <w:rsid w:val="00EA6D5C"/>
    <w:rsid w:val="00EE233E"/>
    <w:rsid w:val="00F63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F11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729"/>
    <w:pPr>
      <w:jc w:val="both"/>
    </w:pPr>
    <w:rPr>
      <w:rFonts w:ascii="Arial" w:hAnsi="Arial"/>
      <w:sz w:val="24"/>
      <w:lang w:val="en-GB"/>
    </w:rPr>
  </w:style>
  <w:style w:type="paragraph" w:styleId="Heading1">
    <w:name w:val="heading 1"/>
    <w:basedOn w:val="Normal"/>
    <w:next w:val="Normal"/>
    <w:link w:val="Heading1Char"/>
    <w:uiPriority w:val="9"/>
    <w:qFormat/>
    <w:rsid w:val="0085429F"/>
    <w:pPr>
      <w:keepNext/>
      <w:keepLines/>
      <w:spacing w:before="360" w:after="80"/>
      <w:jc w:val="left"/>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85429F"/>
    <w:pPr>
      <w:keepNext/>
      <w:keepLines/>
      <w:spacing w:before="160" w:after="80"/>
      <w:jc w:val="left"/>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8542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42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42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4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29F"/>
    <w:rPr>
      <w:rFonts w:ascii="Times New Roman" w:eastAsiaTheme="majorEastAsia" w:hAnsi="Times New Roman" w:cstheme="majorBidi"/>
      <w:b/>
      <w:color w:val="2F5496" w:themeColor="accent1" w:themeShade="BF"/>
      <w:sz w:val="32"/>
      <w:szCs w:val="40"/>
      <w:lang w:val="en-GB"/>
    </w:rPr>
  </w:style>
  <w:style w:type="character" w:customStyle="1" w:styleId="Heading2Char">
    <w:name w:val="Heading 2 Char"/>
    <w:basedOn w:val="DefaultParagraphFont"/>
    <w:link w:val="Heading2"/>
    <w:uiPriority w:val="9"/>
    <w:rsid w:val="0085429F"/>
    <w:rPr>
      <w:rFonts w:ascii="Times New Roman" w:eastAsiaTheme="majorEastAsia" w:hAnsi="Times New Roman" w:cstheme="majorBidi"/>
      <w:b/>
      <w:color w:val="2F5496" w:themeColor="accent1" w:themeShade="BF"/>
      <w:sz w:val="28"/>
      <w:szCs w:val="32"/>
      <w:lang w:val="en-GB"/>
    </w:rPr>
  </w:style>
  <w:style w:type="character" w:customStyle="1" w:styleId="Heading3Char">
    <w:name w:val="Heading 3 Char"/>
    <w:basedOn w:val="DefaultParagraphFont"/>
    <w:link w:val="Heading3"/>
    <w:uiPriority w:val="9"/>
    <w:semiHidden/>
    <w:rsid w:val="0085429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5429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5429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5429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5429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5429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5429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54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29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54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29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5429F"/>
    <w:pPr>
      <w:spacing w:before="160"/>
      <w:jc w:val="center"/>
    </w:pPr>
    <w:rPr>
      <w:i/>
      <w:iCs/>
      <w:color w:val="404040" w:themeColor="text1" w:themeTint="BF"/>
    </w:rPr>
  </w:style>
  <w:style w:type="character" w:customStyle="1" w:styleId="QuoteChar">
    <w:name w:val="Quote Char"/>
    <w:basedOn w:val="DefaultParagraphFont"/>
    <w:link w:val="Quote"/>
    <w:uiPriority w:val="29"/>
    <w:rsid w:val="0085429F"/>
    <w:rPr>
      <w:i/>
      <w:iCs/>
      <w:color w:val="404040" w:themeColor="text1" w:themeTint="BF"/>
      <w:lang w:val="en-GB"/>
    </w:rPr>
  </w:style>
  <w:style w:type="paragraph" w:styleId="ListParagraph">
    <w:name w:val="List Paragraph"/>
    <w:basedOn w:val="Normal"/>
    <w:uiPriority w:val="34"/>
    <w:qFormat/>
    <w:rsid w:val="0085429F"/>
    <w:pPr>
      <w:ind w:left="720"/>
      <w:contextualSpacing/>
    </w:pPr>
  </w:style>
  <w:style w:type="character" w:styleId="IntenseEmphasis">
    <w:name w:val="Intense Emphasis"/>
    <w:basedOn w:val="DefaultParagraphFont"/>
    <w:uiPriority w:val="21"/>
    <w:qFormat/>
    <w:rsid w:val="0085429F"/>
    <w:rPr>
      <w:i/>
      <w:iCs/>
      <w:color w:val="2F5496" w:themeColor="accent1" w:themeShade="BF"/>
    </w:rPr>
  </w:style>
  <w:style w:type="paragraph" w:styleId="IntenseQuote">
    <w:name w:val="Intense Quote"/>
    <w:basedOn w:val="Normal"/>
    <w:next w:val="Normal"/>
    <w:link w:val="IntenseQuoteChar"/>
    <w:uiPriority w:val="30"/>
    <w:qFormat/>
    <w:rsid w:val="008542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429F"/>
    <w:rPr>
      <w:i/>
      <w:iCs/>
      <w:color w:val="2F5496" w:themeColor="accent1" w:themeShade="BF"/>
      <w:lang w:val="en-GB"/>
    </w:rPr>
  </w:style>
  <w:style w:type="character" w:styleId="IntenseReference">
    <w:name w:val="Intense Reference"/>
    <w:basedOn w:val="DefaultParagraphFont"/>
    <w:uiPriority w:val="32"/>
    <w:qFormat/>
    <w:rsid w:val="0085429F"/>
    <w:rPr>
      <w:b/>
      <w:bCs/>
      <w:smallCaps/>
      <w:color w:val="2F5496" w:themeColor="accent1" w:themeShade="BF"/>
      <w:spacing w:val="5"/>
    </w:rPr>
  </w:style>
  <w:style w:type="paragraph" w:styleId="TOCHeading">
    <w:name w:val="TOC Heading"/>
    <w:basedOn w:val="Heading1"/>
    <w:next w:val="Normal"/>
    <w:uiPriority w:val="39"/>
    <w:unhideWhenUsed/>
    <w:qFormat/>
    <w:rsid w:val="00EE233E"/>
    <w:pPr>
      <w:spacing w:before="240" w:after="0"/>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EE233E"/>
    <w:pPr>
      <w:spacing w:after="100"/>
    </w:pPr>
  </w:style>
  <w:style w:type="paragraph" w:styleId="TOC2">
    <w:name w:val="toc 2"/>
    <w:basedOn w:val="Normal"/>
    <w:next w:val="Normal"/>
    <w:autoRedefine/>
    <w:uiPriority w:val="39"/>
    <w:unhideWhenUsed/>
    <w:rsid w:val="00EE233E"/>
    <w:pPr>
      <w:spacing w:after="100"/>
      <w:ind w:left="240"/>
    </w:pPr>
  </w:style>
  <w:style w:type="character" w:styleId="Hyperlink">
    <w:name w:val="Hyperlink"/>
    <w:basedOn w:val="DefaultParagraphFont"/>
    <w:uiPriority w:val="99"/>
    <w:unhideWhenUsed/>
    <w:rsid w:val="00EE233E"/>
    <w:rPr>
      <w:color w:val="0563C1" w:themeColor="hyperlink"/>
      <w:u w:val="single"/>
    </w:rPr>
  </w:style>
  <w:style w:type="paragraph" w:styleId="Header">
    <w:name w:val="header"/>
    <w:basedOn w:val="Normal"/>
    <w:link w:val="HeaderChar"/>
    <w:uiPriority w:val="99"/>
    <w:unhideWhenUsed/>
    <w:rsid w:val="00237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681"/>
    <w:rPr>
      <w:rFonts w:ascii="Times New Roman" w:hAnsi="Times New Roman"/>
      <w:sz w:val="24"/>
      <w:lang w:val="en-GB"/>
    </w:rPr>
  </w:style>
  <w:style w:type="paragraph" w:styleId="Footer">
    <w:name w:val="footer"/>
    <w:basedOn w:val="Normal"/>
    <w:link w:val="FooterChar"/>
    <w:uiPriority w:val="99"/>
    <w:unhideWhenUsed/>
    <w:rsid w:val="00237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68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5D50F-D2F5-478B-9AD0-9ECAA8AFB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3381</Words>
  <Characters>19277</Characters>
  <Application>Microsoft Office Word</Application>
  <DocSecurity>0</DocSecurity>
  <Lines>160</Lines>
  <Paragraphs>45</Paragraphs>
  <ScaleCrop>false</ScaleCrop>
  <Company/>
  <LinksUpToDate>false</LinksUpToDate>
  <CharactersWithSpaces>22613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2025-11-20T13:57:00Z</dcterms:created>
  <dcterms:modified xsi:type="dcterms:W3CDTF">2025-11-20T13:57:00Z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291ceea4-80d9-4ddc-9651-089056553af1</vt:lpwstr>
  </property>
</Properties>
</file>