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C713A" w14:textId="77777777" w:rsidR="006E5506" w:rsidRDefault="006E5506" w:rsidP="006E5506">
      <w:pPr>
        <w:spacing w:line="259" w:lineRule="auto"/>
        <w:jc w:val="center"/>
        <w:rPr>
          <w:b/>
          <w:sz w:val="56"/>
          <w:szCs w:val="56"/>
        </w:rPr>
      </w:pPr>
    </w:p>
    <w:p w14:paraId="7234F1A1" w14:textId="7D11BC35" w:rsidR="00776767" w:rsidRDefault="00776767" w:rsidP="006E5506">
      <w:pPr>
        <w:spacing w:line="259" w:lineRule="auto"/>
        <w:jc w:val="center"/>
        <w:rPr>
          <w:b/>
          <w:sz w:val="56"/>
          <w:szCs w:val="56"/>
        </w:rPr>
      </w:pPr>
      <w:r>
        <w:rPr>
          <w:b/>
          <w:sz w:val="56"/>
          <w:szCs w:val="56"/>
        </w:rPr>
        <w:t>Master of Business Administration</w:t>
      </w:r>
    </w:p>
    <w:p w14:paraId="1D0779F1" w14:textId="77777777" w:rsidR="00776767" w:rsidRDefault="00776767" w:rsidP="006E5506">
      <w:pPr>
        <w:spacing w:line="259" w:lineRule="auto"/>
        <w:jc w:val="center"/>
        <w:rPr>
          <w:b/>
          <w:sz w:val="56"/>
          <w:szCs w:val="56"/>
        </w:rPr>
      </w:pPr>
    </w:p>
    <w:p w14:paraId="0007B3CD" w14:textId="77777777" w:rsidR="006E5506" w:rsidRDefault="006E5506" w:rsidP="006E5506">
      <w:pPr>
        <w:spacing w:line="259" w:lineRule="auto"/>
        <w:jc w:val="center"/>
        <w:rPr>
          <w:b/>
          <w:sz w:val="56"/>
          <w:szCs w:val="56"/>
        </w:rPr>
      </w:pPr>
      <w:r>
        <w:rPr>
          <w:b/>
          <w:sz w:val="56"/>
          <w:szCs w:val="56"/>
        </w:rPr>
        <w:t>Marketing Management</w:t>
      </w:r>
    </w:p>
    <w:p w14:paraId="2C485A42" w14:textId="77777777" w:rsidR="006E5506" w:rsidRDefault="006E5506" w:rsidP="008909D6">
      <w:pPr>
        <w:spacing w:line="259" w:lineRule="auto"/>
        <w:rPr>
          <w:b/>
          <w:sz w:val="56"/>
          <w:szCs w:val="56"/>
        </w:rPr>
      </w:pPr>
    </w:p>
    <w:p w14:paraId="47E29264" w14:textId="77777777" w:rsidR="008909D6" w:rsidRDefault="006E5506" w:rsidP="006E5506">
      <w:pPr>
        <w:spacing w:line="259" w:lineRule="auto"/>
        <w:jc w:val="center"/>
        <w:rPr>
          <w:b/>
          <w:sz w:val="56"/>
          <w:szCs w:val="56"/>
        </w:rPr>
      </w:pPr>
      <w:bookmarkStart w:id="0" w:name="_gjdgxs" w:colFirst="0" w:colLast="0"/>
      <w:bookmarkEnd w:id="0"/>
      <w:r>
        <w:rPr>
          <w:b/>
          <w:sz w:val="56"/>
          <w:szCs w:val="56"/>
        </w:rPr>
        <w:t>LCMB7024</w:t>
      </w:r>
    </w:p>
    <w:p w14:paraId="6EBB5178" w14:textId="797991FD" w:rsidR="006E5506" w:rsidRDefault="006E5506" w:rsidP="006E5506">
      <w:pPr>
        <w:spacing w:line="259" w:lineRule="auto"/>
        <w:jc w:val="center"/>
        <w:rPr>
          <w:b/>
          <w:sz w:val="56"/>
          <w:szCs w:val="56"/>
        </w:rPr>
      </w:pPr>
      <w:r>
        <w:br w:type="page"/>
      </w:r>
    </w:p>
    <w:p w14:paraId="23314AFA" w14:textId="77777777" w:rsidR="006E5506" w:rsidRDefault="006E5506" w:rsidP="006E5506">
      <w:pPr>
        <w:keepNext/>
        <w:keepLines/>
        <w:pBdr>
          <w:top w:val="nil"/>
          <w:left w:val="nil"/>
          <w:bottom w:val="nil"/>
          <w:right w:val="nil"/>
          <w:between w:val="nil"/>
        </w:pBdr>
        <w:spacing w:before="240" w:after="0" w:line="259" w:lineRule="auto"/>
        <w:jc w:val="center"/>
        <w:rPr>
          <w:b/>
          <w:color w:val="000000"/>
          <w:sz w:val="28"/>
          <w:szCs w:val="28"/>
        </w:rPr>
      </w:pPr>
      <w:r>
        <w:rPr>
          <w:b/>
          <w:color w:val="000000"/>
          <w:sz w:val="28"/>
          <w:szCs w:val="28"/>
        </w:rPr>
        <w:lastRenderedPageBreak/>
        <w:t>Table of Contents</w:t>
      </w:r>
    </w:p>
    <w:sdt>
      <w:sdtPr>
        <w:id w:val="-1240017854"/>
        <w:docPartObj>
          <w:docPartGallery w:val="Table of Contents"/>
          <w:docPartUnique/>
        </w:docPartObj>
      </w:sdtPr>
      <w:sdtContent>
        <w:p w14:paraId="35161F54" w14:textId="77777777" w:rsidR="006E5506" w:rsidRDefault="006E5506" w:rsidP="006E5506">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30j0zll">
            <w:r>
              <w:rPr>
                <w:color w:val="000000"/>
              </w:rPr>
              <w:t>Introduction</w:t>
            </w:r>
            <w:r>
              <w:rPr>
                <w:color w:val="000000"/>
              </w:rPr>
              <w:tab/>
              <w:t>3</w:t>
            </w:r>
          </w:hyperlink>
        </w:p>
        <w:p w14:paraId="2CBCB06F" w14:textId="77777777" w:rsidR="006E5506" w:rsidRDefault="006E5506" w:rsidP="006E5506">
          <w:pPr>
            <w:pBdr>
              <w:top w:val="nil"/>
              <w:left w:val="nil"/>
              <w:bottom w:val="nil"/>
              <w:right w:val="nil"/>
              <w:between w:val="nil"/>
            </w:pBdr>
            <w:tabs>
              <w:tab w:val="right" w:leader="dot" w:pos="9016"/>
            </w:tabs>
            <w:spacing w:after="100"/>
            <w:rPr>
              <w:color w:val="000000"/>
            </w:rPr>
          </w:pPr>
          <w:hyperlink w:anchor="_1fob9te">
            <w:r>
              <w:rPr>
                <w:color w:val="000000"/>
              </w:rPr>
              <w:t>Task 1: Macro Marketing Environment Analysis</w:t>
            </w:r>
            <w:r>
              <w:rPr>
                <w:color w:val="000000"/>
              </w:rPr>
              <w:tab/>
              <w:t>4</w:t>
            </w:r>
          </w:hyperlink>
        </w:p>
        <w:p w14:paraId="5DC960C6" w14:textId="77777777" w:rsidR="006E5506" w:rsidRDefault="006E5506" w:rsidP="006E5506">
          <w:pPr>
            <w:pBdr>
              <w:top w:val="nil"/>
              <w:left w:val="nil"/>
              <w:bottom w:val="nil"/>
              <w:right w:val="nil"/>
              <w:between w:val="nil"/>
            </w:pBdr>
            <w:tabs>
              <w:tab w:val="right" w:leader="dot" w:pos="9016"/>
            </w:tabs>
            <w:spacing w:after="100"/>
            <w:ind w:left="240"/>
            <w:rPr>
              <w:color w:val="000000"/>
            </w:rPr>
          </w:pPr>
          <w:hyperlink w:anchor="_3znysh7">
            <w:r>
              <w:rPr>
                <w:color w:val="000000"/>
              </w:rPr>
              <w:t>Overview of the Macro Marketing Environment</w:t>
            </w:r>
            <w:r>
              <w:rPr>
                <w:color w:val="000000"/>
              </w:rPr>
              <w:tab/>
              <w:t>4</w:t>
            </w:r>
          </w:hyperlink>
        </w:p>
        <w:p w14:paraId="11926C97" w14:textId="77777777" w:rsidR="006E5506" w:rsidRDefault="006E5506" w:rsidP="006E5506">
          <w:pPr>
            <w:pBdr>
              <w:top w:val="nil"/>
              <w:left w:val="nil"/>
              <w:bottom w:val="nil"/>
              <w:right w:val="nil"/>
              <w:between w:val="nil"/>
            </w:pBdr>
            <w:tabs>
              <w:tab w:val="right" w:leader="dot" w:pos="9016"/>
            </w:tabs>
            <w:spacing w:after="100"/>
            <w:ind w:left="240"/>
            <w:rPr>
              <w:color w:val="000000"/>
            </w:rPr>
          </w:pPr>
          <w:hyperlink w:anchor="_2et92p0">
            <w:r>
              <w:rPr>
                <w:color w:val="000000"/>
              </w:rPr>
              <w:t>External Factor 1: Technological Factors</w:t>
            </w:r>
            <w:r>
              <w:rPr>
                <w:color w:val="000000"/>
              </w:rPr>
              <w:tab/>
              <w:t>4</w:t>
            </w:r>
          </w:hyperlink>
        </w:p>
        <w:p w14:paraId="395C9C78" w14:textId="77777777" w:rsidR="006E5506" w:rsidRDefault="006E5506" w:rsidP="006E5506">
          <w:pPr>
            <w:pBdr>
              <w:top w:val="nil"/>
              <w:left w:val="nil"/>
              <w:bottom w:val="nil"/>
              <w:right w:val="nil"/>
              <w:between w:val="nil"/>
            </w:pBdr>
            <w:tabs>
              <w:tab w:val="right" w:leader="dot" w:pos="9016"/>
            </w:tabs>
            <w:spacing w:after="100"/>
            <w:rPr>
              <w:color w:val="000000"/>
            </w:rPr>
          </w:pPr>
          <w:hyperlink w:anchor="_tyjcwt">
            <w:r>
              <w:rPr>
                <w:color w:val="000000"/>
              </w:rPr>
              <w:t>Task 2: Strategic Responses of Pioneers and Followers</w:t>
            </w:r>
            <w:r>
              <w:rPr>
                <w:color w:val="000000"/>
              </w:rPr>
              <w:tab/>
              <w:t>5</w:t>
            </w:r>
          </w:hyperlink>
        </w:p>
        <w:p w14:paraId="30EB899A" w14:textId="77777777" w:rsidR="006E5506" w:rsidRDefault="006E5506" w:rsidP="006E5506">
          <w:pPr>
            <w:pBdr>
              <w:top w:val="nil"/>
              <w:left w:val="nil"/>
              <w:bottom w:val="nil"/>
              <w:right w:val="nil"/>
              <w:between w:val="nil"/>
            </w:pBdr>
            <w:tabs>
              <w:tab w:val="right" w:leader="dot" w:pos="9016"/>
            </w:tabs>
            <w:spacing w:after="100"/>
            <w:ind w:left="240"/>
            <w:rPr>
              <w:color w:val="000000"/>
            </w:rPr>
          </w:pPr>
          <w:hyperlink w:anchor="_3dy6vkm">
            <w:r>
              <w:rPr>
                <w:color w:val="000000"/>
              </w:rPr>
              <w:t>Strategic Response to Technological Factors</w:t>
            </w:r>
            <w:r>
              <w:rPr>
                <w:color w:val="000000"/>
              </w:rPr>
              <w:tab/>
              <w:t>5</w:t>
            </w:r>
          </w:hyperlink>
        </w:p>
        <w:p w14:paraId="570AA2E6" w14:textId="77777777" w:rsidR="006E5506" w:rsidRDefault="006E5506" w:rsidP="006E5506">
          <w:pPr>
            <w:pBdr>
              <w:top w:val="nil"/>
              <w:left w:val="nil"/>
              <w:bottom w:val="nil"/>
              <w:right w:val="nil"/>
              <w:between w:val="nil"/>
            </w:pBdr>
            <w:tabs>
              <w:tab w:val="right" w:leader="dot" w:pos="9016"/>
            </w:tabs>
            <w:spacing w:after="100"/>
            <w:rPr>
              <w:color w:val="000000"/>
            </w:rPr>
          </w:pPr>
          <w:hyperlink w:anchor="_1t3h5sf">
            <w:r>
              <w:rPr>
                <w:color w:val="000000"/>
              </w:rPr>
              <w:t>Conclusion</w:t>
            </w:r>
            <w:r>
              <w:rPr>
                <w:color w:val="000000"/>
              </w:rPr>
              <w:tab/>
              <w:t>6</w:t>
            </w:r>
          </w:hyperlink>
        </w:p>
        <w:p w14:paraId="4E18361C" w14:textId="77777777" w:rsidR="006E5506" w:rsidRDefault="006E5506" w:rsidP="006E5506">
          <w:pPr>
            <w:pBdr>
              <w:top w:val="nil"/>
              <w:left w:val="nil"/>
              <w:bottom w:val="nil"/>
              <w:right w:val="nil"/>
              <w:between w:val="nil"/>
            </w:pBdr>
            <w:tabs>
              <w:tab w:val="right" w:leader="dot" w:pos="9016"/>
            </w:tabs>
            <w:spacing w:after="100"/>
            <w:rPr>
              <w:color w:val="000000"/>
            </w:rPr>
          </w:pPr>
          <w:hyperlink w:anchor="_4d34og8">
            <w:r>
              <w:rPr>
                <w:color w:val="000000"/>
              </w:rPr>
              <w:t>References</w:t>
            </w:r>
            <w:r>
              <w:rPr>
                <w:color w:val="000000"/>
              </w:rPr>
              <w:tab/>
              <w:t>7</w:t>
            </w:r>
          </w:hyperlink>
        </w:p>
        <w:p w14:paraId="11E0A0DF" w14:textId="77777777" w:rsidR="006E5506" w:rsidRDefault="006E5506" w:rsidP="006E5506">
          <w:r>
            <w:fldChar w:fldCharType="end"/>
          </w:r>
        </w:p>
      </w:sdtContent>
    </w:sdt>
    <w:p w14:paraId="71885689" w14:textId="77777777" w:rsidR="006E5506" w:rsidRDefault="006E5506" w:rsidP="006E5506">
      <w:pPr>
        <w:spacing w:line="259" w:lineRule="auto"/>
        <w:jc w:val="left"/>
        <w:rPr>
          <w:b/>
          <w:sz w:val="28"/>
          <w:szCs w:val="28"/>
        </w:rPr>
      </w:pPr>
      <w:r>
        <w:br w:type="page"/>
      </w:r>
    </w:p>
    <w:p w14:paraId="166CC992" w14:textId="77777777" w:rsidR="006E5506" w:rsidRDefault="006E5506" w:rsidP="006E5506">
      <w:pPr>
        <w:pStyle w:val="Heading1"/>
      </w:pPr>
      <w:bookmarkStart w:id="1" w:name="_30j0zll" w:colFirst="0" w:colLast="0"/>
      <w:bookmarkEnd w:id="1"/>
      <w:r>
        <w:lastRenderedPageBreak/>
        <w:t xml:space="preserve">Introduction </w:t>
      </w:r>
    </w:p>
    <w:p w14:paraId="667DACFE" w14:textId="77777777" w:rsidR="006E5506" w:rsidRDefault="006E5506" w:rsidP="006E5506">
      <w:r>
        <w:t>The external marketing environment is critically examined through the PESTLE framework, which typically encompasses all the major external factors that influence an organisation's decision-making and future strategies. By understanding the various external market factors, businesses can anticipate, adapt, mitigate risks, and also exploit opportunities (</w:t>
      </w:r>
      <w:r>
        <w:rPr>
          <w:highlight w:val="white"/>
        </w:rPr>
        <w:t>Alawwad, 2024</w:t>
      </w:r>
      <w:r>
        <w:t xml:space="preserve">). This environment requires companies to adopt two strategic positions: pioneers and followers. The first action takers, who generally embrace innovation, take risks, and create early competitive advantages, are referred to as pioneers (Christopher, 2021). In contrast, late entrants in the market, who reduce risks by implementing proven and practised strategies, are termed followers. </w:t>
      </w:r>
    </w:p>
    <w:p w14:paraId="7E628CFF" w14:textId="77777777" w:rsidR="006E5506" w:rsidRDefault="006E5506" w:rsidP="006E5506">
      <w:r>
        <w:t xml:space="preserve">This business environment report will primarily focus on two external or macro environmental factors: technological and socio-cultural factors, as these factors significantly influence the business and shape its competitiveness across industries. This report will critically analyse the various shifts and changes in these external factors that affect the opportunities and threats faced by pioneers and followers in the business. It will further evaluate the responses that these pioneers and followers strategically give to maintain competitiveness in the market. </w:t>
      </w:r>
    </w:p>
    <w:p w14:paraId="25C81517" w14:textId="77777777" w:rsidR="006E5506" w:rsidRDefault="006E5506" w:rsidP="006E5506">
      <w:pPr>
        <w:spacing w:line="259" w:lineRule="auto"/>
        <w:jc w:val="left"/>
        <w:rPr>
          <w:b/>
          <w:sz w:val="28"/>
          <w:szCs w:val="28"/>
        </w:rPr>
      </w:pPr>
      <w:r>
        <w:br w:type="page"/>
      </w:r>
    </w:p>
    <w:p w14:paraId="07DDCFFA" w14:textId="77777777" w:rsidR="006E5506" w:rsidRDefault="006E5506" w:rsidP="006E5506">
      <w:pPr>
        <w:pStyle w:val="Heading1"/>
      </w:pPr>
      <w:bookmarkStart w:id="2" w:name="_1fob9te" w:colFirst="0" w:colLast="0"/>
      <w:bookmarkEnd w:id="2"/>
      <w:r>
        <w:lastRenderedPageBreak/>
        <w:t xml:space="preserve">Task 1: Macro Marketing Environment Analysis </w:t>
      </w:r>
    </w:p>
    <w:p w14:paraId="63805B45" w14:textId="77777777" w:rsidR="006E5506" w:rsidRDefault="006E5506" w:rsidP="006E5506">
      <w:pPr>
        <w:pStyle w:val="Heading2"/>
      </w:pPr>
      <w:bookmarkStart w:id="3" w:name="_3znysh7" w:colFirst="0" w:colLast="0"/>
      <w:bookmarkEnd w:id="3"/>
      <w:r>
        <w:t xml:space="preserve">Overview of the Macro Marketing Environment </w:t>
      </w:r>
    </w:p>
    <w:p w14:paraId="4E3A61C6" w14:textId="77777777" w:rsidR="006E5506" w:rsidRDefault="006E5506" w:rsidP="006E5506">
      <w:r>
        <w:t xml:space="preserve">The macro marketing environment is responsible for shaping industries and influencing competitiveness among organisations, as it represents the broad external factors. The macro environment operates at a wider level, as it is not controlled by individual firms, unlike the micro environment, which relates to customers, competitors, and suppliers (Svilane, 2023). The analyses of these forces are critical for the strategic management of the market. This is because it allows businesses to practice change, identify their potential opportunities, and also reduce the risks of emerging threats and competitors. When organisations fail to recognise shifts in the external environment, they tend to lose their competitiveness. In contrast, those that strategically align their goals and mission with current market trends tend to experience better positioning and long-term security. </w:t>
      </w:r>
    </w:p>
    <w:p w14:paraId="30C5BE80" w14:textId="77777777" w:rsidR="006E5506" w:rsidRDefault="006E5506" w:rsidP="006E5506">
      <w:r>
        <w:t xml:space="preserve">The most widely used framework for understanding the external business environment is the PESTLE framework, which encompasses political, economic, social, technological, legal, and environmental factors (CIPD, 2025). </w:t>
      </w:r>
    </w:p>
    <w:p w14:paraId="2D29F89C" w14:textId="77777777" w:rsidR="006E5506" w:rsidRDefault="006E5506" w:rsidP="006E5506">
      <w:pPr>
        <w:pStyle w:val="Heading2"/>
      </w:pPr>
      <w:bookmarkStart w:id="4" w:name="_2et92p0" w:colFirst="0" w:colLast="0"/>
      <w:bookmarkEnd w:id="4"/>
      <w:r>
        <w:t xml:space="preserve">External Factor 1: Technological Factors </w:t>
      </w:r>
    </w:p>
    <w:p w14:paraId="3E3356C8" w14:textId="77777777" w:rsidR="006E5506" w:rsidRDefault="006E5506" w:rsidP="006E5506">
      <w:r>
        <w:t>Due to one of the most disruptive forces, technological innovations shape modern industries, which significantly influence the operations, interactions, and competitiveness of organisations (</w:t>
      </w:r>
      <w:r>
        <w:rPr>
          <w:highlight w:val="white"/>
        </w:rPr>
        <w:t>Abuzaid, 2024</w:t>
      </w:r>
      <w:r>
        <w:t xml:space="preserve">). The increasing advancements in data analytics, artificial intelligence, e-commerce automation, and augmented reality are responsible for shaping customer preferences, which ultimately compel companies to incorporate emerging digital solutions into their marketing strategies. </w:t>
      </w:r>
    </w:p>
    <w:p w14:paraId="529515E4" w14:textId="77777777" w:rsidR="006E5506" w:rsidRDefault="006E5506" w:rsidP="006E5506">
      <w:pPr>
        <w:rPr>
          <w:b/>
        </w:rPr>
      </w:pPr>
      <w:r>
        <w:rPr>
          <w:b/>
        </w:rPr>
        <w:t xml:space="preserve">Opportunities for Pioneers: </w:t>
      </w:r>
    </w:p>
    <w:p w14:paraId="3C75A07F" w14:textId="77777777" w:rsidR="006E5506" w:rsidRDefault="006E5506" w:rsidP="006E5506">
      <w:r>
        <w:t xml:space="preserve">The actions taken by pioneering companies gain them an opportunity to create a robust competitive edge in the market. As pioneers, they are typically the early adopters responsible for differentiating brands, attracting digitally advanced customers, and setting industry standards. For example, the AI-enhanced Clubcard of Tesco drives loyalty through analytics, which, in customer relationship management, positions the retailer as an innovator (Shelper, 2024). </w:t>
      </w:r>
    </w:p>
    <w:p w14:paraId="079B0BB8" w14:textId="77777777" w:rsidR="006E5506" w:rsidRDefault="006E5506" w:rsidP="006E5506">
      <w:pPr>
        <w:spacing w:line="259" w:lineRule="auto"/>
        <w:jc w:val="left"/>
        <w:rPr>
          <w:b/>
          <w:sz w:val="28"/>
          <w:szCs w:val="28"/>
        </w:rPr>
      </w:pPr>
      <w:r>
        <w:br w:type="page"/>
      </w:r>
    </w:p>
    <w:p w14:paraId="621D54AE" w14:textId="77777777" w:rsidR="006E5506" w:rsidRDefault="006E5506" w:rsidP="006E5506">
      <w:pPr>
        <w:pStyle w:val="Heading1"/>
      </w:pPr>
      <w:bookmarkStart w:id="5" w:name="_tyjcwt" w:colFirst="0" w:colLast="0"/>
      <w:bookmarkEnd w:id="5"/>
      <w:r>
        <w:lastRenderedPageBreak/>
        <w:t xml:space="preserve">Task 2: </w:t>
      </w:r>
      <w:r>
        <w:rPr>
          <w:b/>
        </w:rPr>
        <w:t xml:space="preserve">Strategic Responses of Pioneers and Followers </w:t>
      </w:r>
    </w:p>
    <w:p w14:paraId="1A4671F4" w14:textId="77777777" w:rsidR="006E5506" w:rsidRDefault="006E5506" w:rsidP="006E5506">
      <w:pPr>
        <w:pStyle w:val="Heading2"/>
      </w:pPr>
      <w:bookmarkStart w:id="6" w:name="_3dy6vkm" w:colFirst="0" w:colLast="0"/>
      <w:bookmarkEnd w:id="6"/>
      <w:r>
        <w:t xml:space="preserve">Strategic Response to Technological Factors </w:t>
      </w:r>
    </w:p>
    <w:p w14:paraId="1B8E4FD8" w14:textId="77777777" w:rsidR="006E5506" w:rsidRDefault="006E5506" w:rsidP="006E5506">
      <w:r>
        <w:t>The advancements in technology have rapidly transformed the retail industry, pressuring organisations to consistently innovate and adapt to new trends to sustain their competitive edge in the market. Pioneers like Tesco utilise technologies to become a driver of customer engagement and a strategic differentiator. Tesco, through the use of its Clubcard loyalty programme, has made rapid investments in innovation and analytics (</w:t>
      </w:r>
      <w:r>
        <w:rPr>
          <w:highlight w:val="white"/>
        </w:rPr>
        <w:t>Hartfield, 2024</w:t>
      </w:r>
      <w:r>
        <w:t xml:space="preserve">). Through the use of artificial intelligence and data analytics, Tesco can predict customer preferences, deliver personalised offers, and optimise its inventory management. </w:t>
      </w:r>
    </w:p>
    <w:p w14:paraId="3D99DFC5" w14:textId="77777777" w:rsidR="006E5506" w:rsidRDefault="006E5506" w:rsidP="006E5506">
      <w:pPr>
        <w:spacing w:line="259" w:lineRule="auto"/>
        <w:jc w:val="left"/>
        <w:rPr>
          <w:b/>
          <w:sz w:val="28"/>
          <w:szCs w:val="28"/>
        </w:rPr>
      </w:pPr>
      <w:r>
        <w:br w:type="page"/>
      </w:r>
    </w:p>
    <w:p w14:paraId="532A5B49" w14:textId="77777777" w:rsidR="006E5506" w:rsidRDefault="006E5506" w:rsidP="006E5506">
      <w:pPr>
        <w:pStyle w:val="Heading1"/>
      </w:pPr>
      <w:bookmarkStart w:id="7" w:name="_1t3h5sf" w:colFirst="0" w:colLast="0"/>
      <w:bookmarkEnd w:id="7"/>
      <w:r>
        <w:lastRenderedPageBreak/>
        <w:t xml:space="preserve">Conclusion </w:t>
      </w:r>
    </w:p>
    <w:p w14:paraId="1AFCEDBE" w14:textId="77777777" w:rsidR="006E5506" w:rsidRDefault="006E5506" w:rsidP="006E5506">
      <w:pPr>
        <w:rPr>
          <w:sz w:val="28"/>
          <w:szCs w:val="28"/>
        </w:rPr>
      </w:pPr>
      <w:r>
        <w:br w:type="page"/>
      </w:r>
    </w:p>
    <w:p w14:paraId="74394CEA" w14:textId="77777777" w:rsidR="006E5506" w:rsidRDefault="006E5506" w:rsidP="006E5506">
      <w:pPr>
        <w:pStyle w:val="Heading1"/>
      </w:pPr>
      <w:bookmarkStart w:id="8" w:name="_4d34og8" w:colFirst="0" w:colLast="0"/>
      <w:bookmarkEnd w:id="8"/>
      <w:r>
        <w:lastRenderedPageBreak/>
        <w:t xml:space="preserve">References </w:t>
      </w:r>
    </w:p>
    <w:p w14:paraId="5548A45E" w14:textId="77777777" w:rsidR="006E5506" w:rsidRDefault="006E5506" w:rsidP="006E5506">
      <w:pPr>
        <w:rPr>
          <w:highlight w:val="white"/>
        </w:rPr>
      </w:pPr>
      <w:r>
        <w:rPr>
          <w:highlight w:val="white"/>
        </w:rPr>
        <w:t xml:space="preserve">Abuzaid, A.N. (2024) April. AI and business innovation: </w:t>
      </w:r>
      <w:proofErr w:type="spellStart"/>
      <w:r>
        <w:rPr>
          <w:highlight w:val="white"/>
        </w:rPr>
        <w:t>Analyzing</w:t>
      </w:r>
      <w:proofErr w:type="spellEnd"/>
      <w:r>
        <w:rPr>
          <w:highlight w:val="white"/>
        </w:rPr>
        <w:t xml:space="preserve"> disruptive effects on industry dynamics and competitive strategies. In </w:t>
      </w:r>
      <w:r>
        <w:rPr>
          <w:i/>
          <w:highlight w:val="white"/>
        </w:rPr>
        <w:t>2024 International Conference on Knowledge Engineering and Communication Systems (ICKECS)</w:t>
      </w:r>
      <w:r>
        <w:rPr>
          <w:highlight w:val="white"/>
        </w:rPr>
        <w:t> (Vol. 1, pp. 1-5). IEEE.</w:t>
      </w:r>
    </w:p>
    <w:p w14:paraId="5ED6919F" w14:textId="77777777" w:rsidR="006E5506" w:rsidRDefault="006E5506" w:rsidP="006E5506">
      <w:pPr>
        <w:rPr>
          <w:highlight w:val="white"/>
        </w:rPr>
      </w:pPr>
      <w:r>
        <w:rPr>
          <w:highlight w:val="white"/>
        </w:rPr>
        <w:t>Alawwad, A. (2024) The influence of external factors on corporate strategy and strategies for adaptation in light of the global challenges. </w:t>
      </w:r>
      <w:r>
        <w:rPr>
          <w:i/>
          <w:highlight w:val="white"/>
        </w:rPr>
        <w:t>International journal of financial, administrative, and economic sciences</w:t>
      </w:r>
      <w:r>
        <w:rPr>
          <w:highlight w:val="white"/>
        </w:rPr>
        <w:t>, </w:t>
      </w:r>
      <w:r>
        <w:rPr>
          <w:i/>
          <w:highlight w:val="white"/>
        </w:rPr>
        <w:t>3</w:t>
      </w:r>
      <w:r>
        <w:rPr>
          <w:highlight w:val="white"/>
        </w:rPr>
        <w:t>(10), pp.91-125.</w:t>
      </w:r>
    </w:p>
    <w:p w14:paraId="689D7B0B" w14:textId="77777777" w:rsidR="006E5506" w:rsidRDefault="006E5506" w:rsidP="006E5506">
      <w:r>
        <w:t xml:space="preserve">Chartered Institute of Personnel and Development (CIPD) (2025) </w:t>
      </w:r>
      <w:hyperlink r:id="rId4">
        <w:r>
          <w:rPr>
            <w:i/>
          </w:rPr>
          <w:t>PESTLE analysis | CIPD</w:t>
        </w:r>
      </w:hyperlink>
      <w:r>
        <w:t xml:space="preserve"> Available at (Online) &lt;</w:t>
      </w:r>
      <w:hyperlink r:id="rId5">
        <w:r>
          <w:rPr>
            <w:color w:val="0000FF"/>
            <w:u w:val="single"/>
          </w:rPr>
          <w:t>https://www.cipd.org/uk/knowledge/factsheets/pestle-analysis-factsheet/</w:t>
        </w:r>
      </w:hyperlink>
      <w:r>
        <w:t>&gt; (Accessed on 25 September 2025).</w:t>
      </w:r>
    </w:p>
    <w:p w14:paraId="7C863F9E" w14:textId="77777777" w:rsidR="006E5506" w:rsidRDefault="006E5506" w:rsidP="006E5506">
      <w:r>
        <w:t xml:space="preserve">Christopher E. (2021) </w:t>
      </w:r>
      <w:hyperlink r:id="rId6">
        <w:r>
          <w:rPr>
            <w:i/>
          </w:rPr>
          <w:t>What It Means to Be a Pioneer of Your Industry (and 3 Signs You Might Be One)</w:t>
        </w:r>
      </w:hyperlink>
      <w:r>
        <w:t xml:space="preserve"> Available at (Online) &lt;</w:t>
      </w:r>
      <w:hyperlink r:id="rId7">
        <w:r>
          <w:rPr>
            <w:color w:val="0000FF"/>
            <w:u w:val="single"/>
          </w:rPr>
          <w:t>https://www.entrepreneur.com/leadership/what-it-means-to-be-a-pioneer-of-your-industry-and-3-signs/366749</w:t>
        </w:r>
      </w:hyperlink>
      <w:r>
        <w:t>&gt; (Accessed on 25 September 2025).</w:t>
      </w:r>
    </w:p>
    <w:p w14:paraId="45437C72" w14:textId="77777777" w:rsidR="006E5506" w:rsidRDefault="006E5506" w:rsidP="006E5506">
      <w:r>
        <w:rPr>
          <w:highlight w:val="white"/>
        </w:rPr>
        <w:t>Hartfield, T.R. (2024) Overcoming Data Barriers: Strategies for New Entrants to Achieve Differentiation in the UK Food Retail Market. </w:t>
      </w:r>
      <w:r>
        <w:rPr>
          <w:i/>
          <w:highlight w:val="white"/>
        </w:rPr>
        <w:t>Journal of World Economy</w:t>
      </w:r>
      <w:r>
        <w:rPr>
          <w:highlight w:val="white"/>
        </w:rPr>
        <w:t>, </w:t>
      </w:r>
      <w:r>
        <w:rPr>
          <w:i/>
          <w:highlight w:val="white"/>
        </w:rPr>
        <w:t>3</w:t>
      </w:r>
      <w:r>
        <w:rPr>
          <w:highlight w:val="white"/>
        </w:rPr>
        <w:t>(3), pp.68-83.</w:t>
      </w:r>
    </w:p>
    <w:p w14:paraId="4909F88E" w14:textId="77777777" w:rsidR="006E5506" w:rsidRDefault="006E5506" w:rsidP="006E5506">
      <w:r>
        <w:t xml:space="preserve">Shelper P. (2024) </w:t>
      </w:r>
      <w:hyperlink r:id="rId8" w:anchor=":~:text=Tesco's%20Clubcard%20Challenges%20cement%20their,a%20way%20to%20collect%20points.">
        <w:r>
          <w:rPr>
            <w:i/>
          </w:rPr>
          <w:t>Do Loyalty Programs Work? Just ask Tesco - Loyalty &amp; Reward Co</w:t>
        </w:r>
      </w:hyperlink>
      <w:r>
        <w:t xml:space="preserve"> Available at (Online) &lt;</w:t>
      </w:r>
      <w:hyperlink r:id="rId9">
        <w:r>
          <w:rPr>
            <w:color w:val="0000FF"/>
            <w:u w:val="single"/>
          </w:rPr>
          <w:t>https://loyaltyrewardco.com/do-loyalty-programs-work-just-ask-tesco/#:~:text=Tesco's%20Clubcard%20Challenges%20cement%20their,a%20way%20to%20collect%20points.</w:t>
        </w:r>
      </w:hyperlink>
      <w:r>
        <w:t>&gt; (Accessed on 25 September 2025).</w:t>
      </w:r>
    </w:p>
    <w:p w14:paraId="1E9142F1" w14:textId="77777777" w:rsidR="006E5506" w:rsidRDefault="006E5506" w:rsidP="006E5506">
      <w:pPr>
        <w:rPr>
          <w:highlight w:val="white"/>
        </w:rPr>
      </w:pPr>
      <w:r>
        <w:rPr>
          <w:highlight w:val="white"/>
        </w:rPr>
        <w:t>Svilane¹, I. (2023) External Factors of Business Environment and Family Business: Theoretical Review.</w:t>
      </w:r>
    </w:p>
    <w:p w14:paraId="45C1EBD8" w14:textId="77777777" w:rsidR="006E5506" w:rsidRDefault="006E5506" w:rsidP="006E5506">
      <w:pPr>
        <w:rPr>
          <w:b/>
        </w:rPr>
      </w:pPr>
    </w:p>
    <w:p w14:paraId="70CA1F77" w14:textId="77777777" w:rsidR="003D6C5F" w:rsidRDefault="003D6C5F"/>
    <w:sectPr w:rsidR="003D6C5F" w:rsidSect="006E550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506"/>
    <w:rsid w:val="003D6C5F"/>
    <w:rsid w:val="004D470E"/>
    <w:rsid w:val="004F11BF"/>
    <w:rsid w:val="006E5506"/>
    <w:rsid w:val="00776767"/>
    <w:rsid w:val="008909D6"/>
    <w:rsid w:val="00DA0C70"/>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46316"/>
  <w15:chartTrackingRefBased/>
  <w15:docId w15:val="{43E1DCB5-10E5-4B76-868A-918D32B50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506"/>
    <w:pPr>
      <w:spacing w:line="360" w:lineRule="auto"/>
      <w:jc w:val="both"/>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6E5506"/>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6E5506"/>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6E5506"/>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6E5506"/>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6E5506"/>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6E5506"/>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6E5506"/>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6E5506"/>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6E5506"/>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5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55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55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55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55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5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506"/>
    <w:rPr>
      <w:rFonts w:eastAsiaTheme="majorEastAsia" w:cstheme="majorBidi"/>
      <w:color w:val="272727" w:themeColor="text1" w:themeTint="D8"/>
    </w:rPr>
  </w:style>
  <w:style w:type="paragraph" w:styleId="Title">
    <w:name w:val="Title"/>
    <w:basedOn w:val="Normal"/>
    <w:next w:val="Normal"/>
    <w:link w:val="TitleChar"/>
    <w:uiPriority w:val="10"/>
    <w:qFormat/>
    <w:rsid w:val="006E5506"/>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6E5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506"/>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6E5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506"/>
    <w:pPr>
      <w:spacing w:before="160" w:line="259" w:lineRule="auto"/>
      <w:jc w:val="center"/>
    </w:pPr>
    <w:rPr>
      <w:rFonts w:asciiTheme="minorHAnsi" w:eastAsiaTheme="minorHAnsi" w:hAnsiTheme="minorHAnsi" w:cs="Latha"/>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6E5506"/>
    <w:rPr>
      <w:rFonts w:cs="Latha"/>
      <w:i/>
      <w:iCs/>
      <w:color w:val="404040" w:themeColor="text1" w:themeTint="BF"/>
    </w:rPr>
  </w:style>
  <w:style w:type="paragraph" w:styleId="ListParagraph">
    <w:name w:val="List Paragraph"/>
    <w:basedOn w:val="Normal"/>
    <w:uiPriority w:val="34"/>
    <w:qFormat/>
    <w:rsid w:val="006E5506"/>
    <w:pPr>
      <w:spacing w:line="259" w:lineRule="auto"/>
      <w:ind w:left="720"/>
      <w:contextualSpacing/>
      <w:jc w:val="left"/>
    </w:pPr>
    <w:rPr>
      <w:rFonts w:asciiTheme="minorHAnsi" w:eastAsiaTheme="minorHAnsi" w:hAnsiTheme="minorHAnsi" w:cs="Latha"/>
      <w:kern w:val="2"/>
      <w:sz w:val="22"/>
      <w:szCs w:val="22"/>
      <w:lang w:val="en-US"/>
      <w14:ligatures w14:val="standardContextual"/>
    </w:rPr>
  </w:style>
  <w:style w:type="character" w:styleId="IntenseEmphasis">
    <w:name w:val="Intense Emphasis"/>
    <w:basedOn w:val="DefaultParagraphFont"/>
    <w:uiPriority w:val="21"/>
    <w:qFormat/>
    <w:rsid w:val="006E5506"/>
    <w:rPr>
      <w:i/>
      <w:iCs/>
      <w:color w:val="2F5496" w:themeColor="accent1" w:themeShade="BF"/>
    </w:rPr>
  </w:style>
  <w:style w:type="paragraph" w:styleId="IntenseQuote">
    <w:name w:val="Intense Quote"/>
    <w:basedOn w:val="Normal"/>
    <w:next w:val="Normal"/>
    <w:link w:val="IntenseQuoteChar"/>
    <w:uiPriority w:val="30"/>
    <w:qFormat/>
    <w:rsid w:val="006E550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Latha"/>
      <w:i/>
      <w:iCs/>
      <w:color w:val="2F5496"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6E5506"/>
    <w:rPr>
      <w:rFonts w:cs="Latha"/>
      <w:i/>
      <w:iCs/>
      <w:color w:val="2F5496" w:themeColor="accent1" w:themeShade="BF"/>
    </w:rPr>
  </w:style>
  <w:style w:type="character" w:styleId="IntenseReference">
    <w:name w:val="Intense Reference"/>
    <w:basedOn w:val="DefaultParagraphFont"/>
    <w:uiPriority w:val="32"/>
    <w:qFormat/>
    <w:rsid w:val="006E55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yaltyrewardco.com/do-loyalty-programs-work-just-ask-tesco/" TargetMode="External"/><Relationship Id="rId3" Type="http://schemas.openxmlformats.org/officeDocument/2006/relationships/webSettings" Target="webSettings.xml"/><Relationship Id="rId7" Type="http://schemas.openxmlformats.org/officeDocument/2006/relationships/hyperlink" Target="https://www.entrepreneur.com/leadership/what-it-means-to-be-a-pioneer-of-your-industry-and-3-signs/36674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repreneur.com/leadership/what-it-means-to-be-a-pioneer-of-your-industry-and-3-signs/366749" TargetMode="External"/><Relationship Id="rId11" Type="http://schemas.openxmlformats.org/officeDocument/2006/relationships/theme" Target="theme/theme1.xml"/><Relationship Id="rId5" Type="http://schemas.openxmlformats.org/officeDocument/2006/relationships/hyperlink" Target="https://www.cipd.org/uk/knowledge/factsheets/pestle-analysis-factsheet/" TargetMode="External"/><Relationship Id="rId10" Type="http://schemas.openxmlformats.org/officeDocument/2006/relationships/fontTable" Target="fontTable.xml"/><Relationship Id="rId4" Type="http://schemas.openxmlformats.org/officeDocument/2006/relationships/hyperlink" Target="https://www.cipd.org/uk/knowledge/factsheets/pestle-analysis-factsheet/" TargetMode="External"/><Relationship Id="rId9" Type="http://schemas.openxmlformats.org/officeDocument/2006/relationships/hyperlink" Target="https://loyaltyrewardco.com/do-loyalty-programs-work-just-ask-tesco/%23:~:text=Tesco's%20Clubcard%20Challenges%20cement%20their,a%20way%20to%20collect%20poi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1088</Words>
  <Characters>6208</Characters>
  <Application>Microsoft Office Word</Application>
  <DocSecurity>0</DocSecurity>
  <Lines>51</Lines>
  <Paragraphs>14</Paragraphs>
  <ScaleCrop>false</ScaleCrop>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3</cp:revision>
  <dcterms:created xsi:type="dcterms:W3CDTF">2025-10-22T20:49:00Z</dcterms:created>
  <dcterms:modified xsi:type="dcterms:W3CDTF">2025-10-22T20:57:00Z</dcterms:modified>
</cp:coreProperties>
</file>