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19D3" w:rsidRDefault="003D19D3" w:rsidP="00690937">
      <w:pPr>
        <w:pStyle w:val="Title"/>
        <w:jc w:val="center"/>
        <w:rPr>
          <w:b/>
          <w:sz w:val="36"/>
          <w:u w:val="single"/>
        </w:rPr>
      </w:pPr>
      <w:r w:rsidRPr="007134D7">
        <w:rPr>
          <w:b/>
          <w:sz w:val="36"/>
          <w:u w:val="single"/>
        </w:rPr>
        <w:t xml:space="preserve">HPHI4002 Writing History </w:t>
      </w:r>
      <w:r>
        <w:rPr>
          <w:b/>
          <w:sz w:val="36"/>
          <w:u w:val="single"/>
        </w:rPr>
        <w:t>Article Review</w:t>
      </w:r>
      <w:r w:rsidRPr="007134D7">
        <w:rPr>
          <w:b/>
          <w:sz w:val="36"/>
          <w:u w:val="single"/>
        </w:rPr>
        <w:t xml:space="preserve"> </w:t>
      </w:r>
      <w:r w:rsidR="00690937">
        <w:rPr>
          <w:b/>
          <w:sz w:val="36"/>
          <w:u w:val="single"/>
        </w:rPr>
        <w:t xml:space="preserve">(Feudalism) </w:t>
      </w:r>
      <w:r w:rsidRPr="007134D7">
        <w:rPr>
          <w:b/>
          <w:sz w:val="36"/>
          <w:u w:val="single"/>
        </w:rPr>
        <w:t>– By Matthew Cowley</w:t>
      </w:r>
    </w:p>
    <w:p w:rsidR="00665D25" w:rsidRDefault="00665D25" w:rsidP="00665D25"/>
    <w:p w:rsidR="00EF1748" w:rsidRPr="005F7060" w:rsidRDefault="00D77813" w:rsidP="00997446">
      <w:pPr>
        <w:spacing w:line="360" w:lineRule="auto"/>
        <w:rPr>
          <w:highlight w:val="yellow"/>
        </w:rPr>
      </w:pPr>
      <w:r>
        <w:t>Th</w:t>
      </w:r>
      <w:r w:rsidR="00FA2217">
        <w:t>is</w:t>
      </w:r>
      <w:r>
        <w:t xml:space="preserve"> </w:t>
      </w:r>
      <w:r w:rsidR="00FA2217">
        <w:t>chapter, from</w:t>
      </w:r>
      <w:r>
        <w:t xml:space="preserve"> Marc Bloch’s </w:t>
      </w:r>
      <w:r w:rsidRPr="00D77813">
        <w:rPr>
          <w:i/>
        </w:rPr>
        <w:t>Feudal Society</w:t>
      </w:r>
      <w:r w:rsidR="00FA2217">
        <w:t>,</w:t>
      </w:r>
      <w:r w:rsidRPr="00D77813">
        <w:rPr>
          <w:i/>
        </w:rPr>
        <w:t xml:space="preserve"> </w:t>
      </w:r>
      <w:r w:rsidR="00FA2217">
        <w:t xml:space="preserve">considers the idea of whether feudalism works as a type of society, which connects to the larger </w:t>
      </w:r>
      <w:r>
        <w:t>historiographical debate of whether feudalism</w:t>
      </w:r>
      <w:r w:rsidR="005F7060">
        <w:t xml:space="preserve"> is a useful and acceptable </w:t>
      </w:r>
      <w:r w:rsidR="009F1C4D">
        <w:t xml:space="preserve">social </w:t>
      </w:r>
      <w:r w:rsidR="005F7060">
        <w:t xml:space="preserve">structure. </w:t>
      </w:r>
      <w:r w:rsidR="00FA2217">
        <w:t>According to the Oxford Dictionary of English, feudalism is the main social structure of medieval Europe whereby nobles would provide military arms and</w:t>
      </w:r>
      <w:r w:rsidR="006B289D">
        <w:t xml:space="preserve"> in return,</w:t>
      </w:r>
      <w:r w:rsidR="00FA2217">
        <w:t xml:space="preserve"> the Crown</w:t>
      </w:r>
      <w:r w:rsidR="006B289D">
        <w:t xml:space="preserve"> </w:t>
      </w:r>
      <w:r w:rsidR="00FA2217">
        <w:t>would grant them land, on which the peasants would live and work.</w:t>
      </w:r>
      <w:r w:rsidR="00FA2217">
        <w:rPr>
          <w:rStyle w:val="FootnoteReference"/>
        </w:rPr>
        <w:footnoteReference w:id="1"/>
      </w:r>
      <w:r w:rsidR="00EF1748">
        <w:t xml:space="preserve"> To establish </w:t>
      </w:r>
      <w:r w:rsidR="00A767AE">
        <w:t>whether</w:t>
      </w:r>
      <w:r w:rsidR="00EF1748">
        <w:t xml:space="preserve"> Bloch’s article successfully demonstrates his ideals, we need to look at the author himself,</w:t>
      </w:r>
      <w:r w:rsidR="007113B6">
        <w:t xml:space="preserve"> </w:t>
      </w:r>
      <w:r w:rsidR="00C473B5">
        <w:t>the</w:t>
      </w:r>
      <w:r w:rsidR="007113B6">
        <w:t xml:space="preserve"> publish</w:t>
      </w:r>
      <w:r w:rsidR="00C473B5">
        <w:t>er</w:t>
      </w:r>
      <w:r w:rsidR="007113B6">
        <w:t xml:space="preserve">, </w:t>
      </w:r>
      <w:r w:rsidR="00EF1748">
        <w:t xml:space="preserve">the content that </w:t>
      </w:r>
      <w:r w:rsidR="009F1C4D">
        <w:t>it</w:t>
      </w:r>
      <w:r w:rsidR="00EF1748">
        <w:t xml:space="preserve"> offers, </w:t>
      </w:r>
      <w:r w:rsidR="007113B6">
        <w:t xml:space="preserve">and </w:t>
      </w:r>
      <w:r w:rsidR="00EF1748">
        <w:t xml:space="preserve">how it relates to the wider debate. </w:t>
      </w:r>
    </w:p>
    <w:p w:rsidR="0072703F" w:rsidRDefault="00EF1748" w:rsidP="00997446">
      <w:pPr>
        <w:spacing w:line="360" w:lineRule="auto"/>
      </w:pPr>
      <w:r>
        <w:t>Marc Bloch, born 6</w:t>
      </w:r>
      <w:r w:rsidRPr="00EF1748">
        <w:rPr>
          <w:vertAlign w:val="superscript"/>
        </w:rPr>
        <w:t>th</w:t>
      </w:r>
      <w:r>
        <w:t xml:space="preserve"> July 1886, was a Frenc</w:t>
      </w:r>
      <w:r w:rsidR="0062107B">
        <w:t>h</w:t>
      </w:r>
      <w:r>
        <w:t xml:space="preserve"> historian who focused on the social and political aspects of medieval society.</w:t>
      </w:r>
      <w:r w:rsidR="0062107B">
        <w:rPr>
          <w:rStyle w:val="FootnoteReference"/>
        </w:rPr>
        <w:footnoteReference w:id="2"/>
      </w:r>
      <w:r w:rsidR="00941171">
        <w:t xml:space="preserve"> He was brought up in a Jewish household that was lined with patriotic and academic roots, as seen by the fact that </w:t>
      </w:r>
      <w:r w:rsidR="00AC7375">
        <w:t xml:space="preserve">Bloch’s </w:t>
      </w:r>
      <w:r w:rsidR="0003517E">
        <w:t>great-grandfather</w:t>
      </w:r>
      <w:r w:rsidR="00AC7375">
        <w:t xml:space="preserve"> fought bravely against the Prussians in 1793</w:t>
      </w:r>
      <w:r w:rsidR="00C473B5">
        <w:t xml:space="preserve">, and </w:t>
      </w:r>
      <w:r w:rsidR="00625BF8">
        <w:t xml:space="preserve">Marc’s father, Gustave Bloch, </w:t>
      </w:r>
      <w:r w:rsidR="00C63C4D">
        <w:t>became</w:t>
      </w:r>
      <w:r w:rsidR="009F1C4D">
        <w:t xml:space="preserve"> the </w:t>
      </w:r>
      <w:r w:rsidR="00CC3B51">
        <w:t xml:space="preserve">professor of ancient history at </w:t>
      </w:r>
      <w:r w:rsidR="00C63C4D">
        <w:t xml:space="preserve">the </w:t>
      </w:r>
      <w:r w:rsidR="00CC3B51" w:rsidRPr="00CC3B51">
        <w:rPr>
          <w:i/>
        </w:rPr>
        <w:t xml:space="preserve">Ecole </w:t>
      </w:r>
      <w:proofErr w:type="spellStart"/>
      <w:r w:rsidR="00CC3B51" w:rsidRPr="00CC3B51">
        <w:rPr>
          <w:i/>
        </w:rPr>
        <w:t>Normale</w:t>
      </w:r>
      <w:proofErr w:type="spellEnd"/>
      <w:r w:rsidR="00CC3B51" w:rsidRPr="00CC3B51">
        <w:rPr>
          <w:i/>
        </w:rPr>
        <w:t xml:space="preserve"> </w:t>
      </w:r>
      <w:proofErr w:type="spellStart"/>
      <w:r w:rsidR="00CC3B51" w:rsidRPr="00CC3B51">
        <w:rPr>
          <w:i/>
        </w:rPr>
        <w:t>Sup</w:t>
      </w:r>
      <w:r w:rsidR="00CC3B51" w:rsidRPr="00CC3B51">
        <w:rPr>
          <w:rFonts w:cstheme="minorHAnsi"/>
          <w:i/>
        </w:rPr>
        <w:t>é</w:t>
      </w:r>
      <w:r w:rsidR="00CC3B51" w:rsidRPr="00CC3B51">
        <w:rPr>
          <w:i/>
        </w:rPr>
        <w:t>rieure</w:t>
      </w:r>
      <w:proofErr w:type="spellEnd"/>
      <w:r w:rsidR="00CC3B51">
        <w:t>.</w:t>
      </w:r>
      <w:r w:rsidR="00300007">
        <w:t xml:space="preserve"> As can be seen, Marc Bloch was brought up in a family that had both strong military and intellectual ties and, as such, he was most likely highly patriotic and extremely intelligent.</w:t>
      </w:r>
      <w:r w:rsidR="00300007" w:rsidRPr="00300007">
        <w:t xml:space="preserve"> </w:t>
      </w:r>
      <w:r w:rsidR="00300007">
        <w:t>Both ideas can be seen by the fact that Marc became a professor at the University of Strasbourg and that he fought in both World War</w:t>
      </w:r>
      <w:r w:rsidR="009F1C4D">
        <w:t>s</w:t>
      </w:r>
      <w:r w:rsidR="00300007">
        <w:t>, the latter of which he became a leading authority in the French Resistance, eventually being captured and killed by the Nazis</w:t>
      </w:r>
      <w:r w:rsidR="009F1C4D">
        <w:t xml:space="preserve"> in 1944</w:t>
      </w:r>
      <w:r w:rsidR="00300007">
        <w:t>.</w:t>
      </w:r>
      <w:r w:rsidR="00CC3B51">
        <w:rPr>
          <w:rStyle w:val="FootnoteReference"/>
        </w:rPr>
        <w:footnoteReference w:id="3"/>
      </w:r>
      <w:r w:rsidR="004E6619">
        <w:t xml:space="preserve"> </w:t>
      </w:r>
      <w:r w:rsidR="009B1ED1">
        <w:t>All of these factors</w:t>
      </w:r>
      <w:r w:rsidR="00DD6CB1">
        <w:t xml:space="preserve"> </w:t>
      </w:r>
      <w:r w:rsidR="007113B6">
        <w:t xml:space="preserve">had a vast impact on Bloch’s writings and interest in feudalism, as seen by some of his other </w:t>
      </w:r>
      <w:r w:rsidR="00A767AE">
        <w:t>works</w:t>
      </w:r>
      <w:r w:rsidR="007113B6">
        <w:t xml:space="preserve">, such as ‘The Royal Touch’ and ‘French Rural History’, that also </w:t>
      </w:r>
      <w:r w:rsidR="00A767AE">
        <w:t>relate to</w:t>
      </w:r>
      <w:r w:rsidR="007113B6">
        <w:t xml:space="preserve"> this concept of feudalism.</w:t>
      </w:r>
      <w:r w:rsidR="007113B6">
        <w:rPr>
          <w:rStyle w:val="FootnoteReference"/>
        </w:rPr>
        <w:footnoteReference w:id="4"/>
      </w:r>
    </w:p>
    <w:p w:rsidR="007113B6" w:rsidRDefault="007113B6" w:rsidP="00997446">
      <w:pPr>
        <w:spacing w:line="360" w:lineRule="auto"/>
      </w:pPr>
      <w:r>
        <w:t xml:space="preserve">With more focus on this specific extract, </w:t>
      </w:r>
      <w:r>
        <w:rPr>
          <w:rFonts w:eastAsia="Times New Roman" w:cstheme="minorHAnsi"/>
          <w:lang w:eastAsia="en-GB"/>
        </w:rPr>
        <w:t xml:space="preserve">I would suggest that the target audience for Bloch’s </w:t>
      </w:r>
      <w:r w:rsidRPr="007113B6">
        <w:rPr>
          <w:rFonts w:eastAsia="Times New Roman" w:cstheme="minorHAnsi"/>
          <w:i/>
          <w:lang w:eastAsia="en-GB"/>
        </w:rPr>
        <w:t>Feudal Society</w:t>
      </w:r>
      <w:r>
        <w:rPr>
          <w:rFonts w:eastAsia="Times New Roman" w:cstheme="minorHAnsi"/>
          <w:lang w:eastAsia="en-GB"/>
        </w:rPr>
        <w:t xml:space="preserve"> is one of academic status. This is because Bloch seems to use terms that he does not define, which implies that he expects the audience to already know these terms</w:t>
      </w:r>
      <w:r w:rsidR="00CC1D12">
        <w:rPr>
          <w:rFonts w:eastAsia="Times New Roman" w:cstheme="minorHAnsi"/>
          <w:lang w:eastAsia="en-GB"/>
        </w:rPr>
        <w:t>,</w:t>
      </w:r>
      <w:r w:rsidR="00CC1D12">
        <w:rPr>
          <w:rFonts w:eastAsia="Times New Roman" w:cstheme="minorHAnsi"/>
          <w:szCs w:val="24"/>
          <w:lang w:eastAsia="en-GB"/>
        </w:rPr>
        <w:t xml:space="preserve"> which an academic audience would</w:t>
      </w:r>
      <w:r w:rsidR="0072703F">
        <w:rPr>
          <w:rFonts w:eastAsia="Times New Roman" w:cstheme="minorHAnsi"/>
          <w:szCs w:val="24"/>
          <w:lang w:eastAsia="en-GB"/>
        </w:rPr>
        <w:t xml:space="preserve">. Despite this, some of the content in this </w:t>
      </w:r>
      <w:r w:rsidR="0072703F" w:rsidRPr="009D05F7">
        <w:rPr>
          <w:rFonts w:eastAsia="Times New Roman" w:cstheme="minorHAnsi"/>
          <w:szCs w:val="24"/>
          <w:lang w:eastAsia="en-GB"/>
        </w:rPr>
        <w:t xml:space="preserve">extract may not have been what Bloch intended, as it has been translated from the original French text. This potentially means that some of </w:t>
      </w:r>
      <w:r w:rsidR="0072703F" w:rsidRPr="009D05F7">
        <w:rPr>
          <w:rFonts w:eastAsia="Times New Roman" w:cstheme="minorHAnsi"/>
          <w:szCs w:val="24"/>
          <w:lang w:eastAsia="en-GB"/>
        </w:rPr>
        <w:lastRenderedPageBreak/>
        <w:t>the content may have been lost in translation and as such, this</w:t>
      </w:r>
      <w:r w:rsidR="0072703F">
        <w:rPr>
          <w:rFonts w:eastAsia="Times New Roman" w:cstheme="minorHAnsi"/>
          <w:szCs w:val="24"/>
          <w:lang w:eastAsia="en-GB"/>
        </w:rPr>
        <w:t xml:space="preserve"> </w:t>
      </w:r>
      <w:r w:rsidR="009D05F7">
        <w:t xml:space="preserve">account </w:t>
      </w:r>
      <w:r w:rsidR="009D3BB9">
        <w:t xml:space="preserve">of Bloch’s </w:t>
      </w:r>
      <w:r w:rsidR="009D3BB9" w:rsidRPr="009D3BB9">
        <w:rPr>
          <w:i/>
        </w:rPr>
        <w:t>Feudal Society</w:t>
      </w:r>
      <w:r w:rsidR="009D3BB9">
        <w:t xml:space="preserve"> may not be completely accurate.</w:t>
      </w:r>
    </w:p>
    <w:p w:rsidR="00626214" w:rsidRDefault="00EC702E" w:rsidP="00997446">
      <w:pPr>
        <w:spacing w:line="360" w:lineRule="auto"/>
        <w:rPr>
          <w:rFonts w:eastAsia="Times New Roman" w:cstheme="minorHAnsi"/>
          <w:szCs w:val="24"/>
          <w:lang w:eastAsia="en-GB"/>
        </w:rPr>
      </w:pPr>
      <w:r>
        <w:t>Continuing from this, we must consider the content that Bloch has included and whether it aids him in his argument.</w:t>
      </w:r>
      <w:r w:rsidR="00646DB8">
        <w:t xml:space="preserve"> The main content can be seen by the sub-heading</w:t>
      </w:r>
      <w:r w:rsidR="009F1C4D">
        <w:t>s</w:t>
      </w:r>
      <w:r w:rsidR="00646DB8">
        <w:t xml:space="preserve"> within the chapter, which focus on the different types of feudalism, </w:t>
      </w:r>
      <w:r w:rsidR="0075247F">
        <w:t xml:space="preserve">the different areas </w:t>
      </w:r>
      <w:r w:rsidR="00D2180A">
        <w:t>and</w:t>
      </w:r>
      <w:r w:rsidR="0075247F">
        <w:t xml:space="preserve"> time periods that it occurs in</w:t>
      </w:r>
      <w:r w:rsidR="00D2180A">
        <w:t xml:space="preserve">, as well as </w:t>
      </w:r>
      <w:r w:rsidR="00A767AE">
        <w:t>its</w:t>
      </w:r>
      <w:r w:rsidR="0075247F">
        <w:t xml:space="preserve"> decline and subsequent rise, </w:t>
      </w:r>
      <w:r w:rsidR="00D2180A">
        <w:t xml:space="preserve">and </w:t>
      </w:r>
      <w:r w:rsidR="0075247F">
        <w:t>finally the impacts of this social structure on modern society.</w:t>
      </w:r>
      <w:r w:rsidR="00D2180A">
        <w:t xml:space="preserve"> </w:t>
      </w:r>
      <w:r w:rsidR="00B31553">
        <w:rPr>
          <w:rFonts w:eastAsia="Times New Roman" w:cstheme="minorHAnsi"/>
          <w:szCs w:val="24"/>
          <w:lang w:eastAsia="en-GB"/>
        </w:rPr>
        <w:t>Also, Bloch uses a wide variety of sources</w:t>
      </w:r>
      <w:r w:rsidR="00915EF4">
        <w:rPr>
          <w:rFonts w:eastAsia="Times New Roman" w:cstheme="minorHAnsi"/>
          <w:szCs w:val="24"/>
          <w:lang w:eastAsia="en-GB"/>
        </w:rPr>
        <w:t>, dating from the age of enlightenment,</w:t>
      </w:r>
      <w:r w:rsidR="00B31553">
        <w:rPr>
          <w:rFonts w:eastAsia="Times New Roman" w:cstheme="minorHAnsi"/>
          <w:szCs w:val="24"/>
          <w:lang w:eastAsia="en-GB"/>
        </w:rPr>
        <w:t xml:space="preserve"> to back up his point, such as the works of </w:t>
      </w:r>
      <w:r w:rsidR="000E5A7C">
        <w:rPr>
          <w:rFonts w:eastAsia="Times New Roman" w:cstheme="minorHAnsi"/>
          <w:szCs w:val="24"/>
          <w:lang w:eastAsia="en-GB"/>
        </w:rPr>
        <w:t>Montesquieu (who claim</w:t>
      </w:r>
      <w:r w:rsidR="00A767AE">
        <w:rPr>
          <w:rFonts w:eastAsia="Times New Roman" w:cstheme="minorHAnsi"/>
          <w:szCs w:val="24"/>
          <w:lang w:eastAsia="en-GB"/>
        </w:rPr>
        <w:t>s</w:t>
      </w:r>
      <w:r w:rsidR="000E5A7C">
        <w:rPr>
          <w:rFonts w:eastAsia="Times New Roman" w:cstheme="minorHAnsi"/>
          <w:szCs w:val="24"/>
          <w:lang w:eastAsia="en-GB"/>
        </w:rPr>
        <w:t xml:space="preserve"> that feudalism was a </w:t>
      </w:r>
      <w:r w:rsidR="009F1C4D">
        <w:rPr>
          <w:rFonts w:eastAsia="Times New Roman" w:cstheme="minorHAnsi"/>
          <w:szCs w:val="24"/>
          <w:lang w:eastAsia="en-GB"/>
        </w:rPr>
        <w:t>one-off</w:t>
      </w:r>
      <w:r w:rsidR="000E5A7C">
        <w:rPr>
          <w:rFonts w:eastAsia="Times New Roman" w:cstheme="minorHAnsi"/>
          <w:szCs w:val="24"/>
          <w:lang w:eastAsia="en-GB"/>
        </w:rPr>
        <w:t xml:space="preserve"> event) and Voltaire (who suggests </w:t>
      </w:r>
      <w:r w:rsidR="001C7EDA">
        <w:rPr>
          <w:rFonts w:eastAsia="Times New Roman" w:cstheme="minorHAnsi"/>
          <w:szCs w:val="24"/>
          <w:lang w:eastAsia="en-GB"/>
        </w:rPr>
        <w:t>that feudalism</w:t>
      </w:r>
      <w:r w:rsidR="00D67FFB">
        <w:rPr>
          <w:rFonts w:eastAsia="Times New Roman" w:cstheme="minorHAnsi"/>
          <w:szCs w:val="24"/>
          <w:lang w:eastAsia="en-GB"/>
        </w:rPr>
        <w:t xml:space="preserve"> is a very old social structure)</w:t>
      </w:r>
      <w:r w:rsidR="000E5A7C">
        <w:rPr>
          <w:rFonts w:eastAsia="Times New Roman" w:cstheme="minorHAnsi"/>
          <w:szCs w:val="24"/>
          <w:lang w:eastAsia="en-GB"/>
        </w:rPr>
        <w:t xml:space="preserve">. </w:t>
      </w:r>
      <w:r w:rsidR="00ED032E">
        <w:rPr>
          <w:rFonts w:eastAsia="Times New Roman" w:cstheme="minorHAnsi"/>
          <w:szCs w:val="24"/>
          <w:lang w:eastAsia="en-GB"/>
        </w:rPr>
        <w:t xml:space="preserve">Bloch uses these scholars to give a brief introduction to the different historiographical views that he is about to contribute to. </w:t>
      </w:r>
      <w:r w:rsidR="00D2180A">
        <w:rPr>
          <w:rFonts w:eastAsia="Times New Roman" w:cstheme="minorHAnsi"/>
          <w:szCs w:val="24"/>
          <w:lang w:eastAsia="en-GB"/>
        </w:rPr>
        <w:t>Furthermore,</w:t>
      </w:r>
      <w:r w:rsidR="00E5176F">
        <w:rPr>
          <w:rFonts w:eastAsia="Times New Roman" w:cstheme="minorHAnsi"/>
          <w:szCs w:val="24"/>
          <w:lang w:eastAsia="en-GB"/>
        </w:rPr>
        <w:t xml:space="preserve"> the phrase</w:t>
      </w:r>
      <w:r w:rsidR="00D2180A">
        <w:rPr>
          <w:rFonts w:eastAsia="Times New Roman" w:cstheme="minorHAnsi"/>
          <w:szCs w:val="24"/>
          <w:lang w:eastAsia="en-GB"/>
        </w:rPr>
        <w:t xml:space="preserve"> “Do the various exotic versions of Feudalism</w:t>
      </w:r>
      <w:r w:rsidR="00EF4D64">
        <w:rPr>
          <w:rFonts w:eastAsia="Times New Roman" w:cstheme="minorHAnsi"/>
          <w:szCs w:val="24"/>
          <w:lang w:eastAsia="en-GB"/>
        </w:rPr>
        <w:t>…. conform</w:t>
      </w:r>
      <w:r w:rsidR="00D2180A">
        <w:rPr>
          <w:rFonts w:eastAsia="Times New Roman" w:cstheme="minorHAnsi"/>
          <w:szCs w:val="24"/>
          <w:lang w:eastAsia="en-GB"/>
        </w:rPr>
        <w:t xml:space="preserve"> to </w:t>
      </w:r>
      <w:proofErr w:type="spellStart"/>
      <w:r w:rsidR="00D2180A">
        <w:rPr>
          <w:rFonts w:eastAsia="Times New Roman" w:cstheme="minorHAnsi"/>
          <w:szCs w:val="24"/>
          <w:lang w:eastAsia="en-GB"/>
        </w:rPr>
        <w:t>Guérand’s</w:t>
      </w:r>
      <w:proofErr w:type="spellEnd"/>
      <w:r w:rsidR="00D2180A">
        <w:rPr>
          <w:rFonts w:eastAsia="Times New Roman" w:cstheme="minorHAnsi"/>
          <w:szCs w:val="24"/>
          <w:lang w:eastAsia="en-GB"/>
        </w:rPr>
        <w:t xml:space="preserve"> </w:t>
      </w:r>
      <w:r w:rsidR="00B31553">
        <w:rPr>
          <w:rFonts w:eastAsia="Times New Roman" w:cstheme="minorHAnsi"/>
          <w:szCs w:val="24"/>
          <w:lang w:eastAsia="en-GB"/>
        </w:rPr>
        <w:t>definition</w:t>
      </w:r>
      <w:r w:rsidR="00D2180A">
        <w:rPr>
          <w:rFonts w:eastAsia="Times New Roman" w:cstheme="minorHAnsi"/>
          <w:szCs w:val="24"/>
          <w:lang w:eastAsia="en-GB"/>
        </w:rPr>
        <w:t xml:space="preserve"> or to </w:t>
      </w:r>
      <w:proofErr w:type="spellStart"/>
      <w:r w:rsidR="00D2180A">
        <w:rPr>
          <w:rFonts w:eastAsia="Times New Roman" w:cstheme="minorHAnsi"/>
          <w:szCs w:val="24"/>
          <w:lang w:eastAsia="en-GB"/>
        </w:rPr>
        <w:t>Flach’s</w:t>
      </w:r>
      <w:proofErr w:type="spellEnd"/>
      <w:r w:rsidR="00D2180A">
        <w:rPr>
          <w:rFonts w:eastAsia="Times New Roman" w:cstheme="minorHAnsi"/>
          <w:szCs w:val="24"/>
          <w:lang w:eastAsia="en-GB"/>
        </w:rPr>
        <w:t>?”</w:t>
      </w:r>
      <w:r w:rsidR="00DD6CB1">
        <w:rPr>
          <w:rFonts w:eastAsia="Times New Roman" w:cstheme="minorHAnsi"/>
          <w:szCs w:val="24"/>
          <w:lang w:eastAsia="en-GB"/>
        </w:rPr>
        <w:t xml:space="preserve"> is an example of </w:t>
      </w:r>
      <w:r w:rsidR="00DD6CB1">
        <w:rPr>
          <w:rFonts w:eastAsia="Times New Roman" w:cstheme="minorHAnsi"/>
          <w:szCs w:val="24"/>
          <w:lang w:eastAsia="en-GB"/>
        </w:rPr>
        <w:t>Bloch</w:t>
      </w:r>
      <w:r w:rsidR="00DD6CB1">
        <w:rPr>
          <w:rFonts w:eastAsia="Times New Roman" w:cstheme="minorHAnsi"/>
          <w:szCs w:val="24"/>
          <w:lang w:eastAsia="en-GB"/>
        </w:rPr>
        <w:t>’s</w:t>
      </w:r>
      <w:r w:rsidR="00DD6CB1">
        <w:rPr>
          <w:rFonts w:eastAsia="Times New Roman" w:cstheme="minorHAnsi"/>
          <w:szCs w:val="24"/>
          <w:lang w:eastAsia="en-GB"/>
        </w:rPr>
        <w:t xml:space="preserve"> use of rhetorical questions</w:t>
      </w:r>
      <w:r w:rsidR="00DD6CB1">
        <w:rPr>
          <w:rFonts w:eastAsia="Times New Roman" w:cstheme="minorHAnsi"/>
          <w:szCs w:val="24"/>
          <w:lang w:eastAsia="en-GB"/>
        </w:rPr>
        <w:t xml:space="preserve"> as he</w:t>
      </w:r>
      <w:r w:rsidR="00B31553">
        <w:rPr>
          <w:rFonts w:eastAsia="Times New Roman" w:cstheme="minorHAnsi"/>
          <w:szCs w:val="24"/>
          <w:lang w:eastAsia="en-GB"/>
        </w:rPr>
        <w:t xml:space="preserve"> isn’t expecting the</w:t>
      </w:r>
      <w:r w:rsidR="00E5176F">
        <w:rPr>
          <w:rFonts w:eastAsia="Times New Roman" w:cstheme="minorHAnsi"/>
          <w:szCs w:val="24"/>
          <w:lang w:eastAsia="en-GB"/>
        </w:rPr>
        <w:t xml:space="preserve"> reader</w:t>
      </w:r>
      <w:r w:rsidR="00B31553">
        <w:rPr>
          <w:rFonts w:eastAsia="Times New Roman" w:cstheme="minorHAnsi"/>
          <w:szCs w:val="24"/>
          <w:lang w:eastAsia="en-GB"/>
        </w:rPr>
        <w:t xml:space="preserve"> to answer, but he is outlining what he will be considering in the subsequent chapter</w:t>
      </w:r>
      <w:r w:rsidR="00D2180A">
        <w:rPr>
          <w:rFonts w:eastAsia="Times New Roman" w:cstheme="minorHAnsi"/>
          <w:szCs w:val="24"/>
          <w:lang w:eastAsia="en-GB"/>
        </w:rPr>
        <w:t>.</w:t>
      </w:r>
      <w:r w:rsidR="00D2180A">
        <w:rPr>
          <w:rStyle w:val="FootnoteReference"/>
          <w:rFonts w:eastAsia="Times New Roman" w:cstheme="minorHAnsi"/>
          <w:szCs w:val="24"/>
          <w:lang w:eastAsia="en-GB"/>
        </w:rPr>
        <w:footnoteReference w:id="5"/>
      </w:r>
      <w:r w:rsidR="00D2180A">
        <w:rPr>
          <w:rFonts w:eastAsia="Times New Roman" w:cstheme="minorHAnsi"/>
          <w:szCs w:val="24"/>
          <w:lang w:eastAsia="en-GB"/>
        </w:rPr>
        <w:t xml:space="preserve"> </w:t>
      </w:r>
      <w:r w:rsidR="00B3431E">
        <w:rPr>
          <w:rFonts w:eastAsia="Times New Roman" w:cstheme="minorHAnsi"/>
          <w:szCs w:val="24"/>
          <w:lang w:eastAsia="en-GB"/>
        </w:rPr>
        <w:t>Even though</w:t>
      </w:r>
      <w:r w:rsidR="00B636E1">
        <w:rPr>
          <w:rFonts w:eastAsia="Times New Roman" w:cstheme="minorHAnsi"/>
          <w:szCs w:val="24"/>
          <w:lang w:eastAsia="en-GB"/>
        </w:rPr>
        <w:t xml:space="preserve"> Bloch uses a range of different focus areas</w:t>
      </w:r>
      <w:r w:rsidR="00B3431E">
        <w:rPr>
          <w:rFonts w:eastAsia="Times New Roman" w:cstheme="minorHAnsi"/>
          <w:szCs w:val="24"/>
          <w:lang w:eastAsia="en-GB"/>
        </w:rPr>
        <w:t xml:space="preserve">, </w:t>
      </w:r>
      <w:r w:rsidR="009F1C4D">
        <w:rPr>
          <w:rFonts w:eastAsia="Times New Roman" w:cstheme="minorHAnsi"/>
          <w:szCs w:val="24"/>
          <w:lang w:eastAsia="en-GB"/>
        </w:rPr>
        <w:t xml:space="preserve">some suggest that </w:t>
      </w:r>
      <w:r w:rsidR="00B3431E">
        <w:rPr>
          <w:rFonts w:eastAsia="Times New Roman" w:cstheme="minorHAnsi"/>
          <w:szCs w:val="24"/>
          <w:lang w:eastAsia="en-GB"/>
        </w:rPr>
        <w:t xml:space="preserve">he </w:t>
      </w:r>
      <w:r w:rsidR="00B07D9E">
        <w:rPr>
          <w:rFonts w:eastAsia="Times New Roman" w:cstheme="minorHAnsi"/>
          <w:szCs w:val="24"/>
          <w:lang w:eastAsia="en-GB"/>
        </w:rPr>
        <w:t>fails</w:t>
      </w:r>
      <w:r w:rsidR="00B3431E">
        <w:rPr>
          <w:rFonts w:eastAsia="Times New Roman" w:cstheme="minorHAnsi"/>
          <w:szCs w:val="24"/>
          <w:lang w:eastAsia="en-GB"/>
        </w:rPr>
        <w:t xml:space="preserve"> </w:t>
      </w:r>
      <w:r w:rsidR="00040D93">
        <w:rPr>
          <w:rFonts w:eastAsia="Times New Roman" w:cstheme="minorHAnsi"/>
          <w:szCs w:val="24"/>
          <w:lang w:eastAsia="en-GB"/>
        </w:rPr>
        <w:t>to</w:t>
      </w:r>
      <w:r w:rsidR="009F1C4D">
        <w:rPr>
          <w:rFonts w:eastAsia="Times New Roman" w:cstheme="minorHAnsi"/>
          <w:szCs w:val="24"/>
          <w:lang w:eastAsia="en-GB"/>
        </w:rPr>
        <w:t xml:space="preserve"> </w:t>
      </w:r>
      <w:r w:rsidR="00B3431E">
        <w:rPr>
          <w:rFonts w:eastAsia="Times New Roman" w:cstheme="minorHAnsi"/>
          <w:szCs w:val="24"/>
          <w:lang w:eastAsia="en-GB"/>
        </w:rPr>
        <w:t xml:space="preserve">consider the views of </w:t>
      </w:r>
      <w:r w:rsidR="00B07D9E">
        <w:rPr>
          <w:rFonts w:eastAsia="Times New Roman" w:cstheme="minorHAnsi"/>
          <w:szCs w:val="24"/>
          <w:lang w:eastAsia="en-GB"/>
        </w:rPr>
        <w:t>other opposing</w:t>
      </w:r>
      <w:r w:rsidR="00B3431E">
        <w:rPr>
          <w:rFonts w:eastAsia="Times New Roman" w:cstheme="minorHAnsi"/>
          <w:szCs w:val="24"/>
          <w:lang w:eastAsia="en-GB"/>
        </w:rPr>
        <w:t xml:space="preserve"> feudalism scholars, such as Elizabeth Brown</w:t>
      </w:r>
      <w:r w:rsidR="0079364F">
        <w:rPr>
          <w:rFonts w:eastAsia="Times New Roman" w:cstheme="minorHAnsi"/>
          <w:szCs w:val="24"/>
          <w:lang w:eastAsia="en-GB"/>
        </w:rPr>
        <w:t xml:space="preserve">. </w:t>
      </w:r>
      <w:r w:rsidR="00B07D9E">
        <w:rPr>
          <w:rFonts w:eastAsia="Times New Roman" w:cstheme="minorHAnsi"/>
          <w:szCs w:val="24"/>
          <w:lang w:eastAsia="en-GB"/>
        </w:rPr>
        <w:t xml:space="preserve">In her book </w:t>
      </w:r>
      <w:r w:rsidR="00B07D9E" w:rsidRPr="00B07D9E">
        <w:rPr>
          <w:rFonts w:eastAsia="Times New Roman" w:cstheme="minorHAnsi"/>
          <w:i/>
          <w:szCs w:val="24"/>
          <w:lang w:eastAsia="en-GB"/>
        </w:rPr>
        <w:t>A Tyranny of a Construct</w:t>
      </w:r>
      <w:r w:rsidR="00B07D9E">
        <w:rPr>
          <w:rFonts w:eastAsia="Times New Roman" w:cstheme="minorHAnsi"/>
          <w:szCs w:val="24"/>
          <w:lang w:eastAsia="en-GB"/>
        </w:rPr>
        <w:t xml:space="preserve">, </w:t>
      </w:r>
      <w:r w:rsidR="0079364F">
        <w:rPr>
          <w:rFonts w:eastAsia="Times New Roman" w:cstheme="minorHAnsi"/>
          <w:szCs w:val="24"/>
          <w:lang w:eastAsia="en-GB"/>
        </w:rPr>
        <w:t>Brown claims that</w:t>
      </w:r>
      <w:r w:rsidR="0009492B">
        <w:rPr>
          <w:rFonts w:eastAsia="Times New Roman" w:cstheme="minorHAnsi"/>
          <w:szCs w:val="24"/>
          <w:lang w:eastAsia="en-GB"/>
        </w:rPr>
        <w:t xml:space="preserve"> </w:t>
      </w:r>
      <w:r w:rsidR="00867B32">
        <w:rPr>
          <w:rFonts w:eastAsia="Times New Roman" w:cstheme="minorHAnsi"/>
          <w:szCs w:val="24"/>
          <w:lang w:eastAsia="en-GB"/>
        </w:rPr>
        <w:t xml:space="preserve">“the tyrant </w:t>
      </w:r>
      <w:r w:rsidR="0009492B">
        <w:rPr>
          <w:rFonts w:eastAsia="Times New Roman" w:cstheme="minorHAnsi"/>
          <w:szCs w:val="24"/>
          <w:lang w:eastAsia="en-GB"/>
        </w:rPr>
        <w:t>feudalism</w:t>
      </w:r>
      <w:r w:rsidR="00867B32">
        <w:rPr>
          <w:rFonts w:eastAsia="Times New Roman" w:cstheme="minorHAnsi"/>
          <w:szCs w:val="24"/>
          <w:lang w:eastAsia="en-GB"/>
        </w:rPr>
        <w:t xml:space="preserve"> must be declared once and for all deposed and its influence over students of the Middle Ages finally ended”</w:t>
      </w:r>
      <w:r w:rsidR="0009492B">
        <w:rPr>
          <w:rFonts w:eastAsia="Times New Roman" w:cstheme="minorHAnsi"/>
          <w:szCs w:val="24"/>
          <w:lang w:eastAsia="en-GB"/>
        </w:rPr>
        <w:t>.</w:t>
      </w:r>
      <w:r w:rsidR="00867B32">
        <w:rPr>
          <w:rStyle w:val="FootnoteReference"/>
          <w:rFonts w:eastAsia="Times New Roman" w:cstheme="minorHAnsi"/>
          <w:szCs w:val="24"/>
          <w:lang w:eastAsia="en-GB"/>
        </w:rPr>
        <w:footnoteReference w:id="6"/>
      </w:r>
      <w:r w:rsidR="005C7FBA">
        <w:rPr>
          <w:rFonts w:eastAsia="Times New Roman" w:cstheme="minorHAnsi"/>
          <w:szCs w:val="24"/>
          <w:lang w:eastAsia="en-GB"/>
        </w:rPr>
        <w:t xml:space="preserve"> Despite this weakness, Bloch</w:t>
      </w:r>
      <w:r w:rsidR="009F1C4D">
        <w:rPr>
          <w:rFonts w:eastAsia="Times New Roman" w:cstheme="minorHAnsi"/>
          <w:szCs w:val="24"/>
          <w:lang w:eastAsia="en-GB"/>
        </w:rPr>
        <w:t>’s</w:t>
      </w:r>
      <w:r w:rsidR="005C7FBA">
        <w:rPr>
          <w:rFonts w:eastAsia="Times New Roman" w:cstheme="minorHAnsi"/>
          <w:szCs w:val="24"/>
          <w:lang w:eastAsia="en-GB"/>
        </w:rPr>
        <w:t xml:space="preserve"> book is overall successful as it </w:t>
      </w:r>
      <w:r w:rsidR="00ED032E">
        <w:t xml:space="preserve">allows for a text that is relatively easy to read, at least for those academics who have some basic knowledge of the concept, </w:t>
      </w:r>
      <w:r w:rsidR="0084123B">
        <w:t xml:space="preserve">as well as successfully demonstrating his key argument that </w:t>
      </w:r>
      <w:r w:rsidR="00ED032E">
        <w:rPr>
          <w:rFonts w:eastAsia="Times New Roman" w:cstheme="minorHAnsi"/>
          <w:szCs w:val="24"/>
          <w:lang w:eastAsia="en-GB"/>
        </w:rPr>
        <w:t xml:space="preserve">feudalism has occurred at multiple times in multiple places. </w:t>
      </w:r>
      <w:r w:rsidR="0084123B">
        <w:rPr>
          <w:rFonts w:eastAsia="Times New Roman" w:cstheme="minorHAnsi"/>
          <w:szCs w:val="24"/>
          <w:lang w:eastAsia="en-GB"/>
        </w:rPr>
        <w:t xml:space="preserve">Not only this, but I </w:t>
      </w:r>
      <w:r w:rsidR="000277F8">
        <w:rPr>
          <w:rFonts w:eastAsia="Times New Roman" w:cstheme="minorHAnsi"/>
          <w:szCs w:val="24"/>
          <w:lang w:eastAsia="en-GB"/>
        </w:rPr>
        <w:t>believe</w:t>
      </w:r>
      <w:r w:rsidR="00ED032E">
        <w:rPr>
          <w:rFonts w:eastAsia="Times New Roman" w:cstheme="minorHAnsi"/>
          <w:szCs w:val="24"/>
          <w:lang w:eastAsia="en-GB"/>
        </w:rPr>
        <w:t xml:space="preserve"> that the main point </w:t>
      </w:r>
      <w:r w:rsidR="0084123B">
        <w:rPr>
          <w:rFonts w:eastAsia="Times New Roman" w:cstheme="minorHAnsi"/>
          <w:szCs w:val="24"/>
          <w:lang w:eastAsia="en-GB"/>
        </w:rPr>
        <w:t xml:space="preserve">of Bloch’s book was to offer </w:t>
      </w:r>
      <w:r w:rsidR="00ED032E">
        <w:rPr>
          <w:rFonts w:eastAsia="Times New Roman" w:cstheme="minorHAnsi"/>
          <w:szCs w:val="24"/>
          <w:lang w:eastAsia="en-GB"/>
        </w:rPr>
        <w:t>a basic understanding</w:t>
      </w:r>
      <w:r w:rsidR="0084123B">
        <w:rPr>
          <w:rFonts w:eastAsia="Times New Roman" w:cstheme="minorHAnsi"/>
          <w:szCs w:val="24"/>
          <w:lang w:eastAsia="en-GB"/>
        </w:rPr>
        <w:t xml:space="preserve"> of the topic and issues, in the hope of creating a new generation of </w:t>
      </w:r>
      <w:r w:rsidR="00ED032E">
        <w:rPr>
          <w:rFonts w:eastAsia="Times New Roman" w:cstheme="minorHAnsi"/>
          <w:szCs w:val="24"/>
          <w:lang w:eastAsia="en-GB"/>
        </w:rPr>
        <w:t>feudalism</w:t>
      </w:r>
      <w:r w:rsidR="0084123B">
        <w:rPr>
          <w:rFonts w:eastAsia="Times New Roman" w:cstheme="minorHAnsi"/>
          <w:szCs w:val="24"/>
          <w:lang w:eastAsia="en-GB"/>
        </w:rPr>
        <w:t xml:space="preserve"> scholars</w:t>
      </w:r>
      <w:r w:rsidR="00ED032E">
        <w:rPr>
          <w:rFonts w:eastAsia="Times New Roman" w:cstheme="minorHAnsi"/>
          <w:szCs w:val="24"/>
          <w:lang w:eastAsia="en-GB"/>
        </w:rPr>
        <w:t xml:space="preserve">. </w:t>
      </w:r>
      <w:r w:rsidR="00626214">
        <w:rPr>
          <w:rFonts w:eastAsia="Times New Roman" w:cstheme="minorHAnsi"/>
          <w:szCs w:val="24"/>
          <w:lang w:eastAsia="en-GB"/>
        </w:rPr>
        <w:t xml:space="preserve">As can be seen, Bloch’s </w:t>
      </w:r>
      <w:r w:rsidR="00626214" w:rsidRPr="00626214">
        <w:rPr>
          <w:rFonts w:eastAsia="Times New Roman" w:cstheme="minorHAnsi"/>
          <w:i/>
          <w:szCs w:val="24"/>
          <w:lang w:eastAsia="en-GB"/>
        </w:rPr>
        <w:t>Feudal Society</w:t>
      </w:r>
      <w:r w:rsidR="00626214">
        <w:rPr>
          <w:rFonts w:eastAsia="Times New Roman" w:cstheme="minorHAnsi"/>
          <w:szCs w:val="24"/>
          <w:lang w:eastAsia="en-GB"/>
        </w:rPr>
        <w:t xml:space="preserve"> successfully portrays his argument, but it is also important to consider the </w:t>
      </w:r>
      <w:r w:rsidR="00A377C3">
        <w:rPr>
          <w:rFonts w:eastAsia="Times New Roman" w:cstheme="minorHAnsi"/>
          <w:szCs w:val="24"/>
          <w:lang w:eastAsia="en-GB"/>
        </w:rPr>
        <w:t>text’s place in the wider historiographical debate</w:t>
      </w:r>
      <w:r w:rsidR="00171255">
        <w:rPr>
          <w:rFonts w:eastAsia="Times New Roman" w:cstheme="minorHAnsi"/>
          <w:szCs w:val="24"/>
          <w:lang w:eastAsia="en-GB"/>
        </w:rPr>
        <w:t>.</w:t>
      </w:r>
    </w:p>
    <w:p w:rsidR="00997446" w:rsidRDefault="00997446" w:rsidP="00997446">
      <w:pPr>
        <w:spacing w:line="360" w:lineRule="auto"/>
        <w:rPr>
          <w:rFonts w:eastAsia="Times New Roman" w:cstheme="minorHAnsi"/>
          <w:szCs w:val="24"/>
          <w:lang w:eastAsia="en-GB"/>
        </w:rPr>
      </w:pPr>
      <w:r>
        <w:rPr>
          <w:rFonts w:eastAsia="Times New Roman" w:cstheme="minorHAnsi"/>
          <w:szCs w:val="24"/>
          <w:lang w:eastAsia="en-GB"/>
        </w:rPr>
        <w:t xml:space="preserve">Finally, Bloch’s </w:t>
      </w:r>
      <w:r w:rsidRPr="00997446">
        <w:rPr>
          <w:rFonts w:eastAsia="Times New Roman" w:cstheme="minorHAnsi"/>
          <w:i/>
          <w:szCs w:val="24"/>
          <w:lang w:eastAsia="en-GB"/>
        </w:rPr>
        <w:t>Feudal Society</w:t>
      </w:r>
      <w:r>
        <w:rPr>
          <w:rFonts w:eastAsia="Times New Roman" w:cstheme="minorHAnsi"/>
          <w:szCs w:val="24"/>
          <w:lang w:eastAsia="en-GB"/>
        </w:rPr>
        <w:t xml:space="preserve"> does have a large part to play in the overall historiographical </w:t>
      </w:r>
      <w:r w:rsidR="00915EF4">
        <w:rPr>
          <w:rFonts w:eastAsia="Times New Roman" w:cstheme="minorHAnsi"/>
          <w:szCs w:val="24"/>
          <w:lang w:eastAsia="en-GB"/>
        </w:rPr>
        <w:t>context</w:t>
      </w:r>
      <w:r>
        <w:rPr>
          <w:rFonts w:eastAsia="Times New Roman" w:cstheme="minorHAnsi"/>
          <w:szCs w:val="24"/>
          <w:lang w:eastAsia="en-GB"/>
        </w:rPr>
        <w:t xml:space="preserve"> as it offer</w:t>
      </w:r>
      <w:r w:rsidR="00915EF4">
        <w:rPr>
          <w:rFonts w:eastAsia="Times New Roman" w:cstheme="minorHAnsi"/>
          <w:szCs w:val="24"/>
          <w:lang w:eastAsia="en-GB"/>
        </w:rPr>
        <w:t>s</w:t>
      </w:r>
      <w:r>
        <w:rPr>
          <w:rFonts w:eastAsia="Times New Roman" w:cstheme="minorHAnsi"/>
          <w:szCs w:val="24"/>
          <w:lang w:eastAsia="en-GB"/>
        </w:rPr>
        <w:t xml:space="preserve"> a new, scientific approach</w:t>
      </w:r>
      <w:r w:rsidR="00915EF4">
        <w:rPr>
          <w:rFonts w:eastAsia="Times New Roman" w:cstheme="minorHAnsi"/>
          <w:szCs w:val="24"/>
          <w:lang w:eastAsia="en-GB"/>
        </w:rPr>
        <w:t xml:space="preserve"> to the debate</w:t>
      </w:r>
      <w:r>
        <w:rPr>
          <w:rFonts w:eastAsia="Times New Roman" w:cstheme="minorHAnsi"/>
          <w:szCs w:val="24"/>
          <w:lang w:eastAsia="en-GB"/>
        </w:rPr>
        <w:t xml:space="preserve">. </w:t>
      </w:r>
      <w:r w:rsidR="00854938">
        <w:rPr>
          <w:rFonts w:eastAsia="Times New Roman" w:cstheme="minorHAnsi"/>
          <w:szCs w:val="24"/>
          <w:lang w:eastAsia="en-GB"/>
        </w:rPr>
        <w:t>This can be witnessed i</w:t>
      </w:r>
      <w:r>
        <w:rPr>
          <w:rFonts w:eastAsia="Times New Roman" w:cstheme="minorHAnsi"/>
          <w:szCs w:val="24"/>
          <w:lang w:eastAsia="en-GB"/>
        </w:rPr>
        <w:t xml:space="preserve">n </w:t>
      </w:r>
      <w:r w:rsidR="00854938">
        <w:rPr>
          <w:rFonts w:eastAsia="Times New Roman" w:cstheme="minorHAnsi"/>
          <w:szCs w:val="24"/>
          <w:lang w:eastAsia="en-GB"/>
        </w:rPr>
        <w:t xml:space="preserve">the foreword of the </w:t>
      </w:r>
      <w:r w:rsidR="00350A41">
        <w:rPr>
          <w:rFonts w:eastAsia="Times New Roman" w:cstheme="minorHAnsi"/>
          <w:szCs w:val="24"/>
          <w:lang w:eastAsia="en-GB"/>
        </w:rPr>
        <w:t xml:space="preserve">2014 </w:t>
      </w:r>
      <w:r>
        <w:rPr>
          <w:rFonts w:eastAsia="Times New Roman" w:cstheme="minorHAnsi"/>
          <w:szCs w:val="24"/>
          <w:lang w:eastAsia="en-GB"/>
        </w:rPr>
        <w:t xml:space="preserve">edition of Feudal Society, </w:t>
      </w:r>
      <w:r w:rsidR="00854938">
        <w:rPr>
          <w:rFonts w:eastAsia="Times New Roman" w:cstheme="minorHAnsi"/>
          <w:szCs w:val="24"/>
          <w:lang w:eastAsia="en-GB"/>
        </w:rPr>
        <w:t xml:space="preserve">which </w:t>
      </w:r>
      <w:r w:rsidR="003774B1">
        <w:rPr>
          <w:rFonts w:eastAsia="Times New Roman" w:cstheme="minorHAnsi"/>
          <w:szCs w:val="24"/>
          <w:lang w:eastAsia="en-GB"/>
        </w:rPr>
        <w:t xml:space="preserve">suggests that Bloch wanted to focus more on the material and social elements of the </w:t>
      </w:r>
      <w:r w:rsidR="00FC51A4">
        <w:rPr>
          <w:rFonts w:eastAsia="Times New Roman" w:cstheme="minorHAnsi"/>
          <w:szCs w:val="24"/>
          <w:lang w:eastAsia="en-GB"/>
        </w:rPr>
        <w:t>ordinary</w:t>
      </w:r>
      <w:r w:rsidR="003774B1">
        <w:rPr>
          <w:rFonts w:eastAsia="Times New Roman" w:cstheme="minorHAnsi"/>
          <w:szCs w:val="24"/>
          <w:lang w:eastAsia="en-GB"/>
        </w:rPr>
        <w:t xml:space="preserve"> rather than the </w:t>
      </w:r>
      <w:r w:rsidR="00FC51A4">
        <w:rPr>
          <w:rFonts w:eastAsia="Times New Roman" w:cstheme="minorHAnsi"/>
          <w:szCs w:val="24"/>
          <w:lang w:eastAsia="en-GB"/>
        </w:rPr>
        <w:t>achievements of the extraordinary.</w:t>
      </w:r>
      <w:r w:rsidR="00FC51A4">
        <w:rPr>
          <w:rStyle w:val="FootnoteReference"/>
          <w:rFonts w:eastAsia="Times New Roman" w:cstheme="minorHAnsi"/>
          <w:szCs w:val="24"/>
          <w:lang w:eastAsia="en-GB"/>
        </w:rPr>
        <w:footnoteReference w:id="7"/>
      </w:r>
      <w:r w:rsidR="00FC51A4">
        <w:rPr>
          <w:rFonts w:eastAsia="Times New Roman" w:cstheme="minorHAnsi"/>
          <w:szCs w:val="24"/>
          <w:lang w:eastAsia="en-GB"/>
        </w:rPr>
        <w:t xml:space="preserve"> It is for this reason that the new approach of Bloch’s work is so important to the wider historiographical debate. </w:t>
      </w:r>
      <w:r w:rsidR="00FC51A4">
        <w:rPr>
          <w:rFonts w:eastAsia="Times New Roman" w:cstheme="minorHAnsi"/>
          <w:szCs w:val="24"/>
          <w:lang w:eastAsia="en-GB"/>
        </w:rPr>
        <w:lastRenderedPageBreak/>
        <w:t xml:space="preserve">Also, Bloch does mention the likes of Benjamin </w:t>
      </w:r>
      <w:proofErr w:type="spellStart"/>
      <w:r w:rsidR="00FC51A4">
        <w:rPr>
          <w:rFonts w:eastAsia="Times New Roman" w:cstheme="minorHAnsi"/>
          <w:szCs w:val="24"/>
          <w:lang w:eastAsia="en-GB"/>
        </w:rPr>
        <w:t>Guérand</w:t>
      </w:r>
      <w:proofErr w:type="spellEnd"/>
      <w:r w:rsidR="00FC51A4">
        <w:rPr>
          <w:rFonts w:eastAsia="Times New Roman" w:cstheme="minorHAnsi"/>
          <w:szCs w:val="24"/>
          <w:lang w:eastAsia="en-GB"/>
        </w:rPr>
        <w:t xml:space="preserve"> and </w:t>
      </w:r>
      <w:r w:rsidR="00DD6CB1">
        <w:rPr>
          <w:rFonts w:eastAsia="Times New Roman" w:cstheme="minorHAnsi"/>
          <w:szCs w:val="24"/>
          <w:lang w:eastAsia="en-GB"/>
        </w:rPr>
        <w:t>Jacques</w:t>
      </w:r>
      <w:r w:rsidR="00FC51A4">
        <w:rPr>
          <w:rFonts w:eastAsia="Times New Roman" w:cstheme="minorHAnsi"/>
          <w:szCs w:val="24"/>
          <w:lang w:eastAsia="en-GB"/>
        </w:rPr>
        <w:t xml:space="preserve"> </w:t>
      </w:r>
      <w:proofErr w:type="spellStart"/>
      <w:r w:rsidR="00FC51A4">
        <w:rPr>
          <w:rFonts w:eastAsia="Times New Roman" w:cstheme="minorHAnsi"/>
          <w:szCs w:val="24"/>
          <w:lang w:eastAsia="en-GB"/>
        </w:rPr>
        <w:t>Flach</w:t>
      </w:r>
      <w:proofErr w:type="spellEnd"/>
      <w:r w:rsidR="00FC51A4">
        <w:rPr>
          <w:rFonts w:eastAsia="Times New Roman" w:cstheme="minorHAnsi"/>
          <w:szCs w:val="24"/>
          <w:lang w:eastAsia="en-GB"/>
        </w:rPr>
        <w:t xml:space="preserve">, two contemporary scholars who also contribute to this debate on feudalism by claiming </w:t>
      </w:r>
      <w:r w:rsidR="00080AA6">
        <w:rPr>
          <w:rFonts w:eastAsia="Times New Roman" w:cstheme="minorHAnsi"/>
          <w:szCs w:val="24"/>
          <w:lang w:eastAsia="en-GB"/>
        </w:rPr>
        <w:t xml:space="preserve">that </w:t>
      </w:r>
      <w:r w:rsidR="006E619F">
        <w:rPr>
          <w:rFonts w:eastAsia="Times New Roman" w:cstheme="minorHAnsi"/>
          <w:szCs w:val="24"/>
          <w:lang w:eastAsia="en-GB"/>
        </w:rPr>
        <w:t xml:space="preserve">feudalism is based </w:t>
      </w:r>
      <w:r w:rsidR="00DD6CB1">
        <w:rPr>
          <w:rFonts w:eastAsia="Times New Roman" w:cstheme="minorHAnsi"/>
          <w:szCs w:val="24"/>
          <w:lang w:eastAsia="en-GB"/>
        </w:rPr>
        <w:t>off</w:t>
      </w:r>
      <w:r w:rsidR="006E619F">
        <w:rPr>
          <w:rFonts w:eastAsia="Times New Roman" w:cstheme="minorHAnsi"/>
          <w:szCs w:val="24"/>
          <w:lang w:eastAsia="en-GB"/>
        </w:rPr>
        <w:t xml:space="preserve"> land (</w:t>
      </w:r>
      <w:proofErr w:type="spellStart"/>
      <w:r w:rsidR="00C63C4D">
        <w:rPr>
          <w:rFonts w:eastAsia="Times New Roman" w:cstheme="minorHAnsi"/>
          <w:szCs w:val="24"/>
          <w:lang w:eastAsia="en-GB"/>
        </w:rPr>
        <w:t>Guérand</w:t>
      </w:r>
      <w:proofErr w:type="spellEnd"/>
      <w:r w:rsidR="006E619F">
        <w:rPr>
          <w:rFonts w:eastAsia="Times New Roman" w:cstheme="minorHAnsi"/>
          <w:szCs w:val="24"/>
          <w:lang w:eastAsia="en-GB"/>
        </w:rPr>
        <w:t>) and the people (</w:t>
      </w:r>
      <w:r w:rsidR="00C63C4D">
        <w:rPr>
          <w:rFonts w:eastAsia="Times New Roman" w:cstheme="minorHAnsi"/>
          <w:szCs w:val="24"/>
          <w:lang w:eastAsia="en-GB"/>
        </w:rPr>
        <w:t>Flach</w:t>
      </w:r>
      <w:r w:rsidR="006E619F">
        <w:rPr>
          <w:rFonts w:eastAsia="Times New Roman" w:cstheme="minorHAnsi"/>
          <w:szCs w:val="24"/>
          <w:lang w:eastAsia="en-GB"/>
        </w:rPr>
        <w:t>). Furthermore, Bloch</w:t>
      </w:r>
      <w:r w:rsidR="00C473B5">
        <w:rPr>
          <w:rFonts w:eastAsia="Times New Roman" w:cstheme="minorHAnsi"/>
          <w:szCs w:val="24"/>
          <w:lang w:eastAsia="en-GB"/>
        </w:rPr>
        <w:t>’s</w:t>
      </w:r>
      <w:r w:rsidR="006E619F">
        <w:rPr>
          <w:rFonts w:eastAsia="Times New Roman" w:cstheme="minorHAnsi"/>
          <w:szCs w:val="24"/>
          <w:lang w:eastAsia="en-GB"/>
        </w:rPr>
        <w:t xml:space="preserve"> work was not only impressive at the time, it is also highly valued today for its academic advancements, as seen by the forewords of the varying versions of his book. M.M. </w:t>
      </w:r>
      <w:proofErr w:type="spellStart"/>
      <w:r w:rsidR="006E619F">
        <w:rPr>
          <w:rFonts w:eastAsia="Times New Roman" w:cstheme="minorHAnsi"/>
          <w:szCs w:val="24"/>
          <w:lang w:eastAsia="en-GB"/>
        </w:rPr>
        <w:t>Postan</w:t>
      </w:r>
      <w:proofErr w:type="spellEnd"/>
      <w:r w:rsidR="006E619F">
        <w:rPr>
          <w:rFonts w:eastAsia="Times New Roman" w:cstheme="minorHAnsi"/>
          <w:szCs w:val="24"/>
          <w:lang w:eastAsia="en-GB"/>
        </w:rPr>
        <w:t>, the scholar who wrote the foreword to the 1965 version, was a well-known historian, famous for his work in the economic history of the medieval period,</w:t>
      </w:r>
      <w:r w:rsidR="008C6F96">
        <w:rPr>
          <w:rStyle w:val="FootnoteReference"/>
          <w:rFonts w:eastAsia="Times New Roman" w:cstheme="minorHAnsi"/>
          <w:szCs w:val="24"/>
          <w:lang w:eastAsia="en-GB"/>
        </w:rPr>
        <w:footnoteReference w:id="8"/>
      </w:r>
      <w:r w:rsidR="006E619F">
        <w:rPr>
          <w:rFonts w:eastAsia="Times New Roman" w:cstheme="minorHAnsi"/>
          <w:szCs w:val="24"/>
          <w:lang w:eastAsia="en-GB"/>
        </w:rPr>
        <w:t xml:space="preserve"> while the 2014 foreword </w:t>
      </w:r>
      <w:r w:rsidR="003774B1">
        <w:rPr>
          <w:rFonts w:eastAsia="Times New Roman" w:cstheme="minorHAnsi"/>
          <w:szCs w:val="24"/>
          <w:lang w:eastAsia="en-GB"/>
        </w:rPr>
        <w:t>was</w:t>
      </w:r>
      <w:r w:rsidR="00854938">
        <w:rPr>
          <w:rFonts w:eastAsia="Times New Roman" w:cstheme="minorHAnsi"/>
          <w:szCs w:val="24"/>
          <w:lang w:eastAsia="en-GB"/>
        </w:rPr>
        <w:t xml:space="preserve"> composed by Geoffrey </w:t>
      </w:r>
      <w:proofErr w:type="spellStart"/>
      <w:r w:rsidR="00854938">
        <w:rPr>
          <w:rFonts w:eastAsia="Times New Roman" w:cstheme="minorHAnsi"/>
          <w:szCs w:val="24"/>
          <w:lang w:eastAsia="en-GB"/>
        </w:rPr>
        <w:t>Koziol</w:t>
      </w:r>
      <w:proofErr w:type="spellEnd"/>
      <w:r w:rsidR="00854938">
        <w:rPr>
          <w:rFonts w:eastAsia="Times New Roman" w:cstheme="minorHAnsi"/>
          <w:szCs w:val="24"/>
          <w:lang w:eastAsia="en-GB"/>
        </w:rPr>
        <w:t>, a renowned history professor at the University of California.</w:t>
      </w:r>
      <w:r w:rsidR="00854938">
        <w:rPr>
          <w:rStyle w:val="FootnoteReference"/>
          <w:rFonts w:eastAsia="Times New Roman" w:cstheme="minorHAnsi"/>
          <w:szCs w:val="24"/>
          <w:lang w:eastAsia="en-GB"/>
        </w:rPr>
        <w:footnoteReference w:id="9"/>
      </w:r>
      <w:r w:rsidR="00854938">
        <w:rPr>
          <w:rFonts w:eastAsia="Times New Roman" w:cstheme="minorHAnsi"/>
          <w:szCs w:val="24"/>
          <w:lang w:eastAsia="en-GB"/>
        </w:rPr>
        <w:t xml:space="preserve"> </w:t>
      </w:r>
      <w:r w:rsidR="0043310E">
        <w:rPr>
          <w:rFonts w:eastAsia="Times New Roman" w:cstheme="minorHAnsi"/>
          <w:szCs w:val="24"/>
          <w:lang w:eastAsia="en-GB"/>
        </w:rPr>
        <w:t xml:space="preserve">As can be seen, the fact that </w:t>
      </w:r>
      <w:r w:rsidR="00425F85">
        <w:rPr>
          <w:rFonts w:eastAsia="Times New Roman" w:cstheme="minorHAnsi"/>
          <w:szCs w:val="24"/>
          <w:lang w:eastAsia="en-GB"/>
        </w:rPr>
        <w:t xml:space="preserve">the forewords of the versions have been written by two influential historians means that Bloch’s work must still have </w:t>
      </w:r>
      <w:r w:rsidR="007E6186">
        <w:rPr>
          <w:rFonts w:eastAsia="Times New Roman" w:cstheme="minorHAnsi"/>
          <w:szCs w:val="24"/>
          <w:lang w:eastAsia="en-GB"/>
        </w:rPr>
        <w:t>worth</w:t>
      </w:r>
      <w:r w:rsidR="00425F85">
        <w:rPr>
          <w:rFonts w:eastAsia="Times New Roman" w:cstheme="minorHAnsi"/>
          <w:szCs w:val="24"/>
          <w:lang w:eastAsia="en-GB"/>
        </w:rPr>
        <w:t xml:space="preserve">, as otherwise modern scholars wouldn’t write a foreword for </w:t>
      </w:r>
      <w:r w:rsidR="007E6186">
        <w:rPr>
          <w:rFonts w:eastAsia="Times New Roman" w:cstheme="minorHAnsi"/>
          <w:szCs w:val="24"/>
          <w:lang w:eastAsia="en-GB"/>
        </w:rPr>
        <w:t>it</w:t>
      </w:r>
      <w:r w:rsidR="00E07892">
        <w:rPr>
          <w:rFonts w:eastAsia="Times New Roman" w:cstheme="minorHAnsi"/>
          <w:szCs w:val="24"/>
          <w:lang w:eastAsia="en-GB"/>
        </w:rPr>
        <w:t xml:space="preserve">, so </w:t>
      </w:r>
      <w:r w:rsidR="00E07892" w:rsidRPr="00E07892">
        <w:rPr>
          <w:rFonts w:eastAsia="Times New Roman" w:cstheme="minorHAnsi"/>
          <w:i/>
          <w:szCs w:val="24"/>
          <w:lang w:eastAsia="en-GB"/>
        </w:rPr>
        <w:t>Feudal Society</w:t>
      </w:r>
      <w:r w:rsidR="00E07892">
        <w:rPr>
          <w:rFonts w:eastAsia="Times New Roman" w:cstheme="minorHAnsi"/>
          <w:szCs w:val="24"/>
          <w:lang w:eastAsia="en-GB"/>
        </w:rPr>
        <w:t xml:space="preserve"> is hugely important to the historiographical debate of feudalism.</w:t>
      </w:r>
    </w:p>
    <w:p w:rsidR="00E07892" w:rsidRDefault="00E07892" w:rsidP="00997446">
      <w:pPr>
        <w:spacing w:line="360" w:lineRule="auto"/>
        <w:rPr>
          <w:rFonts w:eastAsia="Times New Roman" w:cstheme="minorHAnsi"/>
          <w:szCs w:val="24"/>
          <w:lang w:eastAsia="en-GB"/>
        </w:rPr>
      </w:pPr>
      <w:r>
        <w:rPr>
          <w:rFonts w:eastAsia="Times New Roman" w:cstheme="minorHAnsi"/>
          <w:szCs w:val="24"/>
          <w:lang w:eastAsia="en-GB"/>
        </w:rPr>
        <w:t xml:space="preserve">In conclusion, this extract from Marc Bloch’s Feudal Society </w:t>
      </w:r>
      <w:r w:rsidR="00C473B5">
        <w:rPr>
          <w:rFonts w:eastAsia="Times New Roman" w:cstheme="minorHAnsi"/>
          <w:szCs w:val="24"/>
          <w:lang w:eastAsia="en-GB"/>
        </w:rPr>
        <w:t xml:space="preserve">successfully </w:t>
      </w:r>
      <w:r>
        <w:rPr>
          <w:rFonts w:eastAsia="Times New Roman" w:cstheme="minorHAnsi"/>
          <w:szCs w:val="24"/>
          <w:lang w:eastAsia="en-GB"/>
        </w:rPr>
        <w:t xml:space="preserve">offers a compelling argument for </w:t>
      </w:r>
      <w:r w:rsidR="00C473B5">
        <w:rPr>
          <w:rFonts w:eastAsia="Times New Roman" w:cstheme="minorHAnsi"/>
          <w:szCs w:val="24"/>
          <w:lang w:eastAsia="en-GB"/>
        </w:rPr>
        <w:t>whether</w:t>
      </w:r>
      <w:r>
        <w:rPr>
          <w:rFonts w:eastAsia="Times New Roman" w:cstheme="minorHAnsi"/>
          <w:szCs w:val="24"/>
          <w:lang w:eastAsia="en-GB"/>
        </w:rPr>
        <w:t xml:space="preserve"> feudalism is a useful social structure. This is due to the </w:t>
      </w:r>
      <w:r w:rsidR="0088588E">
        <w:rPr>
          <w:rFonts w:eastAsia="Times New Roman" w:cstheme="minorHAnsi"/>
          <w:szCs w:val="24"/>
          <w:lang w:eastAsia="en-GB"/>
        </w:rPr>
        <w:t>continuing argument throughout the extract, as well as the use of other historians. Althoug</w:t>
      </w:r>
      <w:r w:rsidR="00C473B5">
        <w:rPr>
          <w:rFonts w:eastAsia="Times New Roman" w:cstheme="minorHAnsi"/>
          <w:szCs w:val="24"/>
          <w:lang w:eastAsia="en-GB"/>
        </w:rPr>
        <w:t>h</w:t>
      </w:r>
      <w:r w:rsidR="0088588E">
        <w:rPr>
          <w:rFonts w:eastAsia="Times New Roman" w:cstheme="minorHAnsi"/>
          <w:szCs w:val="24"/>
          <w:lang w:eastAsia="en-GB"/>
        </w:rPr>
        <w:t xml:space="preserve"> some suggest that Bloch doesn’t consider the opinions of other historians, </w:t>
      </w:r>
      <w:r w:rsidR="000277F8">
        <w:rPr>
          <w:rFonts w:eastAsia="Times New Roman" w:cstheme="minorHAnsi"/>
          <w:szCs w:val="24"/>
          <w:lang w:eastAsia="en-GB"/>
        </w:rPr>
        <w:t>Voltaire demonstrates that this</w:t>
      </w:r>
      <w:r w:rsidR="0088588E">
        <w:rPr>
          <w:rFonts w:eastAsia="Times New Roman" w:cstheme="minorHAnsi"/>
          <w:szCs w:val="24"/>
          <w:lang w:eastAsia="en-GB"/>
        </w:rPr>
        <w:t xml:space="preserve"> is not the case and as such, Bloch’s </w:t>
      </w:r>
      <w:r w:rsidR="0088588E" w:rsidRPr="0088588E">
        <w:rPr>
          <w:rFonts w:eastAsia="Times New Roman" w:cstheme="minorHAnsi"/>
          <w:i/>
          <w:szCs w:val="24"/>
          <w:lang w:eastAsia="en-GB"/>
        </w:rPr>
        <w:t>Feudal Society</w:t>
      </w:r>
      <w:r w:rsidR="0088588E">
        <w:rPr>
          <w:rFonts w:eastAsia="Times New Roman" w:cstheme="minorHAnsi"/>
          <w:szCs w:val="24"/>
          <w:lang w:eastAsia="en-GB"/>
        </w:rPr>
        <w:t xml:space="preserve"> is </w:t>
      </w:r>
      <w:r w:rsidR="0071008D">
        <w:rPr>
          <w:rFonts w:eastAsia="Times New Roman" w:cstheme="minorHAnsi"/>
          <w:szCs w:val="24"/>
          <w:lang w:eastAsia="en-GB"/>
        </w:rPr>
        <w:t xml:space="preserve">a </w:t>
      </w:r>
      <w:r w:rsidR="0088588E">
        <w:rPr>
          <w:rFonts w:eastAsia="Times New Roman" w:cstheme="minorHAnsi"/>
          <w:szCs w:val="24"/>
          <w:lang w:eastAsia="en-GB"/>
        </w:rPr>
        <w:t>successful addition to the historiographical debate</w:t>
      </w:r>
      <w:r w:rsidR="00DD6CB1">
        <w:rPr>
          <w:rFonts w:eastAsia="Times New Roman" w:cstheme="minorHAnsi"/>
          <w:szCs w:val="24"/>
          <w:lang w:eastAsia="en-GB"/>
        </w:rPr>
        <w:t>s</w:t>
      </w:r>
      <w:r w:rsidR="0088588E">
        <w:rPr>
          <w:rFonts w:eastAsia="Times New Roman" w:cstheme="minorHAnsi"/>
          <w:szCs w:val="24"/>
          <w:lang w:eastAsia="en-GB"/>
        </w:rPr>
        <w:t xml:space="preserve"> surrounding feudalism.</w:t>
      </w:r>
    </w:p>
    <w:p w:rsidR="00CC6B6E" w:rsidRPr="00CC6B6E" w:rsidRDefault="00CC6B6E" w:rsidP="00997446">
      <w:pPr>
        <w:spacing w:line="360" w:lineRule="auto"/>
        <w:rPr>
          <w:rFonts w:eastAsia="Times New Roman" w:cstheme="minorHAnsi"/>
          <w:b/>
          <w:szCs w:val="24"/>
          <w:lang w:eastAsia="en-GB"/>
        </w:rPr>
      </w:pPr>
      <w:r w:rsidRPr="00CC6B6E">
        <w:rPr>
          <w:rFonts w:eastAsia="Times New Roman" w:cstheme="minorHAnsi"/>
          <w:b/>
          <w:szCs w:val="24"/>
          <w:lang w:eastAsia="en-GB"/>
        </w:rPr>
        <w:t xml:space="preserve">Words: </w:t>
      </w:r>
      <w:r w:rsidR="00350A41">
        <w:rPr>
          <w:rFonts w:eastAsia="Times New Roman" w:cstheme="minorHAnsi"/>
          <w:b/>
          <w:szCs w:val="24"/>
          <w:lang w:eastAsia="en-GB"/>
        </w:rPr>
        <w:t>1</w:t>
      </w:r>
      <w:r w:rsidR="00E5176F">
        <w:rPr>
          <w:rFonts w:eastAsia="Times New Roman" w:cstheme="minorHAnsi"/>
          <w:b/>
          <w:szCs w:val="24"/>
          <w:lang w:eastAsia="en-GB"/>
        </w:rPr>
        <w:t>08</w:t>
      </w:r>
      <w:r w:rsidR="0071008D">
        <w:rPr>
          <w:rFonts w:eastAsia="Times New Roman" w:cstheme="minorHAnsi"/>
          <w:b/>
          <w:szCs w:val="24"/>
          <w:lang w:eastAsia="en-GB"/>
        </w:rPr>
        <w:t>1</w:t>
      </w:r>
      <w:bookmarkStart w:id="0" w:name="_GoBack"/>
      <w:bookmarkEnd w:id="0"/>
    </w:p>
    <w:p w:rsidR="00E5176F" w:rsidRDefault="00E5176F" w:rsidP="00997446">
      <w:pPr>
        <w:spacing w:line="360" w:lineRule="auto"/>
        <w:rPr>
          <w:rFonts w:eastAsia="Times New Roman" w:cstheme="minorHAnsi"/>
          <w:b/>
          <w:sz w:val="28"/>
          <w:szCs w:val="24"/>
          <w:u w:val="single"/>
          <w:lang w:eastAsia="en-GB"/>
        </w:rPr>
      </w:pPr>
    </w:p>
    <w:p w:rsidR="00E5176F" w:rsidRDefault="00E5176F" w:rsidP="00997446">
      <w:pPr>
        <w:spacing w:line="360" w:lineRule="auto"/>
        <w:rPr>
          <w:rFonts w:eastAsia="Times New Roman" w:cstheme="minorHAnsi"/>
          <w:b/>
          <w:sz w:val="28"/>
          <w:szCs w:val="24"/>
          <w:u w:val="single"/>
          <w:lang w:eastAsia="en-GB"/>
        </w:rPr>
      </w:pPr>
    </w:p>
    <w:p w:rsidR="00E5176F" w:rsidRDefault="00E5176F" w:rsidP="00997446">
      <w:pPr>
        <w:spacing w:line="360" w:lineRule="auto"/>
        <w:rPr>
          <w:rFonts w:eastAsia="Times New Roman" w:cstheme="minorHAnsi"/>
          <w:b/>
          <w:sz w:val="28"/>
          <w:szCs w:val="24"/>
          <w:u w:val="single"/>
          <w:lang w:eastAsia="en-GB"/>
        </w:rPr>
      </w:pPr>
    </w:p>
    <w:p w:rsidR="00E5176F" w:rsidRDefault="00E5176F" w:rsidP="00997446">
      <w:pPr>
        <w:spacing w:line="360" w:lineRule="auto"/>
        <w:rPr>
          <w:rFonts w:eastAsia="Times New Roman" w:cstheme="minorHAnsi"/>
          <w:b/>
          <w:sz w:val="28"/>
          <w:szCs w:val="24"/>
          <w:u w:val="single"/>
          <w:lang w:eastAsia="en-GB"/>
        </w:rPr>
      </w:pPr>
    </w:p>
    <w:p w:rsidR="00E5176F" w:rsidRDefault="00E5176F" w:rsidP="00997446">
      <w:pPr>
        <w:spacing w:line="360" w:lineRule="auto"/>
        <w:rPr>
          <w:rFonts w:eastAsia="Times New Roman" w:cstheme="minorHAnsi"/>
          <w:b/>
          <w:sz w:val="28"/>
          <w:szCs w:val="24"/>
          <w:u w:val="single"/>
          <w:lang w:eastAsia="en-GB"/>
        </w:rPr>
      </w:pPr>
    </w:p>
    <w:p w:rsidR="00E5176F" w:rsidRDefault="00E5176F" w:rsidP="00997446">
      <w:pPr>
        <w:spacing w:line="360" w:lineRule="auto"/>
        <w:rPr>
          <w:rFonts w:eastAsia="Times New Roman" w:cstheme="minorHAnsi"/>
          <w:b/>
          <w:sz w:val="28"/>
          <w:szCs w:val="24"/>
          <w:u w:val="single"/>
          <w:lang w:eastAsia="en-GB"/>
        </w:rPr>
      </w:pPr>
    </w:p>
    <w:p w:rsidR="00E5176F" w:rsidRDefault="00E5176F" w:rsidP="00997446">
      <w:pPr>
        <w:spacing w:line="360" w:lineRule="auto"/>
        <w:rPr>
          <w:rFonts w:eastAsia="Times New Roman" w:cstheme="minorHAnsi"/>
          <w:b/>
          <w:sz w:val="28"/>
          <w:szCs w:val="24"/>
          <w:u w:val="single"/>
          <w:lang w:eastAsia="en-GB"/>
        </w:rPr>
      </w:pPr>
    </w:p>
    <w:p w:rsidR="009F1C4D" w:rsidRDefault="009F1C4D" w:rsidP="00997446">
      <w:pPr>
        <w:spacing w:line="360" w:lineRule="auto"/>
        <w:rPr>
          <w:rFonts w:eastAsia="Times New Roman" w:cstheme="minorHAnsi"/>
          <w:b/>
          <w:sz w:val="28"/>
          <w:szCs w:val="24"/>
          <w:u w:val="single"/>
          <w:lang w:eastAsia="en-GB"/>
        </w:rPr>
      </w:pPr>
      <w:r w:rsidRPr="009F1C4D">
        <w:rPr>
          <w:rFonts w:eastAsia="Times New Roman" w:cstheme="minorHAnsi"/>
          <w:b/>
          <w:sz w:val="28"/>
          <w:szCs w:val="24"/>
          <w:u w:val="single"/>
          <w:lang w:eastAsia="en-GB"/>
        </w:rPr>
        <w:lastRenderedPageBreak/>
        <w:t>Bibliography</w:t>
      </w:r>
    </w:p>
    <w:p w:rsidR="00122EB0" w:rsidRPr="00E5176F" w:rsidRDefault="00122EB0" w:rsidP="00122EB0">
      <w:pPr>
        <w:pStyle w:val="FootnoteText"/>
        <w:numPr>
          <w:ilvl w:val="0"/>
          <w:numId w:val="1"/>
        </w:numPr>
        <w:spacing w:line="360" w:lineRule="auto"/>
        <w:rPr>
          <w:sz w:val="22"/>
        </w:rPr>
      </w:pPr>
      <w:r w:rsidRPr="00E5176F">
        <w:rPr>
          <w:sz w:val="22"/>
        </w:rPr>
        <w:t xml:space="preserve">Marc </w:t>
      </w:r>
      <w:r w:rsidRPr="00E5176F">
        <w:rPr>
          <w:b/>
          <w:sz w:val="22"/>
        </w:rPr>
        <w:t>Bloch</w:t>
      </w:r>
      <w:r w:rsidRPr="00E5176F">
        <w:rPr>
          <w:sz w:val="22"/>
        </w:rPr>
        <w:t xml:space="preserve">, ‘Feudalism as a Type of Society’, </w:t>
      </w:r>
      <w:r w:rsidRPr="00E5176F">
        <w:rPr>
          <w:i/>
          <w:sz w:val="22"/>
        </w:rPr>
        <w:t>Feudal Society</w:t>
      </w:r>
      <w:r w:rsidRPr="00E5176F">
        <w:rPr>
          <w:sz w:val="22"/>
        </w:rPr>
        <w:t xml:space="preserve">, trans by. LA </w:t>
      </w:r>
      <w:proofErr w:type="spellStart"/>
      <w:r w:rsidRPr="00E5176F">
        <w:rPr>
          <w:sz w:val="22"/>
        </w:rPr>
        <w:t>Manyon</w:t>
      </w:r>
      <w:proofErr w:type="spellEnd"/>
      <w:r w:rsidRPr="00E5176F">
        <w:rPr>
          <w:sz w:val="22"/>
        </w:rPr>
        <w:t xml:space="preserve"> (Routledge Paperbacks, London, 1965), p. 441.</w:t>
      </w:r>
    </w:p>
    <w:p w:rsidR="00122EB0" w:rsidRPr="00E5176F" w:rsidRDefault="00122EB0" w:rsidP="00122EB0">
      <w:pPr>
        <w:pStyle w:val="FootnoteText"/>
        <w:numPr>
          <w:ilvl w:val="0"/>
          <w:numId w:val="1"/>
        </w:numPr>
        <w:spacing w:line="360" w:lineRule="auto"/>
        <w:rPr>
          <w:sz w:val="22"/>
        </w:rPr>
      </w:pPr>
      <w:r w:rsidRPr="00E5176F">
        <w:rPr>
          <w:sz w:val="22"/>
        </w:rPr>
        <w:t xml:space="preserve">Marc </w:t>
      </w:r>
      <w:r w:rsidRPr="00E5176F">
        <w:rPr>
          <w:b/>
          <w:sz w:val="22"/>
        </w:rPr>
        <w:t>Bloch</w:t>
      </w:r>
      <w:r w:rsidRPr="00E5176F">
        <w:rPr>
          <w:sz w:val="22"/>
        </w:rPr>
        <w:t xml:space="preserve">, ‘Feudalism as a Type of Society’, </w:t>
      </w:r>
      <w:r w:rsidRPr="00E5176F">
        <w:rPr>
          <w:i/>
          <w:sz w:val="22"/>
        </w:rPr>
        <w:t>Feudal Society</w:t>
      </w:r>
      <w:r w:rsidRPr="00E5176F">
        <w:rPr>
          <w:sz w:val="22"/>
        </w:rPr>
        <w:t xml:space="preserve">, trans by. LA </w:t>
      </w:r>
      <w:proofErr w:type="spellStart"/>
      <w:r w:rsidRPr="00E5176F">
        <w:rPr>
          <w:sz w:val="22"/>
        </w:rPr>
        <w:t>Manyon</w:t>
      </w:r>
      <w:proofErr w:type="spellEnd"/>
      <w:r w:rsidRPr="00E5176F">
        <w:rPr>
          <w:sz w:val="22"/>
        </w:rPr>
        <w:t xml:space="preserve"> (Routledge Paperbacks, Abingdon, 2014 [1965]), pp. X - XI.</w:t>
      </w:r>
    </w:p>
    <w:p w:rsidR="00122EB0" w:rsidRPr="00E5176F" w:rsidRDefault="00122EB0" w:rsidP="00122EB0">
      <w:pPr>
        <w:pStyle w:val="FootnoteText"/>
        <w:numPr>
          <w:ilvl w:val="0"/>
          <w:numId w:val="1"/>
        </w:numPr>
        <w:spacing w:line="360" w:lineRule="auto"/>
        <w:rPr>
          <w:sz w:val="22"/>
        </w:rPr>
      </w:pPr>
      <w:r w:rsidRPr="00E5176F">
        <w:rPr>
          <w:sz w:val="22"/>
        </w:rPr>
        <w:t xml:space="preserve">Elizabeth A.R. </w:t>
      </w:r>
      <w:r w:rsidRPr="00E5176F">
        <w:rPr>
          <w:b/>
          <w:sz w:val="22"/>
        </w:rPr>
        <w:t>Brown</w:t>
      </w:r>
      <w:r w:rsidRPr="00E5176F">
        <w:rPr>
          <w:sz w:val="22"/>
        </w:rPr>
        <w:t xml:space="preserve">, </w:t>
      </w:r>
      <w:r w:rsidRPr="00E5176F">
        <w:rPr>
          <w:i/>
          <w:sz w:val="22"/>
        </w:rPr>
        <w:t>The Tyranny of the Construct: Feudalism and Historians of Medieval Europe</w:t>
      </w:r>
      <w:r w:rsidRPr="00E5176F">
        <w:rPr>
          <w:sz w:val="22"/>
        </w:rPr>
        <w:t xml:space="preserve"> (Oxford University Press, Oxford, 1974), p. 1088. Accessed from </w:t>
      </w:r>
      <w:r w:rsidRPr="00E5176F">
        <w:rPr>
          <w:i/>
          <w:sz w:val="22"/>
        </w:rPr>
        <w:t>JSTOR</w:t>
      </w:r>
      <w:r w:rsidRPr="00E5176F">
        <w:rPr>
          <w:sz w:val="22"/>
        </w:rPr>
        <w:t xml:space="preserve"> on 28-11-2017.</w:t>
      </w:r>
    </w:p>
    <w:p w:rsidR="00122EB0" w:rsidRPr="00E5176F" w:rsidRDefault="00122EB0" w:rsidP="00122EB0">
      <w:pPr>
        <w:pStyle w:val="FootnoteText"/>
        <w:numPr>
          <w:ilvl w:val="0"/>
          <w:numId w:val="1"/>
        </w:numPr>
        <w:spacing w:line="360" w:lineRule="auto"/>
        <w:rPr>
          <w:sz w:val="28"/>
        </w:rPr>
      </w:pPr>
      <w:r w:rsidRPr="00E5176F">
        <w:rPr>
          <w:sz w:val="22"/>
        </w:rPr>
        <w:t xml:space="preserve">University of </w:t>
      </w:r>
      <w:r w:rsidRPr="00E5176F">
        <w:rPr>
          <w:b/>
          <w:sz w:val="22"/>
        </w:rPr>
        <w:t>California</w:t>
      </w:r>
      <w:r w:rsidRPr="00E5176F">
        <w:rPr>
          <w:sz w:val="22"/>
        </w:rPr>
        <w:t xml:space="preserve"> Berkeley, Geoffrey </w:t>
      </w:r>
      <w:proofErr w:type="spellStart"/>
      <w:r w:rsidRPr="00E5176F">
        <w:rPr>
          <w:sz w:val="22"/>
        </w:rPr>
        <w:t>Koziol</w:t>
      </w:r>
      <w:proofErr w:type="spellEnd"/>
      <w:r w:rsidRPr="00E5176F">
        <w:rPr>
          <w:sz w:val="22"/>
        </w:rPr>
        <w:t xml:space="preserve">, </w:t>
      </w:r>
      <w:r w:rsidRPr="00E5176F">
        <w:rPr>
          <w:i/>
          <w:sz w:val="22"/>
        </w:rPr>
        <w:t xml:space="preserve">Department of History, University of California Berkeley </w:t>
      </w:r>
      <w:r w:rsidRPr="00E5176F">
        <w:rPr>
          <w:sz w:val="22"/>
        </w:rPr>
        <w:t>(http://history.berkeley.edu/people/geoffrey-koziol). Accessed on 29-11-2017.</w:t>
      </w:r>
    </w:p>
    <w:p w:rsidR="00122EB0" w:rsidRPr="00E5176F" w:rsidRDefault="00122EB0" w:rsidP="00122EB0">
      <w:pPr>
        <w:pStyle w:val="ListParagraph"/>
        <w:numPr>
          <w:ilvl w:val="0"/>
          <w:numId w:val="1"/>
        </w:numPr>
        <w:spacing w:line="360" w:lineRule="auto"/>
      </w:pPr>
      <w:r w:rsidRPr="00E5176F">
        <w:t xml:space="preserve">The Editors of </w:t>
      </w:r>
      <w:proofErr w:type="spellStart"/>
      <w:r w:rsidRPr="00E5176F">
        <w:rPr>
          <w:b/>
        </w:rPr>
        <w:t>Encyclop</w:t>
      </w:r>
      <w:r w:rsidRPr="00E5176F">
        <w:rPr>
          <w:rFonts w:cstheme="minorHAnsi"/>
          <w:b/>
        </w:rPr>
        <w:t>æ</w:t>
      </w:r>
      <w:r w:rsidRPr="00E5176F">
        <w:rPr>
          <w:b/>
        </w:rPr>
        <w:t>dia</w:t>
      </w:r>
      <w:proofErr w:type="spellEnd"/>
      <w:r w:rsidRPr="00E5176F">
        <w:rPr>
          <w:b/>
        </w:rPr>
        <w:t xml:space="preserve"> </w:t>
      </w:r>
      <w:proofErr w:type="spellStart"/>
      <w:r w:rsidRPr="00E5176F">
        <w:t>Brittanica</w:t>
      </w:r>
      <w:proofErr w:type="spellEnd"/>
      <w:r w:rsidRPr="00E5176F">
        <w:t xml:space="preserve">, Marc Bloch: French Historian, </w:t>
      </w:r>
      <w:proofErr w:type="spellStart"/>
      <w:r w:rsidRPr="00E5176F">
        <w:rPr>
          <w:i/>
        </w:rPr>
        <w:t>Encyclop</w:t>
      </w:r>
      <w:r w:rsidRPr="00E5176F">
        <w:rPr>
          <w:rFonts w:cstheme="minorHAnsi"/>
          <w:i/>
        </w:rPr>
        <w:t>æ</w:t>
      </w:r>
      <w:r w:rsidRPr="00E5176F">
        <w:rPr>
          <w:i/>
        </w:rPr>
        <w:t>dia</w:t>
      </w:r>
      <w:proofErr w:type="spellEnd"/>
      <w:r w:rsidRPr="00E5176F">
        <w:rPr>
          <w:i/>
        </w:rPr>
        <w:t xml:space="preserve"> </w:t>
      </w:r>
      <w:proofErr w:type="spellStart"/>
      <w:r w:rsidRPr="00E5176F">
        <w:rPr>
          <w:i/>
        </w:rPr>
        <w:t>Brittanica</w:t>
      </w:r>
      <w:proofErr w:type="spellEnd"/>
      <w:r w:rsidRPr="00E5176F">
        <w:t xml:space="preserve"> (https://www.britannica.com/biography/Marc-Bloch). Accessed on 27-11-2017.</w:t>
      </w:r>
    </w:p>
    <w:p w:rsidR="00122EB0" w:rsidRPr="00E5176F" w:rsidRDefault="00122EB0" w:rsidP="00122EB0">
      <w:pPr>
        <w:pStyle w:val="FootnoteText"/>
        <w:numPr>
          <w:ilvl w:val="0"/>
          <w:numId w:val="1"/>
        </w:numPr>
        <w:spacing w:line="360" w:lineRule="auto"/>
        <w:rPr>
          <w:sz w:val="22"/>
        </w:rPr>
      </w:pPr>
      <w:r w:rsidRPr="00E5176F">
        <w:rPr>
          <w:sz w:val="22"/>
        </w:rPr>
        <w:t xml:space="preserve">Carole </w:t>
      </w:r>
      <w:r w:rsidRPr="00E5176F">
        <w:rPr>
          <w:b/>
          <w:sz w:val="22"/>
        </w:rPr>
        <w:t>Fink</w:t>
      </w:r>
      <w:r w:rsidRPr="00E5176F">
        <w:rPr>
          <w:sz w:val="22"/>
        </w:rPr>
        <w:t xml:space="preserve">, </w:t>
      </w:r>
      <w:r w:rsidRPr="00E5176F">
        <w:rPr>
          <w:i/>
          <w:sz w:val="22"/>
        </w:rPr>
        <w:t>Marc Bloch: A Life in History</w:t>
      </w:r>
      <w:r w:rsidRPr="00E5176F">
        <w:rPr>
          <w:sz w:val="22"/>
        </w:rPr>
        <w:t xml:space="preserve"> (Cambridge University Press, Cambridge, 1989), pp. 1 – 40.</w:t>
      </w:r>
    </w:p>
    <w:p w:rsidR="00122EB0" w:rsidRPr="00E5176F" w:rsidRDefault="00122EB0" w:rsidP="00122EB0">
      <w:pPr>
        <w:pStyle w:val="FootnoteText"/>
        <w:numPr>
          <w:ilvl w:val="0"/>
          <w:numId w:val="1"/>
        </w:numPr>
        <w:spacing w:line="360" w:lineRule="auto"/>
        <w:rPr>
          <w:sz w:val="22"/>
        </w:rPr>
      </w:pPr>
      <w:r w:rsidRPr="00E5176F">
        <w:rPr>
          <w:sz w:val="22"/>
        </w:rPr>
        <w:t xml:space="preserve">University of </w:t>
      </w:r>
      <w:r w:rsidRPr="00E5176F">
        <w:rPr>
          <w:b/>
          <w:sz w:val="22"/>
        </w:rPr>
        <w:t>London</w:t>
      </w:r>
      <w:r w:rsidRPr="00E5176F">
        <w:rPr>
          <w:sz w:val="22"/>
        </w:rPr>
        <w:t xml:space="preserve">, </w:t>
      </w:r>
      <w:proofErr w:type="spellStart"/>
      <w:r w:rsidRPr="00E5176F">
        <w:rPr>
          <w:sz w:val="22"/>
        </w:rPr>
        <w:t>Postan</w:t>
      </w:r>
      <w:proofErr w:type="spellEnd"/>
      <w:r w:rsidRPr="00E5176F">
        <w:rPr>
          <w:sz w:val="22"/>
        </w:rPr>
        <w:t xml:space="preserve">, Sir Michael </w:t>
      </w:r>
      <w:proofErr w:type="spellStart"/>
      <w:r w:rsidRPr="00E5176F">
        <w:rPr>
          <w:sz w:val="22"/>
        </w:rPr>
        <w:t>Moissey</w:t>
      </w:r>
      <w:proofErr w:type="spellEnd"/>
      <w:r w:rsidRPr="00E5176F">
        <w:rPr>
          <w:sz w:val="22"/>
        </w:rPr>
        <w:t xml:space="preserve">, </w:t>
      </w:r>
      <w:r w:rsidRPr="00E5176F">
        <w:rPr>
          <w:i/>
          <w:sz w:val="22"/>
        </w:rPr>
        <w:t>Making History: The Changing Face of the Profession in Britain</w:t>
      </w:r>
      <w:r w:rsidRPr="00E5176F">
        <w:rPr>
          <w:sz w:val="22"/>
        </w:rPr>
        <w:t xml:space="preserve"> (http://www.history.ac.uk/makinghistory/historians/postan_michael.html). Accessed on 29-11-2017.</w:t>
      </w:r>
    </w:p>
    <w:p w:rsidR="00122EB0" w:rsidRPr="00E5176F" w:rsidRDefault="00122EB0" w:rsidP="00122EB0">
      <w:pPr>
        <w:pStyle w:val="ListParagraph"/>
        <w:numPr>
          <w:ilvl w:val="0"/>
          <w:numId w:val="1"/>
        </w:numPr>
        <w:spacing w:line="360" w:lineRule="auto"/>
      </w:pPr>
      <w:r w:rsidRPr="00E5176F">
        <w:rPr>
          <w:b/>
        </w:rPr>
        <w:t>Oxford</w:t>
      </w:r>
      <w:r w:rsidRPr="00E5176F">
        <w:t xml:space="preserve"> University, Feudalism, </w:t>
      </w:r>
      <w:r w:rsidRPr="00E5176F">
        <w:rPr>
          <w:i/>
        </w:rPr>
        <w:t>Oxford English Dictionary 3</w:t>
      </w:r>
      <w:r w:rsidRPr="00E5176F">
        <w:rPr>
          <w:i/>
          <w:vertAlign w:val="superscript"/>
        </w:rPr>
        <w:t>rd</w:t>
      </w:r>
      <w:r w:rsidRPr="00E5176F">
        <w:rPr>
          <w:i/>
        </w:rPr>
        <w:t xml:space="preserve"> Edition</w:t>
      </w:r>
      <w:r w:rsidRPr="00E5176F">
        <w:t xml:space="preserve"> (Oxford University Press, Oxford, 2015 [2010]). Accessed from </w:t>
      </w:r>
      <w:r w:rsidRPr="00E5176F">
        <w:rPr>
          <w:i/>
        </w:rPr>
        <w:t>Oxford Referencing</w:t>
      </w:r>
      <w:r w:rsidRPr="00E5176F">
        <w:t>.</w:t>
      </w:r>
    </w:p>
    <w:p w:rsidR="00122EB0" w:rsidRDefault="00122EB0" w:rsidP="00122EB0">
      <w:pPr>
        <w:spacing w:line="360" w:lineRule="auto"/>
        <w:ind w:left="360"/>
      </w:pPr>
    </w:p>
    <w:p w:rsidR="00122EB0" w:rsidRDefault="00122EB0" w:rsidP="00122EB0">
      <w:pPr>
        <w:spacing w:line="360" w:lineRule="auto"/>
      </w:pPr>
    </w:p>
    <w:p w:rsidR="00122EB0" w:rsidRDefault="00122EB0" w:rsidP="00122EB0">
      <w:pPr>
        <w:spacing w:line="360" w:lineRule="auto"/>
      </w:pPr>
    </w:p>
    <w:p w:rsidR="00122EB0" w:rsidRDefault="00122EB0" w:rsidP="00122EB0">
      <w:pPr>
        <w:spacing w:line="360" w:lineRule="auto"/>
      </w:pPr>
    </w:p>
    <w:p w:rsidR="00122EB0" w:rsidRDefault="00122EB0" w:rsidP="00122EB0">
      <w:pPr>
        <w:spacing w:line="360" w:lineRule="auto"/>
      </w:pPr>
    </w:p>
    <w:p w:rsidR="00122EB0" w:rsidRDefault="00122EB0" w:rsidP="00122EB0">
      <w:pPr>
        <w:spacing w:line="360" w:lineRule="auto"/>
      </w:pPr>
    </w:p>
    <w:p w:rsidR="00C63C4D" w:rsidRPr="00C63C4D" w:rsidRDefault="00C63C4D" w:rsidP="00C63C4D">
      <w:pPr>
        <w:pStyle w:val="FootnoteText"/>
        <w:spacing w:line="360" w:lineRule="auto"/>
        <w:rPr>
          <w:sz w:val="24"/>
        </w:rPr>
      </w:pPr>
    </w:p>
    <w:p w:rsidR="00C63C4D" w:rsidRPr="00C63C4D" w:rsidRDefault="00C63C4D" w:rsidP="00C63C4D">
      <w:pPr>
        <w:pStyle w:val="FootnoteText"/>
        <w:spacing w:line="360" w:lineRule="auto"/>
        <w:rPr>
          <w:sz w:val="24"/>
        </w:rPr>
      </w:pPr>
    </w:p>
    <w:p w:rsidR="00C63C4D" w:rsidRPr="00C63C4D" w:rsidRDefault="00C63C4D" w:rsidP="00C63C4D">
      <w:pPr>
        <w:pStyle w:val="FootnoteText"/>
        <w:spacing w:line="360" w:lineRule="auto"/>
        <w:rPr>
          <w:sz w:val="24"/>
        </w:rPr>
      </w:pPr>
    </w:p>
    <w:sectPr w:rsidR="00C63C4D" w:rsidRPr="00C63C4D" w:rsidSect="00690937">
      <w:headerReference w:type="default" r:id="rId8"/>
      <w:footerReference w:type="default" r:id="rId9"/>
      <w:pgSz w:w="11906" w:h="16838"/>
      <w:pgMar w:top="1440" w:right="1440" w:bottom="1440" w:left="144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1078" w:rsidRDefault="00A41078" w:rsidP="003D19D3">
      <w:pPr>
        <w:spacing w:after="0" w:line="240" w:lineRule="auto"/>
      </w:pPr>
      <w:r>
        <w:separator/>
      </w:r>
    </w:p>
  </w:endnote>
  <w:endnote w:type="continuationSeparator" w:id="0">
    <w:p w:rsidR="00A41078" w:rsidRDefault="00A41078" w:rsidP="003D1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7565022"/>
      <w:docPartObj>
        <w:docPartGallery w:val="Page Numbers (Bottom of Page)"/>
        <w:docPartUnique/>
      </w:docPartObj>
    </w:sdtPr>
    <w:sdtEndPr>
      <w:rPr>
        <w:noProof/>
      </w:rPr>
    </w:sdtEndPr>
    <w:sdtContent>
      <w:p w:rsidR="00E07892" w:rsidRDefault="00E07892">
        <w:pPr>
          <w:pStyle w:val="Footer"/>
          <w:jc w:val="center"/>
        </w:pPr>
        <w:r>
          <w:fldChar w:fldCharType="begin"/>
        </w:r>
        <w:r>
          <w:instrText xml:space="preserve"> PAGE   \* MERGEFORMAT </w:instrText>
        </w:r>
        <w:r>
          <w:fldChar w:fldCharType="separate"/>
        </w:r>
        <w:r w:rsidR="0071008D">
          <w:rPr>
            <w:noProof/>
          </w:rPr>
          <w:t>1</w:t>
        </w:r>
        <w:r>
          <w:rPr>
            <w:noProof/>
          </w:rPr>
          <w:fldChar w:fldCharType="end"/>
        </w:r>
      </w:p>
    </w:sdtContent>
  </w:sdt>
  <w:p w:rsidR="00E07892" w:rsidRDefault="00E078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1078" w:rsidRDefault="00A41078" w:rsidP="003D19D3">
      <w:pPr>
        <w:spacing w:after="0" w:line="240" w:lineRule="auto"/>
      </w:pPr>
      <w:r>
        <w:separator/>
      </w:r>
    </w:p>
  </w:footnote>
  <w:footnote w:type="continuationSeparator" w:id="0">
    <w:p w:rsidR="00A41078" w:rsidRDefault="00A41078" w:rsidP="003D19D3">
      <w:pPr>
        <w:spacing w:after="0" w:line="240" w:lineRule="auto"/>
      </w:pPr>
      <w:r>
        <w:continuationSeparator/>
      </w:r>
    </w:p>
  </w:footnote>
  <w:footnote w:id="1">
    <w:p w:rsidR="00E07892" w:rsidRDefault="00E07892">
      <w:pPr>
        <w:pStyle w:val="FootnoteText"/>
      </w:pPr>
      <w:r>
        <w:rPr>
          <w:rStyle w:val="FootnoteReference"/>
        </w:rPr>
        <w:footnoteRef/>
      </w:r>
      <w:r>
        <w:t xml:space="preserve"> Oxford University, Feudalism, </w:t>
      </w:r>
      <w:r w:rsidRPr="00EF1748">
        <w:rPr>
          <w:i/>
        </w:rPr>
        <w:t>Oxford English Dictionary 3</w:t>
      </w:r>
      <w:r w:rsidRPr="00EF1748">
        <w:rPr>
          <w:i/>
          <w:vertAlign w:val="superscript"/>
        </w:rPr>
        <w:t>rd</w:t>
      </w:r>
      <w:r w:rsidRPr="00EF1748">
        <w:rPr>
          <w:i/>
        </w:rPr>
        <w:t xml:space="preserve"> Edition</w:t>
      </w:r>
      <w:r>
        <w:t xml:space="preserve"> (Oxford University Press, Oxford, 2015 [2010]). Accessed from </w:t>
      </w:r>
      <w:r w:rsidRPr="00EF1748">
        <w:rPr>
          <w:i/>
        </w:rPr>
        <w:t>Oxford Referencing</w:t>
      </w:r>
      <w:r>
        <w:t>.</w:t>
      </w:r>
    </w:p>
  </w:footnote>
  <w:footnote w:id="2">
    <w:p w:rsidR="00E07892" w:rsidRDefault="00E07892">
      <w:pPr>
        <w:pStyle w:val="FootnoteText"/>
      </w:pPr>
      <w:r>
        <w:rPr>
          <w:rStyle w:val="FootnoteReference"/>
        </w:rPr>
        <w:footnoteRef/>
      </w:r>
      <w:r>
        <w:t xml:space="preserve"> The Editors of </w:t>
      </w:r>
      <w:proofErr w:type="spellStart"/>
      <w:r>
        <w:t>Encyclop</w:t>
      </w:r>
      <w:r>
        <w:rPr>
          <w:rFonts w:cstheme="minorHAnsi"/>
        </w:rPr>
        <w:t>æ</w:t>
      </w:r>
      <w:r>
        <w:t>dia</w:t>
      </w:r>
      <w:proofErr w:type="spellEnd"/>
      <w:r>
        <w:t xml:space="preserve"> </w:t>
      </w:r>
      <w:proofErr w:type="spellStart"/>
      <w:r>
        <w:t>Brittanica</w:t>
      </w:r>
      <w:proofErr w:type="spellEnd"/>
      <w:r>
        <w:t xml:space="preserve">, Marc Bloch: French Historian, </w:t>
      </w:r>
      <w:proofErr w:type="spellStart"/>
      <w:r w:rsidRPr="0062107B">
        <w:rPr>
          <w:i/>
        </w:rPr>
        <w:t>Encyclop</w:t>
      </w:r>
      <w:r w:rsidRPr="0062107B">
        <w:rPr>
          <w:rFonts w:cstheme="minorHAnsi"/>
          <w:i/>
        </w:rPr>
        <w:t>æ</w:t>
      </w:r>
      <w:r w:rsidRPr="0062107B">
        <w:rPr>
          <w:i/>
        </w:rPr>
        <w:t>dia</w:t>
      </w:r>
      <w:proofErr w:type="spellEnd"/>
      <w:r w:rsidRPr="0062107B">
        <w:rPr>
          <w:i/>
        </w:rPr>
        <w:t xml:space="preserve"> </w:t>
      </w:r>
      <w:proofErr w:type="spellStart"/>
      <w:r w:rsidRPr="0062107B">
        <w:rPr>
          <w:i/>
        </w:rPr>
        <w:t>Brittanica</w:t>
      </w:r>
      <w:proofErr w:type="spellEnd"/>
      <w:r w:rsidRPr="0062107B">
        <w:t xml:space="preserve"> </w:t>
      </w:r>
      <w:r>
        <w:t>(</w:t>
      </w:r>
      <w:r w:rsidRPr="0062107B">
        <w:t>https://www.britannica.com/biography/Marc-Bloch</w:t>
      </w:r>
      <w:r>
        <w:t>). Accessed on 27-11-2017.</w:t>
      </w:r>
    </w:p>
  </w:footnote>
  <w:footnote w:id="3">
    <w:p w:rsidR="00E07892" w:rsidRDefault="00E07892">
      <w:pPr>
        <w:pStyle w:val="FootnoteText"/>
      </w:pPr>
      <w:r>
        <w:rPr>
          <w:rStyle w:val="FootnoteReference"/>
        </w:rPr>
        <w:footnoteRef/>
      </w:r>
      <w:r>
        <w:t xml:space="preserve"> Carole Fink, </w:t>
      </w:r>
      <w:r w:rsidRPr="004E6619">
        <w:rPr>
          <w:i/>
        </w:rPr>
        <w:t>Marc Bloch: A Life in History</w:t>
      </w:r>
      <w:r>
        <w:t xml:space="preserve"> (Cambridge University Press, Cambridge, 1989), pp. 1 – 40.</w:t>
      </w:r>
    </w:p>
  </w:footnote>
  <w:footnote w:id="4">
    <w:p w:rsidR="00E07892" w:rsidRDefault="00E07892">
      <w:pPr>
        <w:pStyle w:val="FootnoteText"/>
      </w:pPr>
      <w:r>
        <w:rPr>
          <w:rStyle w:val="FootnoteReference"/>
        </w:rPr>
        <w:footnoteRef/>
      </w:r>
      <w:r>
        <w:t xml:space="preserve"> </w:t>
      </w:r>
      <w:proofErr w:type="spellStart"/>
      <w:r>
        <w:t>Encyclop</w:t>
      </w:r>
      <w:r>
        <w:rPr>
          <w:rFonts w:cstheme="minorHAnsi"/>
        </w:rPr>
        <w:t>æ</w:t>
      </w:r>
      <w:r>
        <w:t>dia</w:t>
      </w:r>
      <w:proofErr w:type="spellEnd"/>
      <w:r>
        <w:t xml:space="preserve"> </w:t>
      </w:r>
      <w:proofErr w:type="spellStart"/>
      <w:r>
        <w:t>Brittanica</w:t>
      </w:r>
      <w:proofErr w:type="spellEnd"/>
      <w:r>
        <w:t>, Marc Bloch, accessed on 27-11-2017.</w:t>
      </w:r>
    </w:p>
  </w:footnote>
  <w:footnote w:id="5">
    <w:p w:rsidR="00E07892" w:rsidRDefault="00E07892">
      <w:pPr>
        <w:pStyle w:val="FootnoteText"/>
      </w:pPr>
      <w:r>
        <w:rPr>
          <w:rStyle w:val="FootnoteReference"/>
        </w:rPr>
        <w:footnoteRef/>
      </w:r>
      <w:r>
        <w:t xml:space="preserve"> Marc Bloch, ‘Feudalism as a Type of Society’, </w:t>
      </w:r>
      <w:r w:rsidRPr="00FE4F54">
        <w:rPr>
          <w:i/>
        </w:rPr>
        <w:t>Feudal Society</w:t>
      </w:r>
      <w:r>
        <w:t xml:space="preserve">, trans by. LA </w:t>
      </w:r>
      <w:proofErr w:type="spellStart"/>
      <w:r>
        <w:t>Manyon</w:t>
      </w:r>
      <w:proofErr w:type="spellEnd"/>
      <w:r>
        <w:t xml:space="preserve"> (Routledge Paperbacks, London, 1965), p. 441.</w:t>
      </w:r>
    </w:p>
  </w:footnote>
  <w:footnote w:id="6">
    <w:p w:rsidR="00E07892" w:rsidRDefault="00E07892">
      <w:pPr>
        <w:pStyle w:val="FootnoteText"/>
      </w:pPr>
      <w:r>
        <w:rPr>
          <w:rStyle w:val="FootnoteReference"/>
        </w:rPr>
        <w:footnoteRef/>
      </w:r>
      <w:r>
        <w:t xml:space="preserve"> Elizabeth A.R. Brown, </w:t>
      </w:r>
      <w:r w:rsidRPr="00867B32">
        <w:rPr>
          <w:i/>
        </w:rPr>
        <w:t>The Tyranny of the Construct: Feudalism and Historians of Medieval Europe</w:t>
      </w:r>
      <w:r>
        <w:t xml:space="preserve"> (Oxford University Press, Oxford, 1974), p. 1088. Accessed from </w:t>
      </w:r>
      <w:r w:rsidRPr="00867B32">
        <w:rPr>
          <w:i/>
        </w:rPr>
        <w:t>JSTOR</w:t>
      </w:r>
      <w:r>
        <w:t xml:space="preserve"> on 28-11-2017.</w:t>
      </w:r>
    </w:p>
  </w:footnote>
  <w:footnote w:id="7">
    <w:p w:rsidR="00E07892" w:rsidRDefault="00E07892">
      <w:pPr>
        <w:pStyle w:val="FootnoteText"/>
      </w:pPr>
      <w:r>
        <w:rPr>
          <w:rStyle w:val="FootnoteReference"/>
        </w:rPr>
        <w:footnoteRef/>
      </w:r>
      <w:r>
        <w:t xml:space="preserve"> Marc Bloch, ‘Feudalism as a Type of Society’, </w:t>
      </w:r>
      <w:r w:rsidRPr="00FE4F54">
        <w:rPr>
          <w:i/>
        </w:rPr>
        <w:t>Feudal Society</w:t>
      </w:r>
      <w:r>
        <w:t xml:space="preserve">, trans by. LA </w:t>
      </w:r>
      <w:proofErr w:type="spellStart"/>
      <w:r>
        <w:t>Manyon</w:t>
      </w:r>
      <w:proofErr w:type="spellEnd"/>
      <w:r>
        <w:t xml:space="preserve"> (Routledge Paperbacks, Abingdon, 2014</w:t>
      </w:r>
      <w:r w:rsidR="00122EB0">
        <w:t xml:space="preserve"> [1965]</w:t>
      </w:r>
      <w:r>
        <w:t>), pp. X - XI.</w:t>
      </w:r>
    </w:p>
  </w:footnote>
  <w:footnote w:id="8">
    <w:p w:rsidR="00E07892" w:rsidRDefault="00E07892">
      <w:pPr>
        <w:pStyle w:val="FootnoteText"/>
      </w:pPr>
      <w:r>
        <w:rPr>
          <w:rStyle w:val="FootnoteReference"/>
        </w:rPr>
        <w:footnoteRef/>
      </w:r>
      <w:r>
        <w:t xml:space="preserve"> University of London, </w:t>
      </w:r>
      <w:proofErr w:type="spellStart"/>
      <w:r>
        <w:t>Postan</w:t>
      </w:r>
      <w:proofErr w:type="spellEnd"/>
      <w:r>
        <w:t xml:space="preserve">, Sir Michael </w:t>
      </w:r>
      <w:proofErr w:type="spellStart"/>
      <w:r>
        <w:t>Moissey</w:t>
      </w:r>
      <w:proofErr w:type="spellEnd"/>
      <w:r>
        <w:t xml:space="preserve">, </w:t>
      </w:r>
      <w:r w:rsidRPr="000D239D">
        <w:rPr>
          <w:i/>
        </w:rPr>
        <w:t>Making History: The Changing Face of the Profession in Britain</w:t>
      </w:r>
      <w:r>
        <w:t xml:space="preserve"> (</w:t>
      </w:r>
      <w:r w:rsidRPr="000D239D">
        <w:t>http://www.history.ac.uk/makinghistory/historians/postan_michael.html</w:t>
      </w:r>
      <w:r>
        <w:t>). Accessed on 29-11-2017.</w:t>
      </w:r>
    </w:p>
  </w:footnote>
  <w:footnote w:id="9">
    <w:p w:rsidR="00E07892" w:rsidRDefault="00E07892" w:rsidP="00854938">
      <w:pPr>
        <w:pStyle w:val="FootnoteText"/>
      </w:pPr>
      <w:r>
        <w:rPr>
          <w:rStyle w:val="FootnoteReference"/>
        </w:rPr>
        <w:footnoteRef/>
      </w:r>
      <w:r>
        <w:t xml:space="preserve"> University of California Berkeley, Geoffrey </w:t>
      </w:r>
      <w:proofErr w:type="spellStart"/>
      <w:r>
        <w:t>Koziol</w:t>
      </w:r>
      <w:proofErr w:type="spellEnd"/>
      <w:r>
        <w:t xml:space="preserve">, </w:t>
      </w:r>
      <w:r>
        <w:rPr>
          <w:i/>
        </w:rPr>
        <w:t xml:space="preserve">Department of History, University of California Berkeley </w:t>
      </w:r>
      <w:r>
        <w:t>(</w:t>
      </w:r>
      <w:r w:rsidRPr="00854938">
        <w:t>http://history.berkeley.edu/people/geoffrey-koziol</w:t>
      </w:r>
      <w:r>
        <w:t>). Accessed on 29-11-2017.</w:t>
      </w:r>
    </w:p>
    <w:p w:rsidR="00E07892" w:rsidRDefault="00E07892">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7892" w:rsidRDefault="00E07892">
    <w:pPr>
      <w:pStyle w:val="Header"/>
    </w:pPr>
    <w:r>
      <w:t>Matthew Cowley (1700561)</w:t>
    </w:r>
    <w:r w:rsidRPr="002D06AC">
      <w:rPr>
        <w:b/>
      </w:rPr>
      <w:ptab w:relativeTo="margin" w:alignment="center" w:leader="none"/>
    </w:r>
    <w:r w:rsidRPr="002D06AC">
      <w:rPr>
        <w:b/>
      </w:rPr>
      <w:t>HPHI4002 Writing History</w:t>
    </w:r>
    <w:r w:rsidRPr="002D06AC">
      <w:rPr>
        <w:b/>
      </w:rPr>
      <w:ptab w:relativeTo="margin" w:alignment="right" w:leader="none"/>
    </w:r>
    <w:r>
      <w:rPr>
        <w:b/>
      </w:rPr>
      <w:t xml:space="preserve">  </w:t>
    </w:r>
    <w:r w:rsidRPr="002D06AC">
      <w:t xml:space="preserve">Assessment </w:t>
    </w:r>
    <w:r>
      <w:t>2 (Feudalism)</w:t>
    </w:r>
  </w:p>
  <w:p w:rsidR="00E07892" w:rsidRDefault="00E078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D7760B"/>
    <w:multiLevelType w:val="hybridMultilevel"/>
    <w:tmpl w:val="9A6A7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FED"/>
    <w:rsid w:val="000277F8"/>
    <w:rsid w:val="0003517E"/>
    <w:rsid w:val="00040D93"/>
    <w:rsid w:val="00080AA6"/>
    <w:rsid w:val="0009492B"/>
    <w:rsid w:val="000D239D"/>
    <w:rsid w:val="000E5A7C"/>
    <w:rsid w:val="00122EB0"/>
    <w:rsid w:val="00153FED"/>
    <w:rsid w:val="00171255"/>
    <w:rsid w:val="001C7EDA"/>
    <w:rsid w:val="00300007"/>
    <w:rsid w:val="00304402"/>
    <w:rsid w:val="00311275"/>
    <w:rsid w:val="00350A41"/>
    <w:rsid w:val="00361C5E"/>
    <w:rsid w:val="003774B1"/>
    <w:rsid w:val="003D19D3"/>
    <w:rsid w:val="00425F85"/>
    <w:rsid w:val="0043310E"/>
    <w:rsid w:val="004E6619"/>
    <w:rsid w:val="00530421"/>
    <w:rsid w:val="0059559D"/>
    <w:rsid w:val="005C7FBA"/>
    <w:rsid w:val="005F7060"/>
    <w:rsid w:val="0062107B"/>
    <w:rsid w:val="00625BF8"/>
    <w:rsid w:val="00626214"/>
    <w:rsid w:val="00646DB8"/>
    <w:rsid w:val="00665D25"/>
    <w:rsid w:val="00690937"/>
    <w:rsid w:val="006B289D"/>
    <w:rsid w:val="006E619F"/>
    <w:rsid w:val="0071008D"/>
    <w:rsid w:val="007113B6"/>
    <w:rsid w:val="0072703F"/>
    <w:rsid w:val="0075247F"/>
    <w:rsid w:val="00786CF7"/>
    <w:rsid w:val="0079364F"/>
    <w:rsid w:val="007E6186"/>
    <w:rsid w:val="0081084D"/>
    <w:rsid w:val="0084123B"/>
    <w:rsid w:val="00854938"/>
    <w:rsid w:val="00867B32"/>
    <w:rsid w:val="0088588E"/>
    <w:rsid w:val="008B4F9A"/>
    <w:rsid w:val="008C6F96"/>
    <w:rsid w:val="00915EF4"/>
    <w:rsid w:val="00941171"/>
    <w:rsid w:val="00997446"/>
    <w:rsid w:val="009B1ED1"/>
    <w:rsid w:val="009D05F7"/>
    <w:rsid w:val="009D3BB9"/>
    <w:rsid w:val="009F1C4D"/>
    <w:rsid w:val="00A377C3"/>
    <w:rsid w:val="00A41078"/>
    <w:rsid w:val="00A767AE"/>
    <w:rsid w:val="00AC7375"/>
    <w:rsid w:val="00B07D9E"/>
    <w:rsid w:val="00B31553"/>
    <w:rsid w:val="00B3431E"/>
    <w:rsid w:val="00B636E1"/>
    <w:rsid w:val="00C43B38"/>
    <w:rsid w:val="00C44FB4"/>
    <w:rsid w:val="00C473B5"/>
    <w:rsid w:val="00C63C4D"/>
    <w:rsid w:val="00C74B5D"/>
    <w:rsid w:val="00CB654A"/>
    <w:rsid w:val="00CC1D12"/>
    <w:rsid w:val="00CC3B51"/>
    <w:rsid w:val="00CC6B6E"/>
    <w:rsid w:val="00D2180A"/>
    <w:rsid w:val="00D67FFB"/>
    <w:rsid w:val="00D77813"/>
    <w:rsid w:val="00DC2DB9"/>
    <w:rsid w:val="00DD6CB1"/>
    <w:rsid w:val="00E07892"/>
    <w:rsid w:val="00E5176F"/>
    <w:rsid w:val="00EC702E"/>
    <w:rsid w:val="00ED032E"/>
    <w:rsid w:val="00EF1748"/>
    <w:rsid w:val="00EF4D64"/>
    <w:rsid w:val="00F56CCD"/>
    <w:rsid w:val="00FA2217"/>
    <w:rsid w:val="00FC51A4"/>
    <w:rsid w:val="00FE4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319B1E"/>
  <w15:chartTrackingRefBased/>
  <w15:docId w15:val="{2409A3ED-AE5B-489B-AD5A-8CB1520B4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53FE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3FED"/>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3D19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19D3"/>
  </w:style>
  <w:style w:type="paragraph" w:styleId="Footer">
    <w:name w:val="footer"/>
    <w:basedOn w:val="Normal"/>
    <w:link w:val="FooterChar"/>
    <w:uiPriority w:val="99"/>
    <w:unhideWhenUsed/>
    <w:rsid w:val="003D19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19D3"/>
  </w:style>
  <w:style w:type="paragraph" w:styleId="FootnoteText">
    <w:name w:val="footnote text"/>
    <w:basedOn w:val="Normal"/>
    <w:link w:val="FootnoteTextChar"/>
    <w:uiPriority w:val="99"/>
    <w:unhideWhenUsed/>
    <w:rsid w:val="00FA2217"/>
    <w:pPr>
      <w:spacing w:after="0" w:line="240" w:lineRule="auto"/>
    </w:pPr>
    <w:rPr>
      <w:sz w:val="20"/>
      <w:szCs w:val="20"/>
    </w:rPr>
  </w:style>
  <w:style w:type="character" w:customStyle="1" w:styleId="FootnoteTextChar">
    <w:name w:val="Footnote Text Char"/>
    <w:basedOn w:val="DefaultParagraphFont"/>
    <w:link w:val="FootnoteText"/>
    <w:uiPriority w:val="99"/>
    <w:rsid w:val="00FA2217"/>
    <w:rPr>
      <w:sz w:val="20"/>
      <w:szCs w:val="20"/>
    </w:rPr>
  </w:style>
  <w:style w:type="character" w:styleId="FootnoteReference">
    <w:name w:val="footnote reference"/>
    <w:basedOn w:val="DefaultParagraphFont"/>
    <w:uiPriority w:val="99"/>
    <w:semiHidden/>
    <w:unhideWhenUsed/>
    <w:rsid w:val="00FA2217"/>
    <w:rPr>
      <w:vertAlign w:val="superscript"/>
    </w:rPr>
  </w:style>
  <w:style w:type="character" w:styleId="PlaceholderText">
    <w:name w:val="Placeholder Text"/>
    <w:basedOn w:val="DefaultParagraphFont"/>
    <w:uiPriority w:val="99"/>
    <w:semiHidden/>
    <w:rsid w:val="0062107B"/>
    <w:rPr>
      <w:color w:val="808080"/>
    </w:rPr>
  </w:style>
  <w:style w:type="character" w:styleId="Hyperlink">
    <w:name w:val="Hyperlink"/>
    <w:basedOn w:val="DefaultParagraphFont"/>
    <w:uiPriority w:val="99"/>
    <w:unhideWhenUsed/>
    <w:rsid w:val="0062107B"/>
    <w:rPr>
      <w:color w:val="0563C1" w:themeColor="hyperlink"/>
      <w:u w:val="single"/>
    </w:rPr>
  </w:style>
  <w:style w:type="character" w:styleId="UnresolvedMention">
    <w:name w:val="Unresolved Mention"/>
    <w:basedOn w:val="DefaultParagraphFont"/>
    <w:uiPriority w:val="99"/>
    <w:semiHidden/>
    <w:unhideWhenUsed/>
    <w:rsid w:val="0062107B"/>
    <w:rPr>
      <w:color w:val="808080"/>
      <w:shd w:val="clear" w:color="auto" w:fill="E6E6E6"/>
    </w:rPr>
  </w:style>
  <w:style w:type="paragraph" w:styleId="ListParagraph">
    <w:name w:val="List Paragraph"/>
    <w:basedOn w:val="Normal"/>
    <w:uiPriority w:val="34"/>
    <w:qFormat/>
    <w:rsid w:val="00C63C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AEFA6-4210-404A-A926-3C3B5656B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4</Pages>
  <Words>1178</Words>
  <Characters>6718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Cowley</dc:creator>
  <cp:keywords/>
  <dc:description/>
  <cp:lastModifiedBy>Matt Cowley</cp:lastModifiedBy>
  <cp:revision>85</cp:revision>
  <dcterms:created xsi:type="dcterms:W3CDTF">2017-11-27T17:02:00Z</dcterms:created>
  <dcterms:modified xsi:type="dcterms:W3CDTF">2017-12-01T16:05:00Z</dcterms:modified>
</cp:coreProperties>
</file>