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0860ED" w14:textId="77777777" w:rsidR="00CD1A6A" w:rsidRDefault="00CD1A6A">
      <w:pPr>
        <w:pStyle w:val="Normal1"/>
        <w:jc w:val="center"/>
        <w:rPr>
          <w:b/>
          <w:sz w:val="32"/>
          <w:szCs w:val="32"/>
        </w:rPr>
      </w:pPr>
    </w:p>
    <w:p w14:paraId="297B3074" w14:textId="77777777" w:rsidR="00CD1A6A" w:rsidRDefault="00CD1A6A">
      <w:pPr>
        <w:pStyle w:val="Normal1"/>
        <w:jc w:val="center"/>
        <w:rPr>
          <w:b/>
          <w:sz w:val="32"/>
          <w:szCs w:val="32"/>
        </w:rPr>
      </w:pPr>
    </w:p>
    <w:p w14:paraId="75FE8923" w14:textId="77777777" w:rsidR="00CD1A6A" w:rsidRDefault="00CD1A6A">
      <w:pPr>
        <w:pStyle w:val="Normal1"/>
        <w:jc w:val="center"/>
        <w:rPr>
          <w:b/>
          <w:sz w:val="32"/>
          <w:szCs w:val="32"/>
        </w:rPr>
      </w:pPr>
    </w:p>
    <w:p w14:paraId="40DFE9FE" w14:textId="7FCB50EB" w:rsidR="00CD1A6A" w:rsidRDefault="00E926C9">
      <w:pPr>
        <w:pStyle w:val="Normal1"/>
        <w:jc w:val="center"/>
        <w:rPr>
          <w:b/>
          <w:sz w:val="32"/>
          <w:szCs w:val="32"/>
        </w:rPr>
      </w:pPr>
      <w:r w:rsidRPr="00E926C9">
        <w:rPr>
          <w:b/>
          <w:sz w:val="32"/>
          <w:szCs w:val="32"/>
        </w:rPr>
        <w:t>Strategic Management and Sustainability</w:t>
      </w:r>
    </w:p>
    <w:p w14:paraId="69208CDD" w14:textId="77777777" w:rsidR="00CD1A6A" w:rsidRDefault="00CD1A6A">
      <w:pPr>
        <w:pStyle w:val="Normal1"/>
        <w:jc w:val="center"/>
        <w:rPr>
          <w:b/>
          <w:sz w:val="32"/>
          <w:szCs w:val="32"/>
        </w:rPr>
      </w:pPr>
    </w:p>
    <w:p w14:paraId="20C8E117" w14:textId="77777777" w:rsidR="00CD1A6A" w:rsidRDefault="00CD1A6A">
      <w:pPr>
        <w:pStyle w:val="Normal1"/>
        <w:jc w:val="center"/>
        <w:rPr>
          <w:b/>
          <w:sz w:val="32"/>
          <w:szCs w:val="32"/>
        </w:rPr>
      </w:pPr>
    </w:p>
    <w:p w14:paraId="556FEAEC" w14:textId="77777777" w:rsidR="00CD1A6A" w:rsidRDefault="00CD1A6A">
      <w:pPr>
        <w:pStyle w:val="Normal1"/>
        <w:jc w:val="center"/>
        <w:rPr>
          <w:b/>
          <w:sz w:val="32"/>
          <w:szCs w:val="32"/>
        </w:rPr>
      </w:pPr>
    </w:p>
    <w:p w14:paraId="41944915" w14:textId="77777777" w:rsidR="00CD1A6A" w:rsidRDefault="001737F7">
      <w:pPr>
        <w:pStyle w:val="Normal1"/>
        <w:jc w:val="center"/>
        <w:rPr>
          <w:b/>
          <w:sz w:val="32"/>
          <w:szCs w:val="32"/>
        </w:rPr>
      </w:pPr>
      <w:r>
        <w:rPr>
          <w:b/>
          <w:sz w:val="32"/>
          <w:szCs w:val="32"/>
        </w:rPr>
        <w:t>COMPONENT 1: WRITTEN REPORT</w:t>
      </w:r>
    </w:p>
    <w:p w14:paraId="044B58B8" w14:textId="77777777" w:rsidR="00BA1CAC" w:rsidRDefault="00BA1CAC">
      <w:pPr>
        <w:pStyle w:val="Normal1"/>
        <w:jc w:val="center"/>
        <w:rPr>
          <w:b/>
          <w:sz w:val="32"/>
          <w:szCs w:val="32"/>
        </w:rPr>
      </w:pPr>
    </w:p>
    <w:p w14:paraId="182239C7" w14:textId="0AC99EE3" w:rsidR="00BA1CAC" w:rsidRDefault="00BA1CAC">
      <w:pPr>
        <w:pStyle w:val="Normal1"/>
        <w:jc w:val="center"/>
        <w:rPr>
          <w:b/>
          <w:sz w:val="32"/>
          <w:szCs w:val="32"/>
        </w:rPr>
      </w:pPr>
      <w:r>
        <w:rPr>
          <w:b/>
          <w:sz w:val="32"/>
          <w:szCs w:val="32"/>
        </w:rPr>
        <w:t>NAME: MARIUS BOLDEANU</w:t>
      </w:r>
    </w:p>
    <w:p w14:paraId="1F91095A" w14:textId="42E33275" w:rsidR="00BA1CAC" w:rsidRDefault="00BA1CAC">
      <w:pPr>
        <w:pStyle w:val="Normal1"/>
        <w:jc w:val="center"/>
        <w:rPr>
          <w:b/>
          <w:sz w:val="32"/>
          <w:szCs w:val="32"/>
        </w:rPr>
      </w:pPr>
      <w:r>
        <w:rPr>
          <w:b/>
          <w:sz w:val="32"/>
          <w:szCs w:val="32"/>
        </w:rPr>
        <w:t>STUDENT ID: 2224837</w:t>
      </w:r>
    </w:p>
    <w:p w14:paraId="040D73E3" w14:textId="502EAA2B" w:rsidR="00BA1CAC" w:rsidRDefault="00BA1CAC">
      <w:pPr>
        <w:pStyle w:val="Normal1"/>
        <w:jc w:val="center"/>
        <w:rPr>
          <w:b/>
          <w:sz w:val="32"/>
          <w:szCs w:val="32"/>
        </w:rPr>
      </w:pPr>
      <w:r>
        <w:rPr>
          <w:b/>
          <w:sz w:val="32"/>
          <w:szCs w:val="32"/>
        </w:rPr>
        <w:t>MODULE CODE: LCBB6004</w:t>
      </w:r>
    </w:p>
    <w:p w14:paraId="70C4934D" w14:textId="77777777" w:rsidR="00CD1A6A" w:rsidRDefault="001737F7">
      <w:pPr>
        <w:pStyle w:val="Normal1"/>
        <w:jc w:val="center"/>
        <w:rPr>
          <w:b/>
          <w:sz w:val="32"/>
          <w:szCs w:val="32"/>
        </w:rPr>
      </w:pPr>
      <w:r>
        <w:br w:type="page"/>
      </w:r>
    </w:p>
    <w:p w14:paraId="4053E7A9" w14:textId="77777777" w:rsidR="00CD1A6A" w:rsidRDefault="001737F7">
      <w:pPr>
        <w:pStyle w:val="Normal1"/>
        <w:jc w:val="center"/>
        <w:rPr>
          <w:b/>
          <w:sz w:val="28"/>
          <w:szCs w:val="28"/>
        </w:rPr>
      </w:pPr>
      <w:r>
        <w:rPr>
          <w:b/>
          <w:sz w:val="28"/>
          <w:szCs w:val="28"/>
        </w:rPr>
        <w:lastRenderedPageBreak/>
        <w:t>Executive Summary</w:t>
      </w:r>
    </w:p>
    <w:p w14:paraId="6DEB0D71" w14:textId="77777777" w:rsidR="00CD1A6A" w:rsidRDefault="001737F7">
      <w:pPr>
        <w:pStyle w:val="Normal1"/>
      </w:pPr>
      <w:r>
        <w:t xml:space="preserve">This report discusses the Strategic mapping of Bentley Motors Ltd, a British luxury automaker. Against the backdrop of drastic change in the sector driven by electrification, sustainability requirements, and technological disruption, Bentley is confronted by significant strategic issues. These include a major move towards EVs, more stringent environmental laws, and stiffer competition in the luxury car segment. The paper examines Bentley’s internal and external environments using ‘PESTLE, Porter’s Five Forces, the Resource-Based View, and also SWOT analysis’. Building on this evidence-based approach, the report provides a set of strategies that focus on electric innovation, singularity, and global expansion into new market areas. </w:t>
      </w:r>
    </w:p>
    <w:p w14:paraId="6D6F9A17" w14:textId="77777777" w:rsidR="00540562" w:rsidRDefault="00540562">
      <w:r>
        <w:br w:type="page"/>
      </w:r>
    </w:p>
    <w:sdt>
      <w:sdtPr>
        <w:rPr>
          <w:rFonts w:ascii="Times New Roman" w:eastAsia="Times New Roman" w:hAnsi="Times New Roman" w:cs="Times New Roman"/>
          <w:b w:val="0"/>
          <w:bCs w:val="0"/>
          <w:color w:val="auto"/>
          <w:sz w:val="24"/>
          <w:szCs w:val="24"/>
        </w:rPr>
        <w:id w:val="2488001"/>
        <w:docPartObj>
          <w:docPartGallery w:val="Table of Contents"/>
          <w:docPartUnique/>
        </w:docPartObj>
      </w:sdtPr>
      <w:sdtEndPr/>
      <w:sdtContent>
        <w:p w14:paraId="6D774FE0" w14:textId="77777777" w:rsidR="00540562" w:rsidRPr="00540562" w:rsidRDefault="00540562" w:rsidP="00540562">
          <w:pPr>
            <w:pStyle w:val="TOCHeading"/>
            <w:jc w:val="center"/>
            <w:rPr>
              <w:rFonts w:ascii="Times New Roman" w:hAnsi="Times New Roman" w:cs="Times New Roman"/>
            </w:rPr>
          </w:pPr>
          <w:r w:rsidRPr="00540562">
            <w:rPr>
              <w:rFonts w:ascii="Times New Roman" w:hAnsi="Times New Roman" w:cs="Times New Roman"/>
              <w:color w:val="auto"/>
            </w:rPr>
            <w:t>Table of Contents</w:t>
          </w:r>
        </w:p>
        <w:p w14:paraId="15403765" w14:textId="77777777" w:rsidR="002E2B40" w:rsidRDefault="00540562">
          <w:pPr>
            <w:pStyle w:val="TOC1"/>
            <w:tabs>
              <w:tab w:val="right" w:leader="dot" w:pos="9019"/>
            </w:tabs>
            <w:rPr>
              <w:rFonts w:asciiTheme="minorHAnsi" w:eastAsiaTheme="minorEastAsia" w:hAnsiTheme="minorHAnsi" w:cstheme="minorBidi"/>
              <w:noProof/>
              <w:sz w:val="22"/>
              <w:szCs w:val="22"/>
              <w:lang w:val="en-IN" w:eastAsia="en-IN"/>
            </w:rPr>
          </w:pPr>
          <w:r w:rsidRPr="00540562">
            <w:fldChar w:fldCharType="begin"/>
          </w:r>
          <w:r w:rsidRPr="00540562">
            <w:instrText xml:space="preserve"> TOC \o "1-3" \h \z \u </w:instrText>
          </w:r>
          <w:r w:rsidRPr="00540562">
            <w:fldChar w:fldCharType="separate"/>
          </w:r>
          <w:hyperlink w:anchor="_Toc200560834" w:history="1">
            <w:r w:rsidR="002E2B40" w:rsidRPr="00324C88">
              <w:rPr>
                <w:rStyle w:val="Hyperlink"/>
                <w:noProof/>
              </w:rPr>
              <w:t>Introduction</w:t>
            </w:r>
            <w:r w:rsidR="002E2B40">
              <w:rPr>
                <w:noProof/>
                <w:webHidden/>
              </w:rPr>
              <w:tab/>
            </w:r>
            <w:r w:rsidR="002E2B40">
              <w:rPr>
                <w:noProof/>
                <w:webHidden/>
              </w:rPr>
              <w:fldChar w:fldCharType="begin"/>
            </w:r>
            <w:r w:rsidR="002E2B40">
              <w:rPr>
                <w:noProof/>
                <w:webHidden/>
              </w:rPr>
              <w:instrText xml:space="preserve"> PAGEREF _Toc200560834 \h </w:instrText>
            </w:r>
            <w:r w:rsidR="002E2B40">
              <w:rPr>
                <w:noProof/>
                <w:webHidden/>
              </w:rPr>
            </w:r>
            <w:r w:rsidR="002E2B40">
              <w:rPr>
                <w:noProof/>
                <w:webHidden/>
              </w:rPr>
              <w:fldChar w:fldCharType="separate"/>
            </w:r>
            <w:r w:rsidR="002E2B40">
              <w:rPr>
                <w:noProof/>
                <w:webHidden/>
              </w:rPr>
              <w:t>3</w:t>
            </w:r>
            <w:r w:rsidR="002E2B40">
              <w:rPr>
                <w:noProof/>
                <w:webHidden/>
              </w:rPr>
              <w:fldChar w:fldCharType="end"/>
            </w:r>
          </w:hyperlink>
        </w:p>
        <w:p w14:paraId="5B99CA46" w14:textId="77777777" w:rsidR="002E2B40" w:rsidRDefault="002E2B40">
          <w:pPr>
            <w:pStyle w:val="TOC1"/>
            <w:tabs>
              <w:tab w:val="right" w:leader="dot" w:pos="9019"/>
            </w:tabs>
            <w:rPr>
              <w:rFonts w:asciiTheme="minorHAnsi" w:eastAsiaTheme="minorEastAsia" w:hAnsiTheme="minorHAnsi" w:cstheme="minorBidi"/>
              <w:noProof/>
              <w:sz w:val="22"/>
              <w:szCs w:val="22"/>
              <w:lang w:val="en-IN" w:eastAsia="en-IN"/>
            </w:rPr>
          </w:pPr>
          <w:hyperlink w:anchor="_Toc200560835" w:history="1">
            <w:r w:rsidRPr="00324C88">
              <w:rPr>
                <w:rStyle w:val="Hyperlink"/>
                <w:noProof/>
              </w:rPr>
              <w:t>Strategy Analysis</w:t>
            </w:r>
            <w:r>
              <w:rPr>
                <w:noProof/>
                <w:webHidden/>
              </w:rPr>
              <w:tab/>
            </w:r>
            <w:r>
              <w:rPr>
                <w:noProof/>
                <w:webHidden/>
              </w:rPr>
              <w:fldChar w:fldCharType="begin"/>
            </w:r>
            <w:r>
              <w:rPr>
                <w:noProof/>
                <w:webHidden/>
              </w:rPr>
              <w:instrText xml:space="preserve"> PAGEREF _Toc200560835 \h </w:instrText>
            </w:r>
            <w:r>
              <w:rPr>
                <w:noProof/>
                <w:webHidden/>
              </w:rPr>
            </w:r>
            <w:r>
              <w:rPr>
                <w:noProof/>
                <w:webHidden/>
              </w:rPr>
              <w:fldChar w:fldCharType="separate"/>
            </w:r>
            <w:r>
              <w:rPr>
                <w:noProof/>
                <w:webHidden/>
              </w:rPr>
              <w:t>3</w:t>
            </w:r>
            <w:r>
              <w:rPr>
                <w:noProof/>
                <w:webHidden/>
              </w:rPr>
              <w:fldChar w:fldCharType="end"/>
            </w:r>
          </w:hyperlink>
        </w:p>
        <w:p w14:paraId="35F1BC31" w14:textId="77777777" w:rsidR="002E2B40" w:rsidRDefault="002E2B40">
          <w:pPr>
            <w:pStyle w:val="TOC2"/>
            <w:tabs>
              <w:tab w:val="right" w:leader="dot" w:pos="9019"/>
            </w:tabs>
            <w:rPr>
              <w:rFonts w:asciiTheme="minorHAnsi" w:eastAsiaTheme="minorEastAsia" w:hAnsiTheme="minorHAnsi" w:cstheme="minorBidi"/>
              <w:noProof/>
              <w:sz w:val="22"/>
              <w:szCs w:val="22"/>
              <w:lang w:val="en-IN" w:eastAsia="en-IN"/>
            </w:rPr>
          </w:pPr>
          <w:hyperlink w:anchor="_Toc200560836" w:history="1">
            <w:r w:rsidRPr="00324C88">
              <w:rPr>
                <w:rStyle w:val="Hyperlink"/>
                <w:noProof/>
              </w:rPr>
              <w:t>1. External Environment Audit</w:t>
            </w:r>
            <w:r>
              <w:rPr>
                <w:noProof/>
                <w:webHidden/>
              </w:rPr>
              <w:tab/>
            </w:r>
            <w:r>
              <w:rPr>
                <w:noProof/>
                <w:webHidden/>
              </w:rPr>
              <w:fldChar w:fldCharType="begin"/>
            </w:r>
            <w:r>
              <w:rPr>
                <w:noProof/>
                <w:webHidden/>
              </w:rPr>
              <w:instrText xml:space="preserve"> PAGEREF _Toc200560836 \h </w:instrText>
            </w:r>
            <w:r>
              <w:rPr>
                <w:noProof/>
                <w:webHidden/>
              </w:rPr>
            </w:r>
            <w:r>
              <w:rPr>
                <w:noProof/>
                <w:webHidden/>
              </w:rPr>
              <w:fldChar w:fldCharType="separate"/>
            </w:r>
            <w:r>
              <w:rPr>
                <w:noProof/>
                <w:webHidden/>
              </w:rPr>
              <w:t>3</w:t>
            </w:r>
            <w:r>
              <w:rPr>
                <w:noProof/>
                <w:webHidden/>
              </w:rPr>
              <w:fldChar w:fldCharType="end"/>
            </w:r>
          </w:hyperlink>
        </w:p>
        <w:p w14:paraId="15CD78B3" w14:textId="77777777" w:rsidR="002E2B40" w:rsidRDefault="002E2B40">
          <w:pPr>
            <w:pStyle w:val="TOC3"/>
            <w:tabs>
              <w:tab w:val="right" w:leader="dot" w:pos="9019"/>
            </w:tabs>
            <w:rPr>
              <w:rFonts w:asciiTheme="minorHAnsi" w:eastAsiaTheme="minorEastAsia" w:hAnsiTheme="minorHAnsi" w:cstheme="minorBidi"/>
              <w:noProof/>
              <w:sz w:val="22"/>
              <w:szCs w:val="22"/>
              <w:lang w:val="en-IN" w:eastAsia="en-IN"/>
            </w:rPr>
          </w:pPr>
          <w:hyperlink w:anchor="_Toc200560837" w:history="1">
            <w:r w:rsidRPr="00324C88">
              <w:rPr>
                <w:rStyle w:val="Hyperlink"/>
                <w:noProof/>
              </w:rPr>
              <w:t>PESTLE Analysis of Bentley Motors Ltd</w:t>
            </w:r>
            <w:r>
              <w:rPr>
                <w:noProof/>
                <w:webHidden/>
              </w:rPr>
              <w:tab/>
            </w:r>
            <w:r>
              <w:rPr>
                <w:noProof/>
                <w:webHidden/>
              </w:rPr>
              <w:fldChar w:fldCharType="begin"/>
            </w:r>
            <w:r>
              <w:rPr>
                <w:noProof/>
                <w:webHidden/>
              </w:rPr>
              <w:instrText xml:space="preserve"> PAGEREF _Toc200560837 \h </w:instrText>
            </w:r>
            <w:r>
              <w:rPr>
                <w:noProof/>
                <w:webHidden/>
              </w:rPr>
            </w:r>
            <w:r>
              <w:rPr>
                <w:noProof/>
                <w:webHidden/>
              </w:rPr>
              <w:fldChar w:fldCharType="separate"/>
            </w:r>
            <w:r>
              <w:rPr>
                <w:noProof/>
                <w:webHidden/>
              </w:rPr>
              <w:t>3</w:t>
            </w:r>
            <w:r>
              <w:rPr>
                <w:noProof/>
                <w:webHidden/>
              </w:rPr>
              <w:fldChar w:fldCharType="end"/>
            </w:r>
          </w:hyperlink>
        </w:p>
        <w:p w14:paraId="069C16CA" w14:textId="77777777" w:rsidR="002E2B40" w:rsidRDefault="002E2B40">
          <w:pPr>
            <w:pStyle w:val="TOC3"/>
            <w:tabs>
              <w:tab w:val="right" w:leader="dot" w:pos="9019"/>
            </w:tabs>
            <w:rPr>
              <w:rFonts w:asciiTheme="minorHAnsi" w:eastAsiaTheme="minorEastAsia" w:hAnsiTheme="minorHAnsi" w:cstheme="minorBidi"/>
              <w:noProof/>
              <w:sz w:val="22"/>
              <w:szCs w:val="22"/>
              <w:lang w:val="en-IN" w:eastAsia="en-IN"/>
            </w:rPr>
          </w:pPr>
          <w:hyperlink w:anchor="_Toc200560838" w:history="1">
            <w:r w:rsidRPr="00324C88">
              <w:rPr>
                <w:rStyle w:val="Hyperlink"/>
                <w:noProof/>
              </w:rPr>
              <w:t>Porter’s Five Forces Analysis</w:t>
            </w:r>
            <w:r>
              <w:rPr>
                <w:noProof/>
                <w:webHidden/>
              </w:rPr>
              <w:tab/>
            </w:r>
            <w:r>
              <w:rPr>
                <w:noProof/>
                <w:webHidden/>
              </w:rPr>
              <w:fldChar w:fldCharType="begin"/>
            </w:r>
            <w:r>
              <w:rPr>
                <w:noProof/>
                <w:webHidden/>
              </w:rPr>
              <w:instrText xml:space="preserve"> PAGEREF _Toc200560838 \h </w:instrText>
            </w:r>
            <w:r>
              <w:rPr>
                <w:noProof/>
                <w:webHidden/>
              </w:rPr>
            </w:r>
            <w:r>
              <w:rPr>
                <w:noProof/>
                <w:webHidden/>
              </w:rPr>
              <w:fldChar w:fldCharType="separate"/>
            </w:r>
            <w:r>
              <w:rPr>
                <w:noProof/>
                <w:webHidden/>
              </w:rPr>
              <w:t>5</w:t>
            </w:r>
            <w:r>
              <w:rPr>
                <w:noProof/>
                <w:webHidden/>
              </w:rPr>
              <w:fldChar w:fldCharType="end"/>
            </w:r>
          </w:hyperlink>
        </w:p>
        <w:p w14:paraId="2D22F9DB" w14:textId="77777777" w:rsidR="002E2B40" w:rsidRDefault="002E2B40">
          <w:pPr>
            <w:pStyle w:val="TOC2"/>
            <w:tabs>
              <w:tab w:val="right" w:leader="dot" w:pos="9019"/>
            </w:tabs>
            <w:rPr>
              <w:rFonts w:asciiTheme="minorHAnsi" w:eastAsiaTheme="minorEastAsia" w:hAnsiTheme="minorHAnsi" w:cstheme="minorBidi"/>
              <w:noProof/>
              <w:sz w:val="22"/>
              <w:szCs w:val="22"/>
              <w:lang w:val="en-IN" w:eastAsia="en-IN"/>
            </w:rPr>
          </w:pPr>
          <w:hyperlink w:anchor="_Toc200560839" w:history="1">
            <w:r w:rsidRPr="00324C88">
              <w:rPr>
                <w:rStyle w:val="Hyperlink"/>
                <w:noProof/>
              </w:rPr>
              <w:t>2. Internal Environment Audit</w:t>
            </w:r>
            <w:r>
              <w:rPr>
                <w:noProof/>
                <w:webHidden/>
              </w:rPr>
              <w:tab/>
            </w:r>
            <w:r>
              <w:rPr>
                <w:noProof/>
                <w:webHidden/>
              </w:rPr>
              <w:fldChar w:fldCharType="begin"/>
            </w:r>
            <w:r>
              <w:rPr>
                <w:noProof/>
                <w:webHidden/>
              </w:rPr>
              <w:instrText xml:space="preserve"> PAGEREF _Toc200560839 \h </w:instrText>
            </w:r>
            <w:r>
              <w:rPr>
                <w:noProof/>
                <w:webHidden/>
              </w:rPr>
            </w:r>
            <w:r>
              <w:rPr>
                <w:noProof/>
                <w:webHidden/>
              </w:rPr>
              <w:fldChar w:fldCharType="separate"/>
            </w:r>
            <w:r>
              <w:rPr>
                <w:noProof/>
                <w:webHidden/>
              </w:rPr>
              <w:t>6</w:t>
            </w:r>
            <w:r>
              <w:rPr>
                <w:noProof/>
                <w:webHidden/>
              </w:rPr>
              <w:fldChar w:fldCharType="end"/>
            </w:r>
          </w:hyperlink>
        </w:p>
        <w:p w14:paraId="31D8226C" w14:textId="77777777" w:rsidR="002E2B40" w:rsidRDefault="002E2B40">
          <w:pPr>
            <w:pStyle w:val="TOC3"/>
            <w:tabs>
              <w:tab w:val="right" w:leader="dot" w:pos="9019"/>
            </w:tabs>
            <w:rPr>
              <w:rFonts w:asciiTheme="minorHAnsi" w:eastAsiaTheme="minorEastAsia" w:hAnsiTheme="minorHAnsi" w:cstheme="minorBidi"/>
              <w:noProof/>
              <w:sz w:val="22"/>
              <w:szCs w:val="22"/>
              <w:lang w:val="en-IN" w:eastAsia="en-IN"/>
            </w:rPr>
          </w:pPr>
          <w:hyperlink w:anchor="_Toc200560840" w:history="1">
            <w:r w:rsidRPr="00324C88">
              <w:rPr>
                <w:rStyle w:val="Hyperlink"/>
                <w:noProof/>
              </w:rPr>
              <w:t>Value Chain Analysis</w:t>
            </w:r>
            <w:r>
              <w:rPr>
                <w:noProof/>
                <w:webHidden/>
              </w:rPr>
              <w:tab/>
            </w:r>
            <w:r>
              <w:rPr>
                <w:noProof/>
                <w:webHidden/>
              </w:rPr>
              <w:fldChar w:fldCharType="begin"/>
            </w:r>
            <w:r>
              <w:rPr>
                <w:noProof/>
                <w:webHidden/>
              </w:rPr>
              <w:instrText xml:space="preserve"> PAGEREF _Toc200560840 \h </w:instrText>
            </w:r>
            <w:r>
              <w:rPr>
                <w:noProof/>
                <w:webHidden/>
              </w:rPr>
            </w:r>
            <w:r>
              <w:rPr>
                <w:noProof/>
                <w:webHidden/>
              </w:rPr>
              <w:fldChar w:fldCharType="separate"/>
            </w:r>
            <w:r>
              <w:rPr>
                <w:noProof/>
                <w:webHidden/>
              </w:rPr>
              <w:t>6</w:t>
            </w:r>
            <w:r>
              <w:rPr>
                <w:noProof/>
                <w:webHidden/>
              </w:rPr>
              <w:fldChar w:fldCharType="end"/>
            </w:r>
          </w:hyperlink>
        </w:p>
        <w:p w14:paraId="4BAD573C" w14:textId="77777777" w:rsidR="002E2B40" w:rsidRDefault="002E2B40">
          <w:pPr>
            <w:pStyle w:val="TOC3"/>
            <w:tabs>
              <w:tab w:val="right" w:leader="dot" w:pos="9019"/>
            </w:tabs>
            <w:rPr>
              <w:rFonts w:asciiTheme="minorHAnsi" w:eastAsiaTheme="minorEastAsia" w:hAnsiTheme="minorHAnsi" w:cstheme="minorBidi"/>
              <w:noProof/>
              <w:sz w:val="22"/>
              <w:szCs w:val="22"/>
              <w:lang w:val="en-IN" w:eastAsia="en-IN"/>
            </w:rPr>
          </w:pPr>
          <w:hyperlink w:anchor="_Toc200560841" w:history="1">
            <w:r w:rsidRPr="00324C88">
              <w:rPr>
                <w:rStyle w:val="Hyperlink"/>
                <w:noProof/>
              </w:rPr>
              <w:t>Resource-Based View (RBV)</w:t>
            </w:r>
            <w:r>
              <w:rPr>
                <w:noProof/>
                <w:webHidden/>
              </w:rPr>
              <w:tab/>
            </w:r>
            <w:r>
              <w:rPr>
                <w:noProof/>
                <w:webHidden/>
              </w:rPr>
              <w:fldChar w:fldCharType="begin"/>
            </w:r>
            <w:r>
              <w:rPr>
                <w:noProof/>
                <w:webHidden/>
              </w:rPr>
              <w:instrText xml:space="preserve"> PAGEREF _Toc200560841 \h </w:instrText>
            </w:r>
            <w:r>
              <w:rPr>
                <w:noProof/>
                <w:webHidden/>
              </w:rPr>
            </w:r>
            <w:r>
              <w:rPr>
                <w:noProof/>
                <w:webHidden/>
              </w:rPr>
              <w:fldChar w:fldCharType="separate"/>
            </w:r>
            <w:r>
              <w:rPr>
                <w:noProof/>
                <w:webHidden/>
              </w:rPr>
              <w:t>8</w:t>
            </w:r>
            <w:r>
              <w:rPr>
                <w:noProof/>
                <w:webHidden/>
              </w:rPr>
              <w:fldChar w:fldCharType="end"/>
            </w:r>
          </w:hyperlink>
        </w:p>
        <w:p w14:paraId="53F87602" w14:textId="77777777" w:rsidR="002E2B40" w:rsidRDefault="002E2B40">
          <w:pPr>
            <w:pStyle w:val="TOC3"/>
            <w:tabs>
              <w:tab w:val="right" w:leader="dot" w:pos="9019"/>
            </w:tabs>
            <w:rPr>
              <w:rFonts w:asciiTheme="minorHAnsi" w:eastAsiaTheme="minorEastAsia" w:hAnsiTheme="minorHAnsi" w:cstheme="minorBidi"/>
              <w:noProof/>
              <w:sz w:val="22"/>
              <w:szCs w:val="22"/>
              <w:lang w:val="en-IN" w:eastAsia="en-IN"/>
            </w:rPr>
          </w:pPr>
          <w:hyperlink w:anchor="_Toc200560842" w:history="1">
            <w:r w:rsidRPr="00324C88">
              <w:rPr>
                <w:rStyle w:val="Hyperlink"/>
                <w:noProof/>
              </w:rPr>
              <w:t>VRIO Framework</w:t>
            </w:r>
            <w:r>
              <w:rPr>
                <w:noProof/>
                <w:webHidden/>
              </w:rPr>
              <w:tab/>
            </w:r>
            <w:r>
              <w:rPr>
                <w:noProof/>
                <w:webHidden/>
              </w:rPr>
              <w:fldChar w:fldCharType="begin"/>
            </w:r>
            <w:r>
              <w:rPr>
                <w:noProof/>
                <w:webHidden/>
              </w:rPr>
              <w:instrText xml:space="preserve"> PAGEREF _Toc200560842 \h </w:instrText>
            </w:r>
            <w:r>
              <w:rPr>
                <w:noProof/>
                <w:webHidden/>
              </w:rPr>
            </w:r>
            <w:r>
              <w:rPr>
                <w:noProof/>
                <w:webHidden/>
              </w:rPr>
              <w:fldChar w:fldCharType="separate"/>
            </w:r>
            <w:r>
              <w:rPr>
                <w:noProof/>
                <w:webHidden/>
              </w:rPr>
              <w:t>9</w:t>
            </w:r>
            <w:r>
              <w:rPr>
                <w:noProof/>
                <w:webHidden/>
              </w:rPr>
              <w:fldChar w:fldCharType="end"/>
            </w:r>
          </w:hyperlink>
        </w:p>
        <w:p w14:paraId="7DD40310" w14:textId="77777777" w:rsidR="002E2B40" w:rsidRDefault="002E2B40">
          <w:pPr>
            <w:pStyle w:val="TOC2"/>
            <w:tabs>
              <w:tab w:val="right" w:leader="dot" w:pos="9019"/>
            </w:tabs>
            <w:rPr>
              <w:rFonts w:asciiTheme="minorHAnsi" w:eastAsiaTheme="minorEastAsia" w:hAnsiTheme="minorHAnsi" w:cstheme="minorBidi"/>
              <w:noProof/>
              <w:sz w:val="22"/>
              <w:szCs w:val="22"/>
              <w:lang w:val="en-IN" w:eastAsia="en-IN"/>
            </w:rPr>
          </w:pPr>
          <w:hyperlink w:anchor="_Toc200560843" w:history="1">
            <w:r w:rsidRPr="00324C88">
              <w:rPr>
                <w:rStyle w:val="Hyperlink"/>
                <w:noProof/>
              </w:rPr>
              <w:t>3. SWOT Analysis</w:t>
            </w:r>
            <w:r>
              <w:rPr>
                <w:noProof/>
                <w:webHidden/>
              </w:rPr>
              <w:tab/>
            </w:r>
            <w:r>
              <w:rPr>
                <w:noProof/>
                <w:webHidden/>
              </w:rPr>
              <w:fldChar w:fldCharType="begin"/>
            </w:r>
            <w:r>
              <w:rPr>
                <w:noProof/>
                <w:webHidden/>
              </w:rPr>
              <w:instrText xml:space="preserve"> PAGEREF _Toc200560843 \h </w:instrText>
            </w:r>
            <w:r>
              <w:rPr>
                <w:noProof/>
                <w:webHidden/>
              </w:rPr>
            </w:r>
            <w:r>
              <w:rPr>
                <w:noProof/>
                <w:webHidden/>
              </w:rPr>
              <w:fldChar w:fldCharType="separate"/>
            </w:r>
            <w:r>
              <w:rPr>
                <w:noProof/>
                <w:webHidden/>
              </w:rPr>
              <w:t>10</w:t>
            </w:r>
            <w:r>
              <w:rPr>
                <w:noProof/>
                <w:webHidden/>
              </w:rPr>
              <w:fldChar w:fldCharType="end"/>
            </w:r>
          </w:hyperlink>
        </w:p>
        <w:p w14:paraId="498682EF" w14:textId="77777777" w:rsidR="002E2B40" w:rsidRDefault="002E2B40">
          <w:pPr>
            <w:pStyle w:val="TOC1"/>
            <w:tabs>
              <w:tab w:val="right" w:leader="dot" w:pos="9019"/>
            </w:tabs>
            <w:rPr>
              <w:rFonts w:asciiTheme="minorHAnsi" w:eastAsiaTheme="minorEastAsia" w:hAnsiTheme="minorHAnsi" w:cstheme="minorBidi"/>
              <w:noProof/>
              <w:sz w:val="22"/>
              <w:szCs w:val="22"/>
              <w:lang w:val="en-IN" w:eastAsia="en-IN"/>
            </w:rPr>
          </w:pPr>
          <w:hyperlink w:anchor="_Toc200560844" w:history="1">
            <w:r w:rsidRPr="00324C88">
              <w:rPr>
                <w:rStyle w:val="Hyperlink"/>
                <w:noProof/>
              </w:rPr>
              <w:t>Strategy Formulation</w:t>
            </w:r>
            <w:r>
              <w:rPr>
                <w:noProof/>
                <w:webHidden/>
              </w:rPr>
              <w:tab/>
            </w:r>
            <w:r>
              <w:rPr>
                <w:noProof/>
                <w:webHidden/>
              </w:rPr>
              <w:fldChar w:fldCharType="begin"/>
            </w:r>
            <w:r>
              <w:rPr>
                <w:noProof/>
                <w:webHidden/>
              </w:rPr>
              <w:instrText xml:space="preserve"> PAGEREF _Toc200560844 \h </w:instrText>
            </w:r>
            <w:r>
              <w:rPr>
                <w:noProof/>
                <w:webHidden/>
              </w:rPr>
            </w:r>
            <w:r>
              <w:rPr>
                <w:noProof/>
                <w:webHidden/>
              </w:rPr>
              <w:fldChar w:fldCharType="separate"/>
            </w:r>
            <w:r>
              <w:rPr>
                <w:noProof/>
                <w:webHidden/>
              </w:rPr>
              <w:t>11</w:t>
            </w:r>
            <w:r>
              <w:rPr>
                <w:noProof/>
                <w:webHidden/>
              </w:rPr>
              <w:fldChar w:fldCharType="end"/>
            </w:r>
          </w:hyperlink>
        </w:p>
        <w:p w14:paraId="4859EA0F" w14:textId="77777777" w:rsidR="002E2B40" w:rsidRDefault="002E2B40">
          <w:pPr>
            <w:pStyle w:val="TOC1"/>
            <w:tabs>
              <w:tab w:val="right" w:leader="dot" w:pos="9019"/>
            </w:tabs>
            <w:rPr>
              <w:rFonts w:asciiTheme="minorHAnsi" w:eastAsiaTheme="minorEastAsia" w:hAnsiTheme="minorHAnsi" w:cstheme="minorBidi"/>
              <w:noProof/>
              <w:sz w:val="22"/>
              <w:szCs w:val="22"/>
              <w:lang w:val="en-IN" w:eastAsia="en-IN"/>
            </w:rPr>
          </w:pPr>
          <w:hyperlink w:anchor="_Toc200560845" w:history="1">
            <w:r w:rsidRPr="00324C88">
              <w:rPr>
                <w:rStyle w:val="Hyperlink"/>
                <w:noProof/>
              </w:rPr>
              <w:t>Conclusion and Recommendations</w:t>
            </w:r>
            <w:r>
              <w:rPr>
                <w:noProof/>
                <w:webHidden/>
              </w:rPr>
              <w:tab/>
            </w:r>
            <w:r>
              <w:rPr>
                <w:noProof/>
                <w:webHidden/>
              </w:rPr>
              <w:fldChar w:fldCharType="begin"/>
            </w:r>
            <w:r>
              <w:rPr>
                <w:noProof/>
                <w:webHidden/>
              </w:rPr>
              <w:instrText xml:space="preserve"> PAGEREF _Toc200560845 \h </w:instrText>
            </w:r>
            <w:r>
              <w:rPr>
                <w:noProof/>
                <w:webHidden/>
              </w:rPr>
            </w:r>
            <w:r>
              <w:rPr>
                <w:noProof/>
                <w:webHidden/>
              </w:rPr>
              <w:fldChar w:fldCharType="separate"/>
            </w:r>
            <w:r>
              <w:rPr>
                <w:noProof/>
                <w:webHidden/>
              </w:rPr>
              <w:t>12</w:t>
            </w:r>
            <w:r>
              <w:rPr>
                <w:noProof/>
                <w:webHidden/>
              </w:rPr>
              <w:fldChar w:fldCharType="end"/>
            </w:r>
          </w:hyperlink>
        </w:p>
        <w:p w14:paraId="3C75161E" w14:textId="77777777" w:rsidR="002E2B40" w:rsidRDefault="002E2B40">
          <w:pPr>
            <w:pStyle w:val="TOC2"/>
            <w:tabs>
              <w:tab w:val="right" w:leader="dot" w:pos="9019"/>
            </w:tabs>
            <w:rPr>
              <w:rFonts w:asciiTheme="minorHAnsi" w:eastAsiaTheme="minorEastAsia" w:hAnsiTheme="minorHAnsi" w:cstheme="minorBidi"/>
              <w:noProof/>
              <w:sz w:val="22"/>
              <w:szCs w:val="22"/>
              <w:lang w:val="en-IN" w:eastAsia="en-IN"/>
            </w:rPr>
          </w:pPr>
          <w:hyperlink w:anchor="_Toc200560846" w:history="1">
            <w:r w:rsidRPr="00324C88">
              <w:rPr>
                <w:rStyle w:val="Hyperlink"/>
                <w:noProof/>
              </w:rPr>
              <w:t>Conclusion</w:t>
            </w:r>
            <w:r>
              <w:rPr>
                <w:noProof/>
                <w:webHidden/>
              </w:rPr>
              <w:tab/>
            </w:r>
            <w:r>
              <w:rPr>
                <w:noProof/>
                <w:webHidden/>
              </w:rPr>
              <w:fldChar w:fldCharType="begin"/>
            </w:r>
            <w:r>
              <w:rPr>
                <w:noProof/>
                <w:webHidden/>
              </w:rPr>
              <w:instrText xml:space="preserve"> PAGEREF _Toc200560846 \h </w:instrText>
            </w:r>
            <w:r>
              <w:rPr>
                <w:noProof/>
                <w:webHidden/>
              </w:rPr>
            </w:r>
            <w:r>
              <w:rPr>
                <w:noProof/>
                <w:webHidden/>
              </w:rPr>
              <w:fldChar w:fldCharType="separate"/>
            </w:r>
            <w:r>
              <w:rPr>
                <w:noProof/>
                <w:webHidden/>
              </w:rPr>
              <w:t>12</w:t>
            </w:r>
            <w:r>
              <w:rPr>
                <w:noProof/>
                <w:webHidden/>
              </w:rPr>
              <w:fldChar w:fldCharType="end"/>
            </w:r>
          </w:hyperlink>
        </w:p>
        <w:p w14:paraId="72DE607A" w14:textId="77777777" w:rsidR="002E2B40" w:rsidRDefault="002E2B40">
          <w:pPr>
            <w:pStyle w:val="TOC2"/>
            <w:tabs>
              <w:tab w:val="right" w:leader="dot" w:pos="9019"/>
            </w:tabs>
            <w:rPr>
              <w:rFonts w:asciiTheme="minorHAnsi" w:eastAsiaTheme="minorEastAsia" w:hAnsiTheme="minorHAnsi" w:cstheme="minorBidi"/>
              <w:noProof/>
              <w:sz w:val="22"/>
              <w:szCs w:val="22"/>
              <w:lang w:val="en-IN" w:eastAsia="en-IN"/>
            </w:rPr>
          </w:pPr>
          <w:hyperlink w:anchor="_Toc200560847" w:history="1">
            <w:r w:rsidRPr="00324C88">
              <w:rPr>
                <w:rStyle w:val="Hyperlink"/>
                <w:noProof/>
              </w:rPr>
              <w:t>Recommendations</w:t>
            </w:r>
            <w:r>
              <w:rPr>
                <w:noProof/>
                <w:webHidden/>
              </w:rPr>
              <w:tab/>
            </w:r>
            <w:r>
              <w:rPr>
                <w:noProof/>
                <w:webHidden/>
              </w:rPr>
              <w:fldChar w:fldCharType="begin"/>
            </w:r>
            <w:r>
              <w:rPr>
                <w:noProof/>
                <w:webHidden/>
              </w:rPr>
              <w:instrText xml:space="preserve"> PAGEREF _Toc200560847 \h </w:instrText>
            </w:r>
            <w:r>
              <w:rPr>
                <w:noProof/>
                <w:webHidden/>
              </w:rPr>
            </w:r>
            <w:r>
              <w:rPr>
                <w:noProof/>
                <w:webHidden/>
              </w:rPr>
              <w:fldChar w:fldCharType="separate"/>
            </w:r>
            <w:r>
              <w:rPr>
                <w:noProof/>
                <w:webHidden/>
              </w:rPr>
              <w:t>12</w:t>
            </w:r>
            <w:r>
              <w:rPr>
                <w:noProof/>
                <w:webHidden/>
              </w:rPr>
              <w:fldChar w:fldCharType="end"/>
            </w:r>
          </w:hyperlink>
        </w:p>
        <w:p w14:paraId="58281185" w14:textId="77777777" w:rsidR="002E2B40" w:rsidRDefault="002E2B40">
          <w:pPr>
            <w:pStyle w:val="TOC1"/>
            <w:tabs>
              <w:tab w:val="right" w:leader="dot" w:pos="9019"/>
            </w:tabs>
            <w:rPr>
              <w:rFonts w:asciiTheme="minorHAnsi" w:eastAsiaTheme="minorEastAsia" w:hAnsiTheme="minorHAnsi" w:cstheme="minorBidi"/>
              <w:noProof/>
              <w:sz w:val="22"/>
              <w:szCs w:val="22"/>
              <w:lang w:val="en-IN" w:eastAsia="en-IN"/>
            </w:rPr>
          </w:pPr>
          <w:hyperlink w:anchor="_Toc200560848" w:history="1">
            <w:r w:rsidRPr="00324C88">
              <w:rPr>
                <w:rStyle w:val="Hyperlink"/>
                <w:noProof/>
              </w:rPr>
              <w:t>References</w:t>
            </w:r>
            <w:r>
              <w:rPr>
                <w:noProof/>
                <w:webHidden/>
              </w:rPr>
              <w:tab/>
            </w:r>
            <w:r>
              <w:rPr>
                <w:noProof/>
                <w:webHidden/>
              </w:rPr>
              <w:fldChar w:fldCharType="begin"/>
            </w:r>
            <w:r>
              <w:rPr>
                <w:noProof/>
                <w:webHidden/>
              </w:rPr>
              <w:instrText xml:space="preserve"> PAGEREF _Toc200560848 \h </w:instrText>
            </w:r>
            <w:r>
              <w:rPr>
                <w:noProof/>
                <w:webHidden/>
              </w:rPr>
            </w:r>
            <w:r>
              <w:rPr>
                <w:noProof/>
                <w:webHidden/>
              </w:rPr>
              <w:fldChar w:fldCharType="separate"/>
            </w:r>
            <w:r>
              <w:rPr>
                <w:noProof/>
                <w:webHidden/>
              </w:rPr>
              <w:t>14</w:t>
            </w:r>
            <w:r>
              <w:rPr>
                <w:noProof/>
                <w:webHidden/>
              </w:rPr>
              <w:fldChar w:fldCharType="end"/>
            </w:r>
          </w:hyperlink>
        </w:p>
        <w:p w14:paraId="1434F60F" w14:textId="77777777" w:rsidR="00540562" w:rsidRDefault="00540562" w:rsidP="00540562">
          <w:pPr>
            <w:spacing w:line="276" w:lineRule="auto"/>
            <w:jc w:val="center"/>
          </w:pPr>
          <w:r w:rsidRPr="00540562">
            <w:fldChar w:fldCharType="end"/>
          </w:r>
        </w:p>
      </w:sdtContent>
    </w:sdt>
    <w:p w14:paraId="4ED04FA7" w14:textId="77777777" w:rsidR="00CD1A6A" w:rsidRDefault="001737F7">
      <w:pPr>
        <w:pStyle w:val="Normal1"/>
      </w:pPr>
      <w:r>
        <w:br w:type="page"/>
      </w:r>
    </w:p>
    <w:p w14:paraId="288C87F8" w14:textId="77777777" w:rsidR="00CD1A6A" w:rsidRDefault="001737F7">
      <w:pPr>
        <w:pStyle w:val="Heading1"/>
        <w:spacing w:before="0" w:after="0"/>
      </w:pPr>
      <w:bookmarkStart w:id="0" w:name="_zeanlcivv273" w:colFirst="0" w:colLast="0"/>
      <w:bookmarkStart w:id="1" w:name="_Toc200560834"/>
      <w:bookmarkEnd w:id="0"/>
      <w:r>
        <w:lastRenderedPageBreak/>
        <w:t>Introduction</w:t>
      </w:r>
      <w:bookmarkEnd w:id="1"/>
    </w:p>
    <w:p w14:paraId="324907D1" w14:textId="77777777" w:rsidR="00CD1A6A" w:rsidRDefault="001737F7">
      <w:pPr>
        <w:pStyle w:val="Normal1"/>
      </w:pPr>
      <w:r>
        <w:t xml:space="preserve">Strategic control plays an important role in helping </w:t>
      </w:r>
      <w:proofErr w:type="spellStart"/>
      <w:r>
        <w:t>organisations</w:t>
      </w:r>
      <w:proofErr w:type="spellEnd"/>
      <w:r>
        <w:t xml:space="preserve"> navigate a rapidly changing global context, particularly in the automotive industry. For </w:t>
      </w:r>
      <w:proofErr w:type="spellStart"/>
      <w:r>
        <w:t>organisations</w:t>
      </w:r>
      <w:proofErr w:type="spellEnd"/>
      <w:r>
        <w:t xml:space="preserve"> like </w:t>
      </w:r>
      <w:r>
        <w:rPr>
          <w:b/>
          <w:i/>
        </w:rPr>
        <w:t>Bentley Motors Ltd</w:t>
      </w:r>
      <w:r>
        <w:t xml:space="preserve">, strategic control ensures cohesion between internal capabilities and external opportunities to maintain competitiveness and long-term sustainability (Bentley Motors, 2024). </w:t>
      </w:r>
    </w:p>
    <w:p w14:paraId="36BDA4C8" w14:textId="77777777" w:rsidR="00CD1A6A" w:rsidRDefault="001737F7">
      <w:pPr>
        <w:pStyle w:val="Normal1"/>
        <w:jc w:val="center"/>
      </w:pPr>
      <w:r>
        <w:rPr>
          <w:noProof/>
        </w:rPr>
        <w:drawing>
          <wp:inline distT="114300" distB="114300" distL="114300" distR="114300" wp14:anchorId="342B4D92" wp14:editId="7C4B9FCB">
            <wp:extent cx="4852988" cy="2321695"/>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cstate="print"/>
                    <a:srcRect/>
                    <a:stretch>
                      <a:fillRect/>
                    </a:stretch>
                  </pic:blipFill>
                  <pic:spPr>
                    <a:xfrm>
                      <a:off x="0" y="0"/>
                      <a:ext cx="4852988" cy="2321695"/>
                    </a:xfrm>
                    <a:prstGeom prst="rect">
                      <a:avLst/>
                    </a:prstGeom>
                    <a:ln w="12700">
                      <a:solidFill>
                        <a:srgbClr val="000000"/>
                      </a:solidFill>
                      <a:prstDash val="solid"/>
                    </a:ln>
                  </pic:spPr>
                </pic:pic>
              </a:graphicData>
            </a:graphic>
          </wp:inline>
        </w:drawing>
      </w:r>
    </w:p>
    <w:p w14:paraId="24676DEA" w14:textId="77777777" w:rsidR="00CD1A6A" w:rsidRDefault="001737F7">
      <w:pPr>
        <w:pStyle w:val="Normal1"/>
        <w:jc w:val="center"/>
        <w:rPr>
          <w:b/>
        </w:rPr>
      </w:pPr>
      <w:r>
        <w:rPr>
          <w:b/>
        </w:rPr>
        <w:t>Figure 1: Website of the Company</w:t>
      </w:r>
    </w:p>
    <w:p w14:paraId="2EF07B02" w14:textId="77777777" w:rsidR="00CD1A6A" w:rsidRDefault="001737F7">
      <w:pPr>
        <w:pStyle w:val="Normal1"/>
        <w:jc w:val="center"/>
      </w:pPr>
      <w:r>
        <w:t>(Source: Bentley Motors, 2024)</w:t>
      </w:r>
    </w:p>
    <w:p w14:paraId="5AABBCC3" w14:textId="77777777" w:rsidR="00CD1A6A" w:rsidRDefault="001737F7">
      <w:pPr>
        <w:pStyle w:val="Normal1"/>
      </w:pPr>
      <w:r>
        <w:t xml:space="preserve">Founded in 1919 in Crewe, England, Bentley Motors Ltd is a subsidiary of Volkswagen Group. Although globally renowned for producing high-performance luxury vehicles blending advanced engineering with traditional craftsmanship, Bentley's current operations have focused on redefining luxury through sustainability through their Beyond100 initiative, with the ambition to be fully electric by 2030. Bentley's vision is to be the world's most sustainable luxury automobile manufacturer. Bentley's mission also reflects a commitment to delivering exceptional automobile experiences based on innovation and refinement. </w:t>
      </w:r>
    </w:p>
    <w:p w14:paraId="09757828" w14:textId="77777777" w:rsidR="00CD1A6A" w:rsidRDefault="001737F7">
      <w:pPr>
        <w:pStyle w:val="Heading1"/>
        <w:spacing w:before="0" w:after="0"/>
      </w:pPr>
      <w:bookmarkStart w:id="2" w:name="_ppbhixz6ypex" w:colFirst="0" w:colLast="0"/>
      <w:bookmarkStart w:id="3" w:name="_Toc200560835"/>
      <w:bookmarkEnd w:id="2"/>
      <w:r>
        <w:t>Strategy Analysis</w:t>
      </w:r>
      <w:bookmarkEnd w:id="3"/>
    </w:p>
    <w:p w14:paraId="7A8F5EE9" w14:textId="77777777" w:rsidR="00CD1A6A" w:rsidRDefault="001737F7">
      <w:pPr>
        <w:pStyle w:val="Heading2"/>
        <w:keepNext w:val="0"/>
        <w:keepLines w:val="0"/>
        <w:spacing w:before="0" w:after="0"/>
      </w:pPr>
      <w:bookmarkStart w:id="4" w:name="_xfy9kkgnsv1j" w:colFirst="0" w:colLast="0"/>
      <w:bookmarkStart w:id="5" w:name="_Toc200560836"/>
      <w:bookmarkEnd w:id="4"/>
      <w:r>
        <w:t>1. External Environment Audit</w:t>
      </w:r>
      <w:bookmarkEnd w:id="5"/>
    </w:p>
    <w:p w14:paraId="6938FC50" w14:textId="77777777" w:rsidR="00CD1A6A" w:rsidRDefault="001737F7">
      <w:pPr>
        <w:pStyle w:val="Heading3"/>
        <w:keepNext w:val="0"/>
        <w:keepLines w:val="0"/>
        <w:spacing w:before="0" w:after="0"/>
      </w:pPr>
      <w:bookmarkStart w:id="6" w:name="_1dbz98e9mglh" w:colFirst="0" w:colLast="0"/>
      <w:bookmarkStart w:id="7" w:name="_Toc200560837"/>
      <w:bookmarkEnd w:id="6"/>
      <w:r>
        <w:t>PESTLE Analysis of Bentley Motors Ltd</w:t>
      </w:r>
      <w:bookmarkEnd w:id="7"/>
    </w:p>
    <w:tbl>
      <w:tblPr>
        <w:tblStyle w:val="a"/>
        <w:tblW w:w="979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085"/>
        <w:gridCol w:w="7710"/>
      </w:tblGrid>
      <w:tr w:rsidR="00CD1A6A" w14:paraId="6EE7AA2B" w14:textId="77777777">
        <w:trPr>
          <w:cantSplit/>
          <w:trHeight w:val="515"/>
          <w:tblHeader/>
          <w:jc w:val="center"/>
        </w:trPr>
        <w:tc>
          <w:tcPr>
            <w:tcW w:w="2085" w:type="dxa"/>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tcPr>
          <w:p w14:paraId="4A348A04" w14:textId="77777777" w:rsidR="00CD1A6A" w:rsidRDefault="001737F7">
            <w:pPr>
              <w:pStyle w:val="Normal1"/>
              <w:jc w:val="center"/>
              <w:rPr>
                <w:b/>
              </w:rPr>
            </w:pPr>
            <w:r>
              <w:rPr>
                <w:b/>
              </w:rPr>
              <w:t>Factor</w:t>
            </w:r>
          </w:p>
        </w:tc>
        <w:tc>
          <w:tcPr>
            <w:tcW w:w="7710" w:type="dxa"/>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tcPr>
          <w:p w14:paraId="5C9F8615" w14:textId="77777777" w:rsidR="00CD1A6A" w:rsidRDefault="001737F7">
            <w:pPr>
              <w:pStyle w:val="Normal1"/>
              <w:jc w:val="center"/>
              <w:rPr>
                <w:b/>
              </w:rPr>
            </w:pPr>
            <w:r>
              <w:rPr>
                <w:b/>
              </w:rPr>
              <w:t>Key Issues for Bentley Motors Ltd</w:t>
            </w:r>
          </w:p>
        </w:tc>
      </w:tr>
      <w:tr w:rsidR="00CD1A6A" w14:paraId="090955C4" w14:textId="77777777">
        <w:trPr>
          <w:cantSplit/>
          <w:trHeight w:val="515"/>
          <w:tblHeader/>
          <w:jc w:val="center"/>
        </w:trPr>
        <w:tc>
          <w:tcPr>
            <w:tcW w:w="208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48782BF5" w14:textId="77777777" w:rsidR="00CD1A6A" w:rsidRDefault="001737F7">
            <w:pPr>
              <w:pStyle w:val="Normal1"/>
            </w:pPr>
            <w:r>
              <w:t>Political</w:t>
            </w:r>
          </w:p>
        </w:tc>
        <w:tc>
          <w:tcPr>
            <w:tcW w:w="7710"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453B250E" w14:textId="77777777" w:rsidR="00CD1A6A" w:rsidRDefault="001737F7">
            <w:pPr>
              <w:pStyle w:val="Normal1"/>
            </w:pPr>
            <w:r>
              <w:t>Brexit barriers, global trade regulations, and government EV policy</w:t>
            </w:r>
          </w:p>
        </w:tc>
      </w:tr>
      <w:tr w:rsidR="00CD1A6A" w14:paraId="626D20E8" w14:textId="77777777">
        <w:trPr>
          <w:cantSplit/>
          <w:trHeight w:val="515"/>
          <w:tblHeader/>
          <w:jc w:val="center"/>
        </w:trPr>
        <w:tc>
          <w:tcPr>
            <w:tcW w:w="208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462C0536" w14:textId="77777777" w:rsidR="00CD1A6A" w:rsidRDefault="001737F7">
            <w:pPr>
              <w:pStyle w:val="Normal1"/>
            </w:pPr>
            <w:r>
              <w:lastRenderedPageBreak/>
              <w:t>Economic</w:t>
            </w:r>
          </w:p>
        </w:tc>
        <w:tc>
          <w:tcPr>
            <w:tcW w:w="7710"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21D0CD9F" w14:textId="77777777" w:rsidR="00CD1A6A" w:rsidRDefault="001737F7">
            <w:pPr>
              <w:pStyle w:val="Normal1"/>
            </w:pPr>
            <w:r>
              <w:t>Inflation, EV investment support, and income-level shifts among luxury buyers (Peterson, 2024)</w:t>
            </w:r>
          </w:p>
        </w:tc>
      </w:tr>
      <w:tr w:rsidR="00CD1A6A" w14:paraId="16BD7D33" w14:textId="77777777">
        <w:trPr>
          <w:cantSplit/>
          <w:trHeight w:val="800"/>
          <w:tblHeader/>
          <w:jc w:val="center"/>
        </w:trPr>
        <w:tc>
          <w:tcPr>
            <w:tcW w:w="208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0F943D73" w14:textId="77777777" w:rsidR="00CD1A6A" w:rsidRDefault="001737F7">
            <w:pPr>
              <w:pStyle w:val="Normal1"/>
            </w:pPr>
            <w:r>
              <w:t>Social</w:t>
            </w:r>
          </w:p>
        </w:tc>
        <w:tc>
          <w:tcPr>
            <w:tcW w:w="7710"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45061E19" w14:textId="77777777" w:rsidR="00CD1A6A" w:rsidRDefault="001737F7">
            <w:pPr>
              <w:pStyle w:val="Normal1"/>
            </w:pPr>
            <w:r>
              <w:t>Ethical consumerism, generational sustainability trends, preference for bespoke luxury</w:t>
            </w:r>
          </w:p>
        </w:tc>
      </w:tr>
      <w:tr w:rsidR="00CD1A6A" w14:paraId="33B1E1B2" w14:textId="77777777">
        <w:trPr>
          <w:cantSplit/>
          <w:trHeight w:val="515"/>
          <w:tblHeader/>
          <w:jc w:val="center"/>
        </w:trPr>
        <w:tc>
          <w:tcPr>
            <w:tcW w:w="208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7E78D861" w14:textId="77777777" w:rsidR="00CD1A6A" w:rsidRDefault="001737F7">
            <w:pPr>
              <w:pStyle w:val="Normal1"/>
            </w:pPr>
            <w:r>
              <w:t>Technological</w:t>
            </w:r>
          </w:p>
        </w:tc>
        <w:tc>
          <w:tcPr>
            <w:tcW w:w="7710"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7D11ECAF" w14:textId="77777777" w:rsidR="00CD1A6A" w:rsidRDefault="001737F7">
            <w:pPr>
              <w:pStyle w:val="Normal1"/>
            </w:pPr>
            <w:r>
              <w:t>Electrification, autonomous vehicles, connected vehicle systems</w:t>
            </w:r>
          </w:p>
        </w:tc>
      </w:tr>
      <w:tr w:rsidR="00CD1A6A" w14:paraId="4211F409" w14:textId="77777777">
        <w:trPr>
          <w:cantSplit/>
          <w:trHeight w:val="515"/>
          <w:tblHeader/>
          <w:jc w:val="center"/>
        </w:trPr>
        <w:tc>
          <w:tcPr>
            <w:tcW w:w="208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4A2C47B3" w14:textId="77777777" w:rsidR="00CD1A6A" w:rsidRDefault="001737F7">
            <w:pPr>
              <w:pStyle w:val="Normal1"/>
            </w:pPr>
            <w:r>
              <w:t>Legal</w:t>
            </w:r>
          </w:p>
        </w:tc>
        <w:tc>
          <w:tcPr>
            <w:tcW w:w="7710"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1FC7764C" w14:textId="77777777" w:rsidR="00CD1A6A" w:rsidRDefault="001737F7">
            <w:pPr>
              <w:pStyle w:val="Normal1"/>
            </w:pPr>
            <w:r>
              <w:t>CO₂ regulations, safety and compliance, intellectual property laws</w:t>
            </w:r>
          </w:p>
        </w:tc>
      </w:tr>
      <w:tr w:rsidR="00CD1A6A" w14:paraId="02F5D232" w14:textId="77777777">
        <w:trPr>
          <w:cantSplit/>
          <w:trHeight w:val="515"/>
          <w:tblHeader/>
          <w:jc w:val="center"/>
        </w:trPr>
        <w:tc>
          <w:tcPr>
            <w:tcW w:w="208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45CBE079" w14:textId="77777777" w:rsidR="00CD1A6A" w:rsidRDefault="001737F7">
            <w:pPr>
              <w:pStyle w:val="Normal1"/>
            </w:pPr>
            <w:r>
              <w:t>Environmental</w:t>
            </w:r>
          </w:p>
        </w:tc>
        <w:tc>
          <w:tcPr>
            <w:tcW w:w="7710"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396F6EAE" w14:textId="77777777" w:rsidR="00CD1A6A" w:rsidRDefault="001737F7">
            <w:pPr>
              <w:pStyle w:val="Normal1"/>
            </w:pPr>
            <w:r>
              <w:t>Carbon neutrality mandates, ESG pressure, lifecycle emission expectations</w:t>
            </w:r>
          </w:p>
        </w:tc>
      </w:tr>
    </w:tbl>
    <w:p w14:paraId="2B8D787F" w14:textId="77777777" w:rsidR="00CD1A6A" w:rsidRDefault="001737F7">
      <w:pPr>
        <w:pStyle w:val="Normal1"/>
        <w:jc w:val="center"/>
        <w:rPr>
          <w:b/>
        </w:rPr>
      </w:pPr>
      <w:r>
        <w:rPr>
          <w:b/>
        </w:rPr>
        <w:t>Table 1: PESTLE Analysis</w:t>
      </w:r>
    </w:p>
    <w:p w14:paraId="6D5459AE" w14:textId="77777777" w:rsidR="00CD1A6A" w:rsidRDefault="001737F7">
      <w:pPr>
        <w:pStyle w:val="Normal1"/>
        <w:jc w:val="center"/>
      </w:pPr>
      <w:r>
        <w:t>(Source: Self-Created)</w:t>
      </w:r>
    </w:p>
    <w:p w14:paraId="58016C3C" w14:textId="77777777" w:rsidR="00CD1A6A" w:rsidRDefault="001737F7">
      <w:pPr>
        <w:pStyle w:val="Normal1"/>
        <w:rPr>
          <w:b/>
        </w:rPr>
      </w:pPr>
      <w:r>
        <w:rPr>
          <w:b/>
        </w:rPr>
        <w:t>Political Factors</w:t>
      </w:r>
    </w:p>
    <w:p w14:paraId="49A215BC" w14:textId="77777777" w:rsidR="00CD1A6A" w:rsidRDefault="001737F7">
      <w:pPr>
        <w:pStyle w:val="Normal1"/>
      </w:pPr>
      <w:r>
        <w:t xml:space="preserve">Bentley Motors Ltd. is operating in an environment that is politically touchy. The implications of Brexit have brought regulatory uncertainty, tariff impositions with capacity friction in the UK-EU change, which they have to manage to operate efficiently (Lee and Brown, 2021). Government-sponsored EV subsidies and emissions standards are reforming strategic picks for all of the markets Bentley serves. Geopolitical tensions and changes in regulations will continue to impact the delivery chain </w:t>
      </w:r>
      <w:proofErr w:type="spellStart"/>
      <w:r>
        <w:t>organisation</w:t>
      </w:r>
      <w:proofErr w:type="spellEnd"/>
      <w:r>
        <w:t xml:space="preserve"> processes and world distribution patterns.</w:t>
      </w:r>
    </w:p>
    <w:p w14:paraId="6A28A243" w14:textId="77777777" w:rsidR="00CD1A6A" w:rsidRDefault="001737F7">
      <w:pPr>
        <w:pStyle w:val="Normal1"/>
        <w:rPr>
          <w:b/>
        </w:rPr>
      </w:pPr>
      <w:r>
        <w:rPr>
          <w:b/>
        </w:rPr>
        <w:t>Economic Factors</w:t>
      </w:r>
    </w:p>
    <w:p w14:paraId="33E5E3CB" w14:textId="77777777" w:rsidR="00CD1A6A" w:rsidRDefault="001737F7">
      <w:pPr>
        <w:pStyle w:val="Normal1"/>
      </w:pPr>
      <w:r>
        <w:t>Bentley will need to manage increasing production costs from uncooked cloth inflation from an economic standpoint, while also managing delivery shortages driven by worldwide disturbances (Peterson, 2024). Even if sales in the luxurious segment have been resilient, macroeconomic volatility, such as recessionary pressures or interest rate hikes, can take consumers out of the high-end market and have an impact on their ability to buy extraordinary luxurious products.</w:t>
      </w:r>
    </w:p>
    <w:p w14:paraId="1560BB77" w14:textId="77777777" w:rsidR="00CD1A6A" w:rsidRDefault="001737F7">
      <w:pPr>
        <w:pStyle w:val="Normal1"/>
        <w:rPr>
          <w:b/>
        </w:rPr>
      </w:pPr>
      <w:r>
        <w:rPr>
          <w:b/>
        </w:rPr>
        <w:t>Social Factors</w:t>
      </w:r>
    </w:p>
    <w:p w14:paraId="3B047A1B" w14:textId="77777777" w:rsidR="00CD1A6A" w:rsidRDefault="001737F7">
      <w:pPr>
        <w:pStyle w:val="Normal1"/>
      </w:pPr>
      <w:r>
        <w:t xml:space="preserve">Socially, the trend in consumer </w:t>
      </w:r>
      <w:proofErr w:type="spellStart"/>
      <w:r>
        <w:t>behaviour</w:t>
      </w:r>
      <w:proofErr w:type="spellEnd"/>
      <w:r>
        <w:t xml:space="preserve"> is moving towards sustainable luxury by a younger, more eco-friendly population. The Millennials' and Gen Z's expectations for ethical sourcing and sustainable production, in addition to being digitally integrated, redefine luxury brands' value propositions (Theocharis and Tsekouropoulos, 2025).</w:t>
      </w:r>
    </w:p>
    <w:p w14:paraId="35CD284A" w14:textId="77777777" w:rsidR="00CD1A6A" w:rsidRDefault="001737F7">
      <w:pPr>
        <w:pStyle w:val="Normal1"/>
        <w:rPr>
          <w:b/>
        </w:rPr>
      </w:pPr>
      <w:r>
        <w:rPr>
          <w:b/>
        </w:rPr>
        <w:t>Technological Factors</w:t>
      </w:r>
    </w:p>
    <w:p w14:paraId="1A8F677E" w14:textId="77777777" w:rsidR="00CD1A6A" w:rsidRDefault="001737F7">
      <w:pPr>
        <w:pStyle w:val="Normal1"/>
      </w:pPr>
      <w:r>
        <w:lastRenderedPageBreak/>
        <w:t xml:space="preserve">The technological factors are primary to Bentley's approach. The global move towards electrification is mandatory. The automotive world is moving quickly to autonomous vehicles, AI design processes, and connected car systems. Bentley must invest heavily in R&amp;D in order to keep up with competitors' electrification initiatives. </w:t>
      </w:r>
    </w:p>
    <w:p w14:paraId="0A8200A1" w14:textId="77777777" w:rsidR="00CD1A6A" w:rsidRDefault="001737F7">
      <w:pPr>
        <w:pStyle w:val="Normal1"/>
        <w:rPr>
          <w:b/>
        </w:rPr>
      </w:pPr>
      <w:r>
        <w:rPr>
          <w:b/>
        </w:rPr>
        <w:t>Legal Factors</w:t>
      </w:r>
    </w:p>
    <w:p w14:paraId="385EC847" w14:textId="77777777" w:rsidR="00CD1A6A" w:rsidRDefault="001737F7">
      <w:pPr>
        <w:pStyle w:val="Normal1"/>
      </w:pPr>
      <w:r>
        <w:t xml:space="preserve">Legal sanctions have become stricter. Bentley is obliged to follow a set of extremely rigid laws for the UK and the European Union in terms of exhaust emissions, safety regulations, and intellectual property rights. Infringement of the rules may lead to quite severe penalties and loss of reputation (Dobre </w:t>
      </w:r>
      <w:r>
        <w:rPr>
          <w:i/>
        </w:rPr>
        <w:t>et al.,</w:t>
      </w:r>
      <w:r>
        <w:t xml:space="preserve"> 2021).</w:t>
      </w:r>
    </w:p>
    <w:p w14:paraId="27361094" w14:textId="77777777" w:rsidR="00CD1A6A" w:rsidRDefault="001737F7">
      <w:pPr>
        <w:pStyle w:val="Normal1"/>
        <w:rPr>
          <w:b/>
        </w:rPr>
      </w:pPr>
      <w:r>
        <w:rPr>
          <w:b/>
        </w:rPr>
        <w:t>Environmental Factors</w:t>
      </w:r>
    </w:p>
    <w:p w14:paraId="6026CDDD" w14:textId="77777777" w:rsidR="00CD1A6A" w:rsidRDefault="001737F7">
      <w:pPr>
        <w:pStyle w:val="Normal1"/>
      </w:pPr>
      <w:r>
        <w:t>From the environmental perspective, Bentley is confronting tremendous pressure to comply with the requirement of zero-emission goals and to change the entire production process to be eco-friendly. The Beyond100 initiative, to eliminate carbon emissions by 2030, and also taking the first steps to create a totally new brand, is the key to the future of the company. Furthermore, the investors are taking a new look at firms and have just started to demand more ‘Environmental, Social, and Governance (ESG)’ commitments (Chen</w:t>
      </w:r>
      <w:r>
        <w:rPr>
          <w:i/>
        </w:rPr>
        <w:t xml:space="preserve"> et al.,</w:t>
      </w:r>
      <w:r>
        <w:t xml:space="preserve"> 2023). Bentley’s success is critically hinged on the genuine environmental management of both operations and product choices.</w:t>
      </w:r>
    </w:p>
    <w:p w14:paraId="4BB477CB" w14:textId="77777777" w:rsidR="00CD1A6A" w:rsidRDefault="001737F7">
      <w:pPr>
        <w:pStyle w:val="Heading3"/>
        <w:keepNext w:val="0"/>
        <w:keepLines w:val="0"/>
        <w:spacing w:before="0" w:after="0"/>
      </w:pPr>
      <w:bookmarkStart w:id="8" w:name="_7v8ew8s91gb" w:colFirst="0" w:colLast="0"/>
      <w:bookmarkStart w:id="9" w:name="_Toc200560838"/>
      <w:bookmarkEnd w:id="8"/>
      <w:r>
        <w:t>Porter’s Five Forces Analysis</w:t>
      </w:r>
      <w:bookmarkEnd w:id="9"/>
    </w:p>
    <w:p w14:paraId="65647EC9" w14:textId="77777777" w:rsidR="00CD1A6A" w:rsidRDefault="001737F7">
      <w:pPr>
        <w:pStyle w:val="Normal1"/>
        <w:rPr>
          <w:b/>
        </w:rPr>
      </w:pPr>
      <w:r>
        <w:rPr>
          <w:b/>
        </w:rPr>
        <w:t>1. Industry Rivalry</w:t>
      </w:r>
    </w:p>
    <w:p w14:paraId="5B60CF44" w14:textId="77777777" w:rsidR="00CD1A6A" w:rsidRDefault="001737F7">
      <w:pPr>
        <w:pStyle w:val="Normal1"/>
      </w:pPr>
      <w:r>
        <w:t xml:space="preserve">Industry Rivalry within the luxury car sector is high. Bentley competes directly with brands like Rolls-Royce, Aston Martin, and Maserati (Goetzel and </w:t>
      </w:r>
      <w:proofErr w:type="spellStart"/>
      <w:r>
        <w:t>Hasanuzzaman</w:t>
      </w:r>
      <w:proofErr w:type="spellEnd"/>
      <w:r>
        <w:t>, 2022). The global push for electrification has increased R&amp;D spend across competitors, making more competition for market leadership in luxury EVs.</w:t>
      </w:r>
    </w:p>
    <w:p w14:paraId="2BFC5346" w14:textId="77777777" w:rsidR="00CD1A6A" w:rsidRDefault="001737F7">
      <w:pPr>
        <w:pStyle w:val="Normal1"/>
        <w:rPr>
          <w:b/>
        </w:rPr>
      </w:pPr>
      <w:r>
        <w:rPr>
          <w:b/>
        </w:rPr>
        <w:t>2. Threat of New Entrants</w:t>
      </w:r>
    </w:p>
    <w:p w14:paraId="0A1369AB" w14:textId="77777777" w:rsidR="00CD1A6A" w:rsidRDefault="001737F7">
      <w:pPr>
        <w:pStyle w:val="Normal1"/>
      </w:pPr>
      <w:r>
        <w:t>Threat of New Entrants is moderate. While barriers such as capital costs and brand identity are high, the digital disruption and emergence of EV-only entrants like Lucid Motors and Rivian are beginning to distract consumers, especially in tech-savvy markets.</w:t>
      </w:r>
    </w:p>
    <w:p w14:paraId="25C9724E" w14:textId="77777777" w:rsidR="00CD1A6A" w:rsidRDefault="001737F7">
      <w:pPr>
        <w:pStyle w:val="Normal1"/>
        <w:jc w:val="center"/>
      </w:pPr>
      <w:r>
        <w:rPr>
          <w:noProof/>
        </w:rPr>
        <w:lastRenderedPageBreak/>
        <w:drawing>
          <wp:inline distT="114300" distB="114300" distL="114300" distR="114300" wp14:anchorId="7C3E3311" wp14:editId="793A0AFC">
            <wp:extent cx="2682038" cy="2159384"/>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t="7978"/>
                    <a:stretch>
                      <a:fillRect/>
                    </a:stretch>
                  </pic:blipFill>
                  <pic:spPr>
                    <a:xfrm>
                      <a:off x="0" y="0"/>
                      <a:ext cx="2682038" cy="2159384"/>
                    </a:xfrm>
                    <a:prstGeom prst="rect">
                      <a:avLst/>
                    </a:prstGeom>
                    <a:ln w="12700">
                      <a:solidFill>
                        <a:srgbClr val="000000"/>
                      </a:solidFill>
                      <a:prstDash val="solid"/>
                    </a:ln>
                  </pic:spPr>
                </pic:pic>
              </a:graphicData>
            </a:graphic>
          </wp:inline>
        </w:drawing>
      </w:r>
    </w:p>
    <w:p w14:paraId="3C32E21E" w14:textId="77777777" w:rsidR="00CD1A6A" w:rsidRDefault="001737F7">
      <w:pPr>
        <w:pStyle w:val="Normal1"/>
        <w:jc w:val="center"/>
        <w:rPr>
          <w:b/>
        </w:rPr>
      </w:pPr>
      <w:r>
        <w:rPr>
          <w:b/>
        </w:rPr>
        <w:t>Figure 2: Porter’s Five Forces</w:t>
      </w:r>
    </w:p>
    <w:p w14:paraId="07197331" w14:textId="77777777" w:rsidR="00CD1A6A" w:rsidRDefault="001737F7">
      <w:pPr>
        <w:pStyle w:val="Normal1"/>
        <w:jc w:val="center"/>
      </w:pPr>
      <w:r>
        <w:t>(Source: Mathieu Tahon, 2022)</w:t>
      </w:r>
    </w:p>
    <w:p w14:paraId="7664CD8E" w14:textId="77777777" w:rsidR="00CD1A6A" w:rsidRDefault="001737F7">
      <w:pPr>
        <w:pStyle w:val="Normal1"/>
        <w:rPr>
          <w:b/>
        </w:rPr>
      </w:pPr>
      <w:r>
        <w:rPr>
          <w:b/>
        </w:rPr>
        <w:t>3. Bargaining Power of Suppliers</w:t>
      </w:r>
    </w:p>
    <w:p w14:paraId="142EA79E" w14:textId="77777777" w:rsidR="00CD1A6A" w:rsidRDefault="001737F7">
      <w:pPr>
        <w:pStyle w:val="Normal1"/>
      </w:pPr>
      <w:r>
        <w:t xml:space="preserve">Bargaining Power of Suppliers is high due to Bentley's reliance on </w:t>
      </w:r>
      <w:proofErr w:type="spellStart"/>
      <w:r>
        <w:t>specialised</w:t>
      </w:r>
      <w:proofErr w:type="spellEnd"/>
      <w:r>
        <w:t xml:space="preserve"> parts and craftsmanship. The supply chain risk from shortages (such as semiconductors) further exacerbates the reliance. Bentley must ensure there are diverse and robust sourcing plans.</w:t>
      </w:r>
    </w:p>
    <w:p w14:paraId="5CE10295" w14:textId="77777777" w:rsidR="00CD1A6A" w:rsidRDefault="001737F7">
      <w:pPr>
        <w:pStyle w:val="Normal1"/>
        <w:rPr>
          <w:b/>
        </w:rPr>
      </w:pPr>
      <w:r>
        <w:rPr>
          <w:b/>
        </w:rPr>
        <w:t>4. Bargaining Power of Buyers</w:t>
      </w:r>
    </w:p>
    <w:p w14:paraId="3F2CF215" w14:textId="77777777" w:rsidR="00CD1A6A" w:rsidRDefault="001737F7">
      <w:pPr>
        <w:pStyle w:val="Normal1"/>
      </w:pPr>
      <w:r>
        <w:t xml:space="preserve">Bargaining Power of Buyers is moderate. Bentley taps into a niche luxury market with brand-loyal consumers (Pichler </w:t>
      </w:r>
      <w:r>
        <w:rPr>
          <w:i/>
        </w:rPr>
        <w:t xml:space="preserve">et al., </w:t>
      </w:r>
      <w:r>
        <w:t xml:space="preserve">2021). The increase in high-performance EVs by competitors means consumers have greater options. Bentley needs to deliver premium quality and a unique </w:t>
      </w:r>
      <w:proofErr w:type="spellStart"/>
      <w:r>
        <w:t>customisation</w:t>
      </w:r>
      <w:proofErr w:type="spellEnd"/>
      <w:r>
        <w:t xml:space="preserve"> experience to maintain this segment.</w:t>
      </w:r>
    </w:p>
    <w:p w14:paraId="3A4FF54F" w14:textId="77777777" w:rsidR="00CD1A6A" w:rsidRDefault="001737F7">
      <w:pPr>
        <w:pStyle w:val="Normal1"/>
        <w:rPr>
          <w:b/>
        </w:rPr>
      </w:pPr>
      <w:r>
        <w:rPr>
          <w:b/>
        </w:rPr>
        <w:t>5. Threat of Substitutes</w:t>
      </w:r>
    </w:p>
    <w:p w14:paraId="28829DD5" w14:textId="77777777" w:rsidR="00CD1A6A" w:rsidRDefault="001737F7">
      <w:pPr>
        <w:pStyle w:val="Normal1"/>
      </w:pPr>
      <w:r>
        <w:t xml:space="preserve">The threat of Substitutes is increasing. Consumers are moving toward sustainable transport alternatives like electric </w:t>
      </w:r>
      <w:proofErr w:type="spellStart"/>
      <w:r>
        <w:t>hypercars</w:t>
      </w:r>
      <w:proofErr w:type="spellEnd"/>
      <w:r>
        <w:t xml:space="preserve"> or even luxury mobility services. The luxury EV segment is growing rapidly, and without technological leadership, Bentley becomes obsolete.</w:t>
      </w:r>
    </w:p>
    <w:p w14:paraId="35EDCED1" w14:textId="77777777" w:rsidR="00CD1A6A" w:rsidRDefault="001737F7">
      <w:pPr>
        <w:pStyle w:val="Heading2"/>
        <w:keepNext w:val="0"/>
        <w:keepLines w:val="0"/>
        <w:spacing w:before="0" w:after="0"/>
      </w:pPr>
      <w:bookmarkStart w:id="10" w:name="_w9gt26gqs7bn" w:colFirst="0" w:colLast="0"/>
      <w:bookmarkStart w:id="11" w:name="_Toc200560839"/>
      <w:bookmarkEnd w:id="10"/>
      <w:r>
        <w:t>2. Internal Environment Audit</w:t>
      </w:r>
      <w:bookmarkEnd w:id="11"/>
    </w:p>
    <w:p w14:paraId="7F240AFA" w14:textId="77777777" w:rsidR="00CD1A6A" w:rsidRDefault="001737F7">
      <w:pPr>
        <w:pStyle w:val="Heading3"/>
        <w:spacing w:before="0" w:after="0"/>
      </w:pPr>
      <w:bookmarkStart w:id="12" w:name="_yv7ru02dt9nc" w:colFirst="0" w:colLast="0"/>
      <w:bookmarkStart w:id="13" w:name="_Toc200560840"/>
      <w:bookmarkEnd w:id="12"/>
      <w:r>
        <w:t>Value Chain Analysis</w:t>
      </w:r>
      <w:bookmarkEnd w:id="13"/>
    </w:p>
    <w:p w14:paraId="24C61DF8" w14:textId="77777777" w:rsidR="00CD1A6A" w:rsidRDefault="001737F7">
      <w:pPr>
        <w:pStyle w:val="Normal1"/>
        <w:rPr>
          <w:b/>
        </w:rPr>
      </w:pPr>
      <w:r>
        <w:rPr>
          <w:b/>
        </w:rPr>
        <w:t>Primary Activities</w:t>
      </w:r>
    </w:p>
    <w:p w14:paraId="5F788464" w14:textId="77777777" w:rsidR="00CD1A6A" w:rsidRDefault="001737F7">
      <w:pPr>
        <w:pStyle w:val="Normal1"/>
        <w:rPr>
          <w:b/>
          <w:sz w:val="22"/>
          <w:szCs w:val="22"/>
        </w:rPr>
      </w:pPr>
      <w:r>
        <w:rPr>
          <w:b/>
        </w:rPr>
        <w:t>1. Inbound Logistics</w:t>
      </w:r>
    </w:p>
    <w:p w14:paraId="2D7BCD3E" w14:textId="77777777" w:rsidR="00CD1A6A" w:rsidRDefault="001737F7">
      <w:pPr>
        <w:pStyle w:val="Normal1"/>
      </w:pPr>
      <w:r>
        <w:t xml:space="preserve">Bentley advantages from its integration in the Volkswagen Group`s worldwide procurement network, permitting get entry to </w:t>
      </w:r>
      <w:proofErr w:type="spellStart"/>
      <w:r>
        <w:t>to</w:t>
      </w:r>
      <w:proofErr w:type="spellEnd"/>
      <w:r>
        <w:t xml:space="preserve"> superior logistics infrastructure and economies of scale. However, the reliance on niche, great providers for handmade materials, inclusive of first-rate leather and uncommon woods, will increase logistical complexity and ends in prolonged lead times (Kuznetsov</w:t>
      </w:r>
      <w:r>
        <w:rPr>
          <w:i/>
        </w:rPr>
        <w:t xml:space="preserve"> et al.,</w:t>
      </w:r>
      <w:r>
        <w:t xml:space="preserve"> 2021).</w:t>
      </w:r>
    </w:p>
    <w:p w14:paraId="017D7FFF" w14:textId="77777777" w:rsidR="00CD1A6A" w:rsidRDefault="001737F7">
      <w:pPr>
        <w:pStyle w:val="Normal1"/>
        <w:rPr>
          <w:b/>
        </w:rPr>
      </w:pPr>
      <w:r>
        <w:rPr>
          <w:b/>
        </w:rPr>
        <w:t>2. Operations</w:t>
      </w:r>
    </w:p>
    <w:p w14:paraId="46A3FD27" w14:textId="77777777" w:rsidR="00CD1A6A" w:rsidRDefault="001737F7">
      <w:pPr>
        <w:pStyle w:val="Normal1"/>
      </w:pPr>
      <w:r>
        <w:lastRenderedPageBreak/>
        <w:t>The production website online in Crewe serves as Bentley’s center of operational hub. It is each a symbolic and practical asset, regarded for hand-constructed craftsmanship. Under the Beyond100 strategy, the website is being converted to help with the manufacturing of electric vehicles. This transformation consists of considerable investments in automation, virtual production processes, and renewable electricity use, improving sustainability and manufacturing efficiency.</w:t>
      </w:r>
    </w:p>
    <w:p w14:paraId="1C339EC2" w14:textId="77777777" w:rsidR="00CD1A6A" w:rsidRDefault="001737F7">
      <w:pPr>
        <w:pStyle w:val="Normal1"/>
        <w:jc w:val="center"/>
      </w:pPr>
      <w:r>
        <w:rPr>
          <w:noProof/>
        </w:rPr>
        <w:drawing>
          <wp:inline distT="114300" distB="114300" distL="114300" distR="114300" wp14:anchorId="42C45078" wp14:editId="004FED3B">
            <wp:extent cx="3127473" cy="1605297"/>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cstate="print"/>
                    <a:srcRect/>
                    <a:stretch>
                      <a:fillRect/>
                    </a:stretch>
                  </pic:blipFill>
                  <pic:spPr>
                    <a:xfrm>
                      <a:off x="0" y="0"/>
                      <a:ext cx="3127473" cy="1605297"/>
                    </a:xfrm>
                    <a:prstGeom prst="rect">
                      <a:avLst/>
                    </a:prstGeom>
                    <a:ln w="12700">
                      <a:solidFill>
                        <a:srgbClr val="000000"/>
                      </a:solidFill>
                      <a:prstDash val="solid"/>
                    </a:ln>
                  </pic:spPr>
                </pic:pic>
              </a:graphicData>
            </a:graphic>
          </wp:inline>
        </w:drawing>
      </w:r>
    </w:p>
    <w:p w14:paraId="035E3266" w14:textId="77777777" w:rsidR="00CD1A6A" w:rsidRDefault="001737F7">
      <w:pPr>
        <w:pStyle w:val="Normal1"/>
        <w:jc w:val="center"/>
        <w:rPr>
          <w:b/>
        </w:rPr>
      </w:pPr>
      <w:r>
        <w:rPr>
          <w:b/>
        </w:rPr>
        <w:t>Figure 3: Value Chain Analysis</w:t>
      </w:r>
    </w:p>
    <w:p w14:paraId="4FC03631" w14:textId="77777777" w:rsidR="00CD1A6A" w:rsidRDefault="001737F7">
      <w:pPr>
        <w:pStyle w:val="Normal1"/>
        <w:jc w:val="center"/>
      </w:pPr>
      <w:r>
        <w:t xml:space="preserve">(Source: Yun and </w:t>
      </w:r>
      <w:proofErr w:type="spellStart"/>
      <w:r>
        <w:t>Yigitcanlar</w:t>
      </w:r>
      <w:proofErr w:type="spellEnd"/>
      <w:r>
        <w:t>, 2022)</w:t>
      </w:r>
    </w:p>
    <w:p w14:paraId="1BEBC60D" w14:textId="77777777" w:rsidR="00CD1A6A" w:rsidRDefault="00CD1A6A">
      <w:pPr>
        <w:pStyle w:val="Normal1"/>
        <w:jc w:val="center"/>
      </w:pPr>
    </w:p>
    <w:p w14:paraId="3F19A8CE" w14:textId="77777777" w:rsidR="00CD1A6A" w:rsidRDefault="001737F7">
      <w:pPr>
        <w:pStyle w:val="Normal1"/>
        <w:rPr>
          <w:b/>
        </w:rPr>
      </w:pPr>
      <w:r>
        <w:rPr>
          <w:b/>
        </w:rPr>
        <w:t>3. Outbound Logistics</w:t>
      </w:r>
    </w:p>
    <w:p w14:paraId="566DB6A2" w14:textId="77777777" w:rsidR="00CD1A6A" w:rsidRDefault="001737F7">
      <w:pPr>
        <w:pStyle w:val="Normal1"/>
      </w:pPr>
      <w:r>
        <w:t xml:space="preserve">Each car is custom-constructed and needs to be introduced through deliberate and complex strategies, the usage of expert shipping with related top-rate shipping reviews (Gautam </w:t>
      </w:r>
      <w:r>
        <w:rPr>
          <w:i/>
        </w:rPr>
        <w:t>et al.,</w:t>
      </w:r>
      <w:r>
        <w:t xml:space="preserve"> 2024). In order to, mean that those logistics are instrumental to Bentley`s emblem photographs and required strategies of scheduling and coordination that healthy with their international dealership network.</w:t>
      </w:r>
    </w:p>
    <w:p w14:paraId="4A044FD9" w14:textId="77777777" w:rsidR="00CD1A6A" w:rsidRDefault="001737F7">
      <w:pPr>
        <w:pStyle w:val="Normal1"/>
        <w:rPr>
          <w:b/>
        </w:rPr>
      </w:pPr>
      <w:r>
        <w:rPr>
          <w:b/>
        </w:rPr>
        <w:t>4. Marketing and Sales</w:t>
      </w:r>
    </w:p>
    <w:p w14:paraId="2278205C" w14:textId="77777777" w:rsidR="00CD1A6A" w:rsidRDefault="001737F7">
      <w:pPr>
        <w:pStyle w:val="Normal1"/>
      </w:pPr>
      <w:r>
        <w:t xml:space="preserve">Bentley positions itself with British luxury, unmitigated innovation, and sustainability as key additives to its advertising. Bentley additionally harnesses confined editions, exceptional events, virtual storytelling, and comfort partnerships as advertising strategies (Nicoli </w:t>
      </w:r>
      <w:r>
        <w:rPr>
          <w:i/>
        </w:rPr>
        <w:t>et al.,</w:t>
      </w:r>
      <w:r>
        <w:t xml:space="preserve"> 2021). Sales channels are pretty curated, </w:t>
      </w:r>
      <w:proofErr w:type="spellStart"/>
      <w:r>
        <w:t>specialising</w:t>
      </w:r>
      <w:proofErr w:type="spellEnd"/>
      <w:r>
        <w:t xml:space="preserve"> in consumer intimacy and exclusivity through specific dealership reviews and emblem ambassadors.</w:t>
      </w:r>
    </w:p>
    <w:p w14:paraId="757E2BCE" w14:textId="77777777" w:rsidR="00CD1A6A" w:rsidRDefault="001737F7">
      <w:pPr>
        <w:pStyle w:val="Normal1"/>
        <w:rPr>
          <w:b/>
        </w:rPr>
      </w:pPr>
      <w:r>
        <w:rPr>
          <w:b/>
        </w:rPr>
        <w:t>5. Service</w:t>
      </w:r>
    </w:p>
    <w:p w14:paraId="04637B7F" w14:textId="77777777" w:rsidR="00CD1A6A" w:rsidRDefault="001737F7">
      <w:pPr>
        <w:pStyle w:val="Normal1"/>
      </w:pPr>
      <w:r>
        <w:t>After-income provider bureaucracy is the center of Bentley's consumer retention strategy. Bentley gives bespoke servicing, luxurious improvement options, and top-rate care applications that maintain brand loyalty. Service operations accumulate statistics used as comments to the subsequent era merchandise, which guarantees non-stop improvement.</w:t>
      </w:r>
    </w:p>
    <w:p w14:paraId="77855BC6" w14:textId="77777777" w:rsidR="00CD1A6A" w:rsidRDefault="001737F7">
      <w:pPr>
        <w:pStyle w:val="Normal1"/>
        <w:rPr>
          <w:b/>
        </w:rPr>
      </w:pPr>
      <w:r>
        <w:rPr>
          <w:b/>
        </w:rPr>
        <w:t>Support Activities</w:t>
      </w:r>
    </w:p>
    <w:p w14:paraId="521EB450" w14:textId="77777777" w:rsidR="00CD1A6A" w:rsidRDefault="001737F7">
      <w:pPr>
        <w:pStyle w:val="Normal1"/>
        <w:rPr>
          <w:b/>
        </w:rPr>
      </w:pPr>
      <w:r>
        <w:rPr>
          <w:b/>
        </w:rPr>
        <w:lastRenderedPageBreak/>
        <w:t>1. Procurement</w:t>
      </w:r>
    </w:p>
    <w:p w14:paraId="7EF844CA" w14:textId="77777777" w:rsidR="00CD1A6A" w:rsidRDefault="001737F7">
      <w:pPr>
        <w:pStyle w:val="Normal1"/>
      </w:pPr>
      <w:r>
        <w:t xml:space="preserve">The tailor-made characteristics of every Bentley car, outbound logistics are very tailored. Each car is custom-made and needs to be rolled outside </w:t>
      </w:r>
      <w:proofErr w:type="spellStart"/>
      <w:r>
        <w:t>utilising</w:t>
      </w:r>
      <w:proofErr w:type="spellEnd"/>
      <w:r>
        <w:t xml:space="preserve"> purposeful and complex strategies, </w:t>
      </w:r>
      <w:proofErr w:type="spellStart"/>
      <w:r>
        <w:t>utilising</w:t>
      </w:r>
      <w:proofErr w:type="spellEnd"/>
      <w:r>
        <w:t xml:space="preserve"> specialist possible shipping with connected top-rate shipping reviews. </w:t>
      </w:r>
    </w:p>
    <w:p w14:paraId="1573F086" w14:textId="77777777" w:rsidR="00CD1A6A" w:rsidRDefault="001737F7">
      <w:pPr>
        <w:pStyle w:val="Normal1"/>
        <w:rPr>
          <w:b/>
        </w:rPr>
      </w:pPr>
      <w:r>
        <w:rPr>
          <w:b/>
        </w:rPr>
        <w:t>2. Technology Development</w:t>
      </w:r>
    </w:p>
    <w:p w14:paraId="1BDEF0F7" w14:textId="77777777" w:rsidR="00CD1A6A" w:rsidRDefault="001737F7">
      <w:pPr>
        <w:pStyle w:val="Normal1"/>
      </w:pPr>
      <w:r>
        <w:t xml:space="preserve">Bentley promotes itself with British luxury, indisputable innovation, and sustainability as selling concepts (MEHRA and JAIN 2021). Bentley additionally takes great advantage of limited editions, extraordinary events, virtual storytelling, and comfort partnerships as promotional strategies. </w:t>
      </w:r>
    </w:p>
    <w:p w14:paraId="52CEF49E" w14:textId="77777777" w:rsidR="00CD1A6A" w:rsidRDefault="001737F7">
      <w:pPr>
        <w:pStyle w:val="Normal1"/>
        <w:rPr>
          <w:b/>
        </w:rPr>
      </w:pPr>
      <w:r>
        <w:rPr>
          <w:b/>
        </w:rPr>
        <w:t>3. Human Resource Management</w:t>
      </w:r>
    </w:p>
    <w:p w14:paraId="688B36C6" w14:textId="77777777" w:rsidR="00CD1A6A" w:rsidRDefault="001737F7">
      <w:pPr>
        <w:pStyle w:val="Normal1"/>
      </w:pPr>
      <w:r>
        <w:t>Bentley places high emphasis on craftsmanship and workforce expertise. Its human resource strategy includes traditional apprenticeships, advanced skills training, and employee wellbeing initiatives. These ensure a sustainable talent pipeline capable of preserving Bentley’s hand-built legacy in a digital future.</w:t>
      </w:r>
    </w:p>
    <w:p w14:paraId="3FC140EB" w14:textId="77777777" w:rsidR="00CD1A6A" w:rsidRDefault="001737F7">
      <w:pPr>
        <w:pStyle w:val="Normal1"/>
        <w:rPr>
          <w:b/>
        </w:rPr>
      </w:pPr>
      <w:r>
        <w:rPr>
          <w:b/>
        </w:rPr>
        <w:t>4. Firm Infrastructure</w:t>
      </w:r>
    </w:p>
    <w:p w14:paraId="73E43BED" w14:textId="77777777" w:rsidR="00CD1A6A" w:rsidRDefault="001737F7">
      <w:pPr>
        <w:pStyle w:val="Normal1"/>
      </w:pPr>
      <w:r>
        <w:t>After-selling service comes the guts of Bentley's consumer retention strategy.  Bentley promotes custom servicing, luxury upgrade options, and chief care programs that hold emblem loyalty. Service operations are used as information used as feedback for the subsequent product generation, and that enables non-stop improvement (Manjunath</w:t>
      </w:r>
      <w:r>
        <w:rPr>
          <w:i/>
        </w:rPr>
        <w:t xml:space="preserve"> et al.,</w:t>
      </w:r>
      <w:r>
        <w:t xml:space="preserve"> 2024).</w:t>
      </w:r>
    </w:p>
    <w:p w14:paraId="15DBFB05" w14:textId="77777777" w:rsidR="00CD1A6A" w:rsidRDefault="001737F7">
      <w:pPr>
        <w:pStyle w:val="Heading3"/>
        <w:keepNext w:val="0"/>
        <w:keepLines w:val="0"/>
        <w:spacing w:before="0" w:after="0"/>
      </w:pPr>
      <w:bookmarkStart w:id="14" w:name="_8k9j4e14edui" w:colFirst="0" w:colLast="0"/>
      <w:bookmarkStart w:id="15" w:name="_Toc200560841"/>
      <w:bookmarkEnd w:id="14"/>
      <w:r>
        <w:t>Resource-Based View (RBV)</w:t>
      </w:r>
      <w:bookmarkEnd w:id="15"/>
    </w:p>
    <w:p w14:paraId="3339B57A" w14:textId="77777777" w:rsidR="00CD1A6A" w:rsidRDefault="001737F7">
      <w:pPr>
        <w:pStyle w:val="Normal1"/>
      </w:pPr>
      <w:r>
        <w:t xml:space="preserve">Bentley’s tangible assets encompass its extensive valuation generation for manufacturing, particularly its superior manufacturing facilities, testing centers, and prototyping labs in Crewe. Financial capital from the determined </w:t>
      </w:r>
      <w:proofErr w:type="spellStart"/>
      <w:r>
        <w:t>organisation</w:t>
      </w:r>
      <w:proofErr w:type="spellEnd"/>
      <w:r>
        <w:t xml:space="preserve"> Volkswagen creates operational protection and capacity to invest (</w:t>
      </w:r>
      <w:proofErr w:type="spellStart"/>
      <w:r>
        <w:t>Bhattacheryay</w:t>
      </w:r>
      <w:proofErr w:type="spellEnd"/>
      <w:r>
        <w:t>, 2023). While tangible assets are exceptional, Bentley is predicated on intangible assets.</w:t>
      </w:r>
    </w:p>
    <w:p w14:paraId="47F3C7CF" w14:textId="77777777" w:rsidR="00CD1A6A" w:rsidRDefault="001737F7">
      <w:pPr>
        <w:pStyle w:val="Normal1"/>
        <w:jc w:val="center"/>
      </w:pPr>
      <w:r>
        <w:rPr>
          <w:noProof/>
        </w:rPr>
        <w:lastRenderedPageBreak/>
        <w:drawing>
          <wp:inline distT="114300" distB="114300" distL="114300" distR="114300" wp14:anchorId="154C978D" wp14:editId="365EA8A8">
            <wp:extent cx="2631332" cy="2576513"/>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631332" cy="2576513"/>
                    </a:xfrm>
                    <a:prstGeom prst="rect">
                      <a:avLst/>
                    </a:prstGeom>
                    <a:ln w="12700">
                      <a:solidFill>
                        <a:srgbClr val="000000"/>
                      </a:solidFill>
                      <a:prstDash val="solid"/>
                    </a:ln>
                  </pic:spPr>
                </pic:pic>
              </a:graphicData>
            </a:graphic>
          </wp:inline>
        </w:drawing>
      </w:r>
    </w:p>
    <w:p w14:paraId="6E453CC5" w14:textId="77777777" w:rsidR="00CD1A6A" w:rsidRDefault="001737F7">
      <w:pPr>
        <w:pStyle w:val="Normal1"/>
        <w:jc w:val="center"/>
        <w:rPr>
          <w:b/>
        </w:rPr>
      </w:pPr>
      <w:r>
        <w:rPr>
          <w:b/>
        </w:rPr>
        <w:t>Figure 4: Resource-Based View (RBV)</w:t>
      </w:r>
    </w:p>
    <w:p w14:paraId="713932F8" w14:textId="77777777" w:rsidR="00CD1A6A" w:rsidRDefault="001737F7">
      <w:pPr>
        <w:pStyle w:val="Normal1"/>
        <w:jc w:val="center"/>
      </w:pPr>
      <w:r>
        <w:t xml:space="preserve">(Source: Ogutu </w:t>
      </w:r>
      <w:r>
        <w:rPr>
          <w:i/>
        </w:rPr>
        <w:t xml:space="preserve">et al., </w:t>
      </w:r>
      <w:r>
        <w:t>2023)</w:t>
      </w:r>
    </w:p>
    <w:p w14:paraId="3A655964" w14:textId="77777777" w:rsidR="00CD1A6A" w:rsidRDefault="001737F7">
      <w:pPr>
        <w:pStyle w:val="Normal1"/>
      </w:pPr>
      <w:r>
        <w:t>Bentley's emblem, records, and purchaser loyalty are precious assets to offer a differentiation advantage. Furthermore, Bentley's layout and engineering abilities originate from particular technology, and their proprietary proper to design are also fairly precious.</w:t>
      </w:r>
    </w:p>
    <w:p w14:paraId="5D23308F" w14:textId="77777777" w:rsidR="00CD1A6A" w:rsidRDefault="001737F7">
      <w:pPr>
        <w:pStyle w:val="Heading3"/>
        <w:keepNext w:val="0"/>
        <w:keepLines w:val="0"/>
        <w:spacing w:before="0" w:after="0"/>
      </w:pPr>
      <w:bookmarkStart w:id="16" w:name="_900oncihs519" w:colFirst="0" w:colLast="0"/>
      <w:bookmarkStart w:id="17" w:name="_Toc200560842"/>
      <w:bookmarkEnd w:id="16"/>
      <w:r>
        <w:t>VRIO Framework</w:t>
      </w:r>
      <w:bookmarkEnd w:id="17"/>
    </w:p>
    <w:tbl>
      <w:tblPr>
        <w:tblStyle w:val="a0"/>
        <w:tblW w:w="1008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045"/>
        <w:gridCol w:w="1125"/>
        <w:gridCol w:w="870"/>
        <w:gridCol w:w="1410"/>
        <w:gridCol w:w="1320"/>
        <w:gridCol w:w="2310"/>
      </w:tblGrid>
      <w:tr w:rsidR="00CD1A6A" w14:paraId="6D0D9F65" w14:textId="77777777">
        <w:trPr>
          <w:cantSplit/>
          <w:trHeight w:val="515"/>
          <w:tblHeader/>
          <w:jc w:val="center"/>
        </w:trPr>
        <w:tc>
          <w:tcPr>
            <w:tcW w:w="304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A0AD8FC" w14:textId="77777777" w:rsidR="00CD1A6A" w:rsidRDefault="001737F7">
            <w:pPr>
              <w:pStyle w:val="Normal1"/>
              <w:spacing w:line="240" w:lineRule="auto"/>
              <w:jc w:val="center"/>
              <w:rPr>
                <w:b/>
              </w:rPr>
            </w:pPr>
            <w:r>
              <w:rPr>
                <w:b/>
              </w:rPr>
              <w:t>Core Resource/Capability</w:t>
            </w:r>
          </w:p>
        </w:tc>
        <w:tc>
          <w:tcPr>
            <w:tcW w:w="112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D32F8C3" w14:textId="77777777" w:rsidR="00CD1A6A" w:rsidRDefault="001737F7">
            <w:pPr>
              <w:pStyle w:val="Normal1"/>
              <w:spacing w:line="240" w:lineRule="auto"/>
              <w:jc w:val="center"/>
              <w:rPr>
                <w:b/>
              </w:rPr>
            </w:pPr>
            <w:r>
              <w:rPr>
                <w:b/>
              </w:rPr>
              <w:t>Valuable</w:t>
            </w:r>
          </w:p>
        </w:tc>
        <w:tc>
          <w:tcPr>
            <w:tcW w:w="87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77E3A0A" w14:textId="77777777" w:rsidR="00CD1A6A" w:rsidRDefault="001737F7">
            <w:pPr>
              <w:pStyle w:val="Normal1"/>
              <w:spacing w:line="240" w:lineRule="auto"/>
              <w:jc w:val="center"/>
              <w:rPr>
                <w:b/>
              </w:rPr>
            </w:pPr>
            <w:r>
              <w:rPr>
                <w:b/>
              </w:rPr>
              <w:t>Rare</w:t>
            </w:r>
          </w:p>
        </w:tc>
        <w:tc>
          <w:tcPr>
            <w:tcW w:w="141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0856C5F" w14:textId="77777777" w:rsidR="00CD1A6A" w:rsidRDefault="001737F7">
            <w:pPr>
              <w:pStyle w:val="Normal1"/>
              <w:spacing w:line="240" w:lineRule="auto"/>
              <w:jc w:val="center"/>
              <w:rPr>
                <w:b/>
              </w:rPr>
            </w:pPr>
            <w:r>
              <w:rPr>
                <w:b/>
              </w:rPr>
              <w:t>Inimitable</w:t>
            </w:r>
          </w:p>
        </w:tc>
        <w:tc>
          <w:tcPr>
            <w:tcW w:w="132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099B5115" w14:textId="77777777" w:rsidR="00CD1A6A" w:rsidRDefault="001737F7">
            <w:pPr>
              <w:pStyle w:val="Normal1"/>
              <w:spacing w:line="240" w:lineRule="auto"/>
              <w:jc w:val="center"/>
              <w:rPr>
                <w:b/>
              </w:rPr>
            </w:pPr>
            <w:proofErr w:type="spellStart"/>
            <w:r>
              <w:rPr>
                <w:b/>
              </w:rPr>
              <w:t>Organised</w:t>
            </w:r>
            <w:proofErr w:type="spellEnd"/>
          </w:p>
        </w:tc>
        <w:tc>
          <w:tcPr>
            <w:tcW w:w="231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6823A91" w14:textId="77777777" w:rsidR="00CD1A6A" w:rsidRDefault="001737F7">
            <w:pPr>
              <w:pStyle w:val="Normal1"/>
              <w:spacing w:line="240" w:lineRule="auto"/>
              <w:jc w:val="center"/>
              <w:rPr>
                <w:b/>
              </w:rPr>
            </w:pPr>
            <w:r>
              <w:rPr>
                <w:b/>
              </w:rPr>
              <w:t>Outcome</w:t>
            </w:r>
          </w:p>
        </w:tc>
      </w:tr>
      <w:tr w:rsidR="00CD1A6A" w14:paraId="5C9F49DA" w14:textId="77777777">
        <w:trPr>
          <w:cantSplit/>
          <w:trHeight w:val="1085"/>
          <w:tblHeader/>
          <w:jc w:val="center"/>
        </w:trPr>
        <w:tc>
          <w:tcPr>
            <w:tcW w:w="304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EA8D3E9" w14:textId="77777777" w:rsidR="00CD1A6A" w:rsidRDefault="001737F7">
            <w:pPr>
              <w:pStyle w:val="Normal1"/>
              <w:spacing w:line="240" w:lineRule="auto"/>
            </w:pPr>
            <w:r>
              <w:t>Heritage Luxury Brand</w:t>
            </w:r>
          </w:p>
        </w:tc>
        <w:tc>
          <w:tcPr>
            <w:tcW w:w="112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6DD672F9" w14:textId="77777777" w:rsidR="00CD1A6A" w:rsidRDefault="001737F7">
            <w:pPr>
              <w:pStyle w:val="Normal1"/>
              <w:spacing w:line="240" w:lineRule="auto"/>
            </w:pPr>
            <w:r>
              <w:t>Yes</w:t>
            </w:r>
          </w:p>
        </w:tc>
        <w:tc>
          <w:tcPr>
            <w:tcW w:w="87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705B8C9" w14:textId="77777777" w:rsidR="00CD1A6A" w:rsidRDefault="001737F7">
            <w:pPr>
              <w:pStyle w:val="Normal1"/>
              <w:spacing w:line="240" w:lineRule="auto"/>
            </w:pPr>
            <w:r>
              <w:t>Yes</w:t>
            </w:r>
          </w:p>
        </w:tc>
        <w:tc>
          <w:tcPr>
            <w:tcW w:w="141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118EDA74" w14:textId="77777777" w:rsidR="00CD1A6A" w:rsidRDefault="001737F7">
            <w:pPr>
              <w:pStyle w:val="Normal1"/>
              <w:spacing w:line="240" w:lineRule="auto"/>
            </w:pPr>
            <w:r>
              <w:t>Yes</w:t>
            </w:r>
          </w:p>
        </w:tc>
        <w:tc>
          <w:tcPr>
            <w:tcW w:w="132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05F490B" w14:textId="77777777" w:rsidR="00CD1A6A" w:rsidRDefault="001737F7">
            <w:pPr>
              <w:pStyle w:val="Normal1"/>
              <w:spacing w:line="240" w:lineRule="auto"/>
            </w:pPr>
            <w:r>
              <w:t>Yes</w:t>
            </w:r>
          </w:p>
        </w:tc>
        <w:tc>
          <w:tcPr>
            <w:tcW w:w="231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281E79D" w14:textId="77777777" w:rsidR="00CD1A6A" w:rsidRDefault="001737F7">
            <w:pPr>
              <w:pStyle w:val="Normal1"/>
              <w:spacing w:line="240" w:lineRule="auto"/>
            </w:pPr>
            <w:r>
              <w:t>Sustainable Competitive Advantage</w:t>
            </w:r>
          </w:p>
        </w:tc>
      </w:tr>
      <w:tr w:rsidR="00CD1A6A" w14:paraId="00C449DC" w14:textId="77777777">
        <w:trPr>
          <w:cantSplit/>
          <w:trHeight w:val="1085"/>
          <w:tblHeader/>
          <w:jc w:val="center"/>
        </w:trPr>
        <w:tc>
          <w:tcPr>
            <w:tcW w:w="304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65E10589" w14:textId="77777777" w:rsidR="00CD1A6A" w:rsidRDefault="001737F7">
            <w:pPr>
              <w:pStyle w:val="Normal1"/>
              <w:spacing w:line="240" w:lineRule="auto"/>
            </w:pPr>
            <w:r>
              <w:t>Parent Company Support (VW Group)</w:t>
            </w:r>
          </w:p>
        </w:tc>
        <w:tc>
          <w:tcPr>
            <w:tcW w:w="112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049E54B4" w14:textId="77777777" w:rsidR="00CD1A6A" w:rsidRDefault="001737F7">
            <w:pPr>
              <w:pStyle w:val="Normal1"/>
              <w:spacing w:line="240" w:lineRule="auto"/>
            </w:pPr>
            <w:r>
              <w:t>Yes</w:t>
            </w:r>
          </w:p>
        </w:tc>
        <w:tc>
          <w:tcPr>
            <w:tcW w:w="87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49244180" w14:textId="77777777" w:rsidR="00CD1A6A" w:rsidRDefault="001737F7">
            <w:pPr>
              <w:pStyle w:val="Normal1"/>
              <w:spacing w:line="240" w:lineRule="auto"/>
            </w:pPr>
            <w:r>
              <w:t>No</w:t>
            </w:r>
          </w:p>
        </w:tc>
        <w:tc>
          <w:tcPr>
            <w:tcW w:w="141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0EF1A99D" w14:textId="77777777" w:rsidR="00CD1A6A" w:rsidRDefault="001737F7">
            <w:pPr>
              <w:pStyle w:val="Normal1"/>
              <w:spacing w:line="240" w:lineRule="auto"/>
            </w:pPr>
            <w:r>
              <w:t>No</w:t>
            </w:r>
          </w:p>
        </w:tc>
        <w:tc>
          <w:tcPr>
            <w:tcW w:w="132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6804A4E7" w14:textId="77777777" w:rsidR="00CD1A6A" w:rsidRDefault="001737F7">
            <w:pPr>
              <w:pStyle w:val="Normal1"/>
              <w:spacing w:line="240" w:lineRule="auto"/>
            </w:pPr>
            <w:r>
              <w:t>Yes</w:t>
            </w:r>
          </w:p>
        </w:tc>
        <w:tc>
          <w:tcPr>
            <w:tcW w:w="231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15372CF4" w14:textId="77777777" w:rsidR="00CD1A6A" w:rsidRDefault="001737F7">
            <w:pPr>
              <w:pStyle w:val="Normal1"/>
              <w:spacing w:line="240" w:lineRule="auto"/>
            </w:pPr>
            <w:r>
              <w:t>Temporary Competitive Advantage</w:t>
            </w:r>
          </w:p>
        </w:tc>
      </w:tr>
      <w:tr w:rsidR="00CD1A6A" w14:paraId="46DD305B" w14:textId="77777777">
        <w:trPr>
          <w:cantSplit/>
          <w:trHeight w:val="1085"/>
          <w:tblHeader/>
          <w:jc w:val="center"/>
        </w:trPr>
        <w:tc>
          <w:tcPr>
            <w:tcW w:w="304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05523FC3" w14:textId="77777777" w:rsidR="00CD1A6A" w:rsidRDefault="001737F7">
            <w:pPr>
              <w:pStyle w:val="Normal1"/>
              <w:spacing w:line="240" w:lineRule="auto"/>
            </w:pPr>
            <w:r>
              <w:t>Bespoke Craftsmanship</w:t>
            </w:r>
          </w:p>
        </w:tc>
        <w:tc>
          <w:tcPr>
            <w:tcW w:w="112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F64D037" w14:textId="77777777" w:rsidR="00CD1A6A" w:rsidRDefault="001737F7">
            <w:pPr>
              <w:pStyle w:val="Normal1"/>
              <w:spacing w:line="240" w:lineRule="auto"/>
            </w:pPr>
            <w:r>
              <w:t>Yes</w:t>
            </w:r>
          </w:p>
        </w:tc>
        <w:tc>
          <w:tcPr>
            <w:tcW w:w="87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1994B20C" w14:textId="77777777" w:rsidR="00CD1A6A" w:rsidRDefault="001737F7">
            <w:pPr>
              <w:pStyle w:val="Normal1"/>
              <w:spacing w:line="240" w:lineRule="auto"/>
            </w:pPr>
            <w:r>
              <w:t>Yes</w:t>
            </w:r>
          </w:p>
        </w:tc>
        <w:tc>
          <w:tcPr>
            <w:tcW w:w="141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787F2556" w14:textId="77777777" w:rsidR="00CD1A6A" w:rsidRDefault="001737F7">
            <w:pPr>
              <w:pStyle w:val="Normal1"/>
              <w:spacing w:line="240" w:lineRule="auto"/>
            </w:pPr>
            <w:r>
              <w:t>Yes</w:t>
            </w:r>
          </w:p>
        </w:tc>
        <w:tc>
          <w:tcPr>
            <w:tcW w:w="132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40C8502D" w14:textId="77777777" w:rsidR="00CD1A6A" w:rsidRDefault="001737F7">
            <w:pPr>
              <w:pStyle w:val="Normal1"/>
              <w:spacing w:line="240" w:lineRule="auto"/>
            </w:pPr>
            <w:r>
              <w:t>Yes</w:t>
            </w:r>
          </w:p>
        </w:tc>
        <w:tc>
          <w:tcPr>
            <w:tcW w:w="231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FB8929B" w14:textId="77777777" w:rsidR="00CD1A6A" w:rsidRDefault="001737F7">
            <w:pPr>
              <w:pStyle w:val="Normal1"/>
              <w:spacing w:line="240" w:lineRule="auto"/>
            </w:pPr>
            <w:r>
              <w:t>Sustainable Competitive Advantage</w:t>
            </w:r>
          </w:p>
        </w:tc>
      </w:tr>
      <w:tr w:rsidR="00CD1A6A" w14:paraId="4F4284D6" w14:textId="77777777">
        <w:trPr>
          <w:cantSplit/>
          <w:trHeight w:val="515"/>
          <w:tblHeader/>
          <w:jc w:val="center"/>
        </w:trPr>
        <w:tc>
          <w:tcPr>
            <w:tcW w:w="304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E94EA0D" w14:textId="77777777" w:rsidR="00CD1A6A" w:rsidRDefault="001737F7">
            <w:pPr>
              <w:pStyle w:val="Normal1"/>
              <w:spacing w:line="240" w:lineRule="auto"/>
            </w:pPr>
            <w:r>
              <w:t>Electrification Investment</w:t>
            </w:r>
          </w:p>
        </w:tc>
        <w:tc>
          <w:tcPr>
            <w:tcW w:w="112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1E3CA25" w14:textId="77777777" w:rsidR="00CD1A6A" w:rsidRDefault="001737F7">
            <w:pPr>
              <w:pStyle w:val="Normal1"/>
              <w:spacing w:line="240" w:lineRule="auto"/>
            </w:pPr>
            <w:r>
              <w:t>Yes</w:t>
            </w:r>
          </w:p>
        </w:tc>
        <w:tc>
          <w:tcPr>
            <w:tcW w:w="87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ACEA39D" w14:textId="77777777" w:rsidR="00CD1A6A" w:rsidRDefault="001737F7">
            <w:pPr>
              <w:pStyle w:val="Normal1"/>
              <w:spacing w:line="240" w:lineRule="auto"/>
            </w:pPr>
            <w:r>
              <w:t>No</w:t>
            </w:r>
          </w:p>
        </w:tc>
        <w:tc>
          <w:tcPr>
            <w:tcW w:w="141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467A464" w14:textId="77777777" w:rsidR="00CD1A6A" w:rsidRDefault="001737F7">
            <w:pPr>
              <w:pStyle w:val="Normal1"/>
              <w:spacing w:line="240" w:lineRule="auto"/>
            </w:pPr>
            <w:r>
              <w:t>No</w:t>
            </w:r>
          </w:p>
        </w:tc>
        <w:tc>
          <w:tcPr>
            <w:tcW w:w="132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71A4873" w14:textId="77777777" w:rsidR="00CD1A6A" w:rsidRDefault="001737F7">
            <w:pPr>
              <w:pStyle w:val="Normal1"/>
              <w:spacing w:line="240" w:lineRule="auto"/>
            </w:pPr>
            <w:r>
              <w:t>Yes</w:t>
            </w:r>
          </w:p>
        </w:tc>
        <w:tc>
          <w:tcPr>
            <w:tcW w:w="231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065A3F7E" w14:textId="77777777" w:rsidR="00CD1A6A" w:rsidRDefault="001737F7">
            <w:pPr>
              <w:pStyle w:val="Normal1"/>
              <w:spacing w:line="240" w:lineRule="auto"/>
            </w:pPr>
            <w:r>
              <w:t>Competitive Parity</w:t>
            </w:r>
          </w:p>
        </w:tc>
      </w:tr>
      <w:tr w:rsidR="00CD1A6A" w14:paraId="7FC945BC" w14:textId="77777777">
        <w:trPr>
          <w:cantSplit/>
          <w:trHeight w:val="515"/>
          <w:tblHeader/>
          <w:jc w:val="center"/>
        </w:trPr>
        <w:tc>
          <w:tcPr>
            <w:tcW w:w="304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45EEEB32" w14:textId="77777777" w:rsidR="00CD1A6A" w:rsidRDefault="001737F7">
            <w:pPr>
              <w:pStyle w:val="Normal1"/>
              <w:spacing w:line="240" w:lineRule="auto"/>
            </w:pPr>
            <w:r>
              <w:t>Global Dealer Network</w:t>
            </w:r>
          </w:p>
        </w:tc>
        <w:tc>
          <w:tcPr>
            <w:tcW w:w="112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79C1B4C1" w14:textId="77777777" w:rsidR="00CD1A6A" w:rsidRDefault="001737F7">
            <w:pPr>
              <w:pStyle w:val="Normal1"/>
              <w:spacing w:line="240" w:lineRule="auto"/>
            </w:pPr>
            <w:r>
              <w:t>Yes</w:t>
            </w:r>
          </w:p>
        </w:tc>
        <w:tc>
          <w:tcPr>
            <w:tcW w:w="87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174036EB" w14:textId="77777777" w:rsidR="00CD1A6A" w:rsidRDefault="001737F7">
            <w:pPr>
              <w:pStyle w:val="Normal1"/>
              <w:spacing w:line="240" w:lineRule="auto"/>
            </w:pPr>
            <w:r>
              <w:t>No</w:t>
            </w:r>
          </w:p>
        </w:tc>
        <w:tc>
          <w:tcPr>
            <w:tcW w:w="141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158790F1" w14:textId="77777777" w:rsidR="00CD1A6A" w:rsidRDefault="001737F7">
            <w:pPr>
              <w:pStyle w:val="Normal1"/>
              <w:spacing w:line="240" w:lineRule="auto"/>
            </w:pPr>
            <w:r>
              <w:t>No</w:t>
            </w:r>
          </w:p>
        </w:tc>
        <w:tc>
          <w:tcPr>
            <w:tcW w:w="132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0CD0308A" w14:textId="77777777" w:rsidR="00CD1A6A" w:rsidRDefault="001737F7">
            <w:pPr>
              <w:pStyle w:val="Normal1"/>
              <w:spacing w:line="240" w:lineRule="auto"/>
            </w:pPr>
            <w:r>
              <w:t>Yes</w:t>
            </w:r>
          </w:p>
        </w:tc>
        <w:tc>
          <w:tcPr>
            <w:tcW w:w="231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9E2E072" w14:textId="77777777" w:rsidR="00CD1A6A" w:rsidRDefault="001737F7">
            <w:pPr>
              <w:pStyle w:val="Normal1"/>
              <w:spacing w:line="240" w:lineRule="auto"/>
            </w:pPr>
            <w:r>
              <w:t>Competitive Parity</w:t>
            </w:r>
          </w:p>
        </w:tc>
      </w:tr>
    </w:tbl>
    <w:p w14:paraId="678532B5" w14:textId="77777777" w:rsidR="00CD1A6A" w:rsidRDefault="001737F7">
      <w:pPr>
        <w:pStyle w:val="Normal1"/>
        <w:jc w:val="center"/>
        <w:rPr>
          <w:b/>
        </w:rPr>
      </w:pPr>
      <w:r>
        <w:rPr>
          <w:b/>
        </w:rPr>
        <w:t>Table 2: VRIO</w:t>
      </w:r>
    </w:p>
    <w:p w14:paraId="7BF73BDE" w14:textId="77777777" w:rsidR="00CD1A6A" w:rsidRDefault="001737F7">
      <w:pPr>
        <w:pStyle w:val="Normal1"/>
        <w:jc w:val="center"/>
      </w:pPr>
      <w:r>
        <w:t>(Source: Self-Created)</w:t>
      </w:r>
    </w:p>
    <w:p w14:paraId="56C0A5FD" w14:textId="77777777" w:rsidR="00CD1A6A" w:rsidRDefault="001737F7">
      <w:pPr>
        <w:pStyle w:val="Normal1"/>
      </w:pPr>
      <w:r>
        <w:lastRenderedPageBreak/>
        <w:t xml:space="preserve">Applying the VRIO framework, Bentley`s strategic resources and abilities are severely evaluated to verify their functionality to create a sustainable, aggressive advantage. This framework assesses whether or not a useful resource is Valuable, Rare, Inimitable, and </w:t>
      </w:r>
      <w:proofErr w:type="spellStart"/>
      <w:r>
        <w:t>Organised</w:t>
      </w:r>
      <w:proofErr w:type="spellEnd"/>
      <w:r>
        <w:t xml:space="preserve"> to acquire value.</w:t>
      </w:r>
    </w:p>
    <w:p w14:paraId="37ACBBF1" w14:textId="77777777" w:rsidR="00CD1A6A" w:rsidRDefault="001737F7">
      <w:pPr>
        <w:pStyle w:val="Normal1"/>
      </w:pPr>
      <w:r>
        <w:t>Bentley's long-term staying power and power is explained through its uncommon and inimitable brand identity, which continues to be understood through its existence and craftsmanship (</w:t>
      </w:r>
      <w:proofErr w:type="spellStart"/>
      <w:r>
        <w:t>Ariwibowo</w:t>
      </w:r>
      <w:proofErr w:type="spellEnd"/>
      <w:r>
        <w:rPr>
          <w:i/>
        </w:rPr>
        <w:t xml:space="preserve"> et al.,</w:t>
      </w:r>
      <w:r>
        <w:t xml:space="preserve"> 2021). These middle capabilities are leveraged predominantly through dependent processes and brand strategy. </w:t>
      </w:r>
    </w:p>
    <w:p w14:paraId="78B2EF01" w14:textId="77777777" w:rsidR="00CD1A6A" w:rsidRDefault="001737F7">
      <w:pPr>
        <w:pStyle w:val="Heading2"/>
        <w:keepNext w:val="0"/>
        <w:keepLines w:val="0"/>
        <w:spacing w:before="0" w:after="0"/>
      </w:pPr>
      <w:bookmarkStart w:id="18" w:name="_plokw3yrw1ep" w:colFirst="0" w:colLast="0"/>
      <w:bookmarkStart w:id="19" w:name="_Toc200560843"/>
      <w:bookmarkEnd w:id="18"/>
      <w:r>
        <w:t>3. SWOT Analysis</w:t>
      </w:r>
      <w:bookmarkEnd w:id="19"/>
    </w:p>
    <w:tbl>
      <w:tblPr>
        <w:tblStyle w:val="a1"/>
        <w:tblW w:w="994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4965"/>
        <w:gridCol w:w="4980"/>
      </w:tblGrid>
      <w:tr w:rsidR="00CD1A6A" w14:paraId="0560C2BF" w14:textId="77777777">
        <w:trPr>
          <w:cantSplit/>
          <w:trHeight w:val="515"/>
          <w:tblHeader/>
          <w:jc w:val="center"/>
        </w:trPr>
        <w:tc>
          <w:tcPr>
            <w:tcW w:w="496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0387ED22" w14:textId="77777777" w:rsidR="00CD1A6A" w:rsidRDefault="001737F7">
            <w:pPr>
              <w:pStyle w:val="Normal1"/>
              <w:spacing w:line="240" w:lineRule="auto"/>
              <w:jc w:val="center"/>
              <w:rPr>
                <w:b/>
              </w:rPr>
            </w:pPr>
            <w:r>
              <w:rPr>
                <w:b/>
              </w:rPr>
              <w:t>Strengths</w:t>
            </w:r>
          </w:p>
        </w:tc>
        <w:tc>
          <w:tcPr>
            <w:tcW w:w="498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10A0D6E5" w14:textId="77777777" w:rsidR="00CD1A6A" w:rsidRDefault="001737F7">
            <w:pPr>
              <w:pStyle w:val="Normal1"/>
              <w:spacing w:line="240" w:lineRule="auto"/>
              <w:jc w:val="center"/>
              <w:rPr>
                <w:b/>
              </w:rPr>
            </w:pPr>
            <w:r>
              <w:rPr>
                <w:b/>
              </w:rPr>
              <w:t>Weaknesses</w:t>
            </w:r>
          </w:p>
        </w:tc>
      </w:tr>
      <w:tr w:rsidR="00CD1A6A" w14:paraId="25D6C8A8" w14:textId="77777777">
        <w:trPr>
          <w:cantSplit/>
          <w:trHeight w:val="800"/>
          <w:tblHeader/>
          <w:jc w:val="center"/>
        </w:trPr>
        <w:tc>
          <w:tcPr>
            <w:tcW w:w="4965" w:type="dxa"/>
            <w:vMerge w:val="restart"/>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C1BCBA9" w14:textId="77777777" w:rsidR="00CD1A6A" w:rsidRDefault="001737F7">
            <w:pPr>
              <w:pStyle w:val="Normal1"/>
              <w:numPr>
                <w:ilvl w:val="0"/>
                <w:numId w:val="4"/>
              </w:numPr>
              <w:spacing w:line="240" w:lineRule="auto"/>
            </w:pPr>
            <w:r>
              <w:t>Strong brand heritage and prestige</w:t>
            </w:r>
          </w:p>
          <w:p w14:paraId="01610E08" w14:textId="77777777" w:rsidR="00CD1A6A" w:rsidRDefault="001737F7">
            <w:pPr>
              <w:pStyle w:val="Normal1"/>
              <w:numPr>
                <w:ilvl w:val="0"/>
                <w:numId w:val="4"/>
              </w:numPr>
              <w:spacing w:line="240" w:lineRule="auto"/>
            </w:pPr>
            <w:r>
              <w:t>Backing of Volkswagen Group for funding and innovation</w:t>
            </w:r>
          </w:p>
          <w:p w14:paraId="0363F14C" w14:textId="77777777" w:rsidR="00CD1A6A" w:rsidRDefault="001737F7">
            <w:pPr>
              <w:pStyle w:val="Normal1"/>
              <w:numPr>
                <w:ilvl w:val="0"/>
                <w:numId w:val="4"/>
              </w:numPr>
              <w:spacing w:line="240" w:lineRule="auto"/>
            </w:pPr>
            <w:r>
              <w:t>Bespoke craftsmanship and exclusive customer experience</w:t>
            </w:r>
          </w:p>
          <w:p w14:paraId="2C2CA06B" w14:textId="77777777" w:rsidR="00CD1A6A" w:rsidRDefault="001737F7">
            <w:pPr>
              <w:pStyle w:val="Normal1"/>
              <w:numPr>
                <w:ilvl w:val="0"/>
                <w:numId w:val="4"/>
              </w:numPr>
              <w:spacing w:line="240" w:lineRule="auto"/>
            </w:pPr>
            <w:r>
              <w:t>Loyal customer base and high entry price point resilience</w:t>
            </w:r>
          </w:p>
        </w:tc>
        <w:tc>
          <w:tcPr>
            <w:tcW w:w="4980" w:type="dxa"/>
            <w:vMerge w:val="restart"/>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4712E37F" w14:textId="77777777" w:rsidR="00CD1A6A" w:rsidRDefault="001737F7">
            <w:pPr>
              <w:pStyle w:val="Normal1"/>
              <w:numPr>
                <w:ilvl w:val="0"/>
                <w:numId w:val="1"/>
              </w:numPr>
              <w:spacing w:line="240" w:lineRule="auto"/>
            </w:pPr>
            <w:r>
              <w:t>High production costs due to bespoke processes</w:t>
            </w:r>
          </w:p>
          <w:p w14:paraId="3AAE69A6" w14:textId="77777777" w:rsidR="00CD1A6A" w:rsidRDefault="001737F7">
            <w:pPr>
              <w:pStyle w:val="Normal1"/>
              <w:numPr>
                <w:ilvl w:val="0"/>
                <w:numId w:val="1"/>
              </w:numPr>
              <w:spacing w:line="240" w:lineRule="auto"/>
            </w:pPr>
            <w:r>
              <w:t>Limited EV product portfolio (early-stage transition) (</w:t>
            </w:r>
            <w:proofErr w:type="spellStart"/>
            <w:r>
              <w:t>Novizayanti</w:t>
            </w:r>
            <w:proofErr w:type="spellEnd"/>
            <w:r>
              <w:t xml:space="preserve"> </w:t>
            </w:r>
            <w:r>
              <w:rPr>
                <w:i/>
              </w:rPr>
              <w:t>et al.,</w:t>
            </w:r>
            <w:r>
              <w:t xml:space="preserve"> 2021)</w:t>
            </w:r>
          </w:p>
          <w:p w14:paraId="5017D3AE" w14:textId="77777777" w:rsidR="00CD1A6A" w:rsidRDefault="001737F7">
            <w:pPr>
              <w:pStyle w:val="Normal1"/>
              <w:numPr>
                <w:ilvl w:val="0"/>
                <w:numId w:val="1"/>
              </w:numPr>
              <w:spacing w:line="240" w:lineRule="auto"/>
            </w:pPr>
            <w:r>
              <w:t>Complex and fragile global supply chains</w:t>
            </w:r>
          </w:p>
          <w:p w14:paraId="3D2093E7" w14:textId="77777777" w:rsidR="00CD1A6A" w:rsidRDefault="001737F7">
            <w:pPr>
              <w:pStyle w:val="Normal1"/>
              <w:numPr>
                <w:ilvl w:val="0"/>
                <w:numId w:val="1"/>
              </w:numPr>
              <w:spacing w:line="240" w:lineRule="auto"/>
            </w:pPr>
            <w:r>
              <w:t>Low sales volume compared to mass luxury competitors</w:t>
            </w:r>
          </w:p>
        </w:tc>
      </w:tr>
      <w:tr w:rsidR="00CD1A6A" w14:paraId="565CB992" w14:textId="77777777">
        <w:trPr>
          <w:cantSplit/>
          <w:trHeight w:val="800"/>
          <w:tblHeader/>
          <w:jc w:val="center"/>
        </w:trPr>
        <w:tc>
          <w:tcPr>
            <w:tcW w:w="4965" w:type="dxa"/>
            <w:vMerge/>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BDC904D" w14:textId="77777777" w:rsidR="00CD1A6A" w:rsidRDefault="00CD1A6A">
            <w:pPr>
              <w:pStyle w:val="Normal1"/>
              <w:spacing w:line="240" w:lineRule="auto"/>
            </w:pPr>
          </w:p>
        </w:tc>
        <w:tc>
          <w:tcPr>
            <w:tcW w:w="4980" w:type="dxa"/>
            <w:vMerge/>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1798A774" w14:textId="77777777" w:rsidR="00CD1A6A" w:rsidRDefault="00CD1A6A">
            <w:pPr>
              <w:pStyle w:val="Normal1"/>
              <w:spacing w:line="240" w:lineRule="auto"/>
            </w:pPr>
          </w:p>
        </w:tc>
      </w:tr>
      <w:tr w:rsidR="00CD1A6A" w14:paraId="70ACFBA0" w14:textId="77777777">
        <w:trPr>
          <w:cantSplit/>
          <w:trHeight w:val="800"/>
          <w:tblHeader/>
          <w:jc w:val="center"/>
        </w:trPr>
        <w:tc>
          <w:tcPr>
            <w:tcW w:w="4965" w:type="dxa"/>
            <w:vMerge/>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E480B3A" w14:textId="77777777" w:rsidR="00CD1A6A" w:rsidRDefault="00CD1A6A">
            <w:pPr>
              <w:pStyle w:val="Normal1"/>
              <w:spacing w:line="240" w:lineRule="auto"/>
            </w:pPr>
          </w:p>
        </w:tc>
        <w:tc>
          <w:tcPr>
            <w:tcW w:w="4980" w:type="dxa"/>
            <w:vMerge/>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CE38D34" w14:textId="77777777" w:rsidR="00CD1A6A" w:rsidRDefault="00CD1A6A">
            <w:pPr>
              <w:pStyle w:val="Normal1"/>
              <w:spacing w:line="240" w:lineRule="auto"/>
            </w:pPr>
          </w:p>
        </w:tc>
      </w:tr>
      <w:tr w:rsidR="00CD1A6A" w14:paraId="1C695CD0" w14:textId="77777777">
        <w:trPr>
          <w:cantSplit/>
          <w:trHeight w:val="440"/>
          <w:tblHeader/>
          <w:jc w:val="center"/>
        </w:trPr>
        <w:tc>
          <w:tcPr>
            <w:tcW w:w="4965" w:type="dxa"/>
            <w:vMerge/>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73E0D28" w14:textId="77777777" w:rsidR="00CD1A6A" w:rsidRDefault="00CD1A6A">
            <w:pPr>
              <w:pStyle w:val="Normal1"/>
              <w:spacing w:line="240" w:lineRule="auto"/>
            </w:pPr>
          </w:p>
        </w:tc>
        <w:tc>
          <w:tcPr>
            <w:tcW w:w="4980" w:type="dxa"/>
            <w:vMerge/>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28B7DE3" w14:textId="77777777" w:rsidR="00CD1A6A" w:rsidRDefault="00CD1A6A">
            <w:pPr>
              <w:pStyle w:val="Normal1"/>
              <w:spacing w:line="240" w:lineRule="auto"/>
            </w:pPr>
          </w:p>
        </w:tc>
      </w:tr>
      <w:tr w:rsidR="00CD1A6A" w14:paraId="43C87A51" w14:textId="77777777">
        <w:trPr>
          <w:cantSplit/>
          <w:trHeight w:val="800"/>
          <w:tblHeader/>
          <w:jc w:val="center"/>
        </w:trPr>
        <w:tc>
          <w:tcPr>
            <w:tcW w:w="496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111A47E5" w14:textId="77777777" w:rsidR="00CD1A6A" w:rsidRDefault="001737F7">
            <w:pPr>
              <w:pStyle w:val="Normal1"/>
              <w:jc w:val="center"/>
            </w:pPr>
            <w:r>
              <w:rPr>
                <w:b/>
              </w:rPr>
              <w:t>Opportunities</w:t>
            </w:r>
          </w:p>
        </w:tc>
        <w:tc>
          <w:tcPr>
            <w:tcW w:w="498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3844D5BD" w14:textId="77777777" w:rsidR="00CD1A6A" w:rsidRDefault="001737F7">
            <w:pPr>
              <w:pStyle w:val="Normal1"/>
              <w:jc w:val="center"/>
            </w:pPr>
            <w:r>
              <w:rPr>
                <w:b/>
              </w:rPr>
              <w:t>Threats</w:t>
            </w:r>
          </w:p>
        </w:tc>
      </w:tr>
      <w:tr w:rsidR="00CD1A6A" w14:paraId="773DF587" w14:textId="77777777">
        <w:trPr>
          <w:cantSplit/>
          <w:trHeight w:val="800"/>
          <w:tblHeader/>
          <w:jc w:val="center"/>
        </w:trPr>
        <w:tc>
          <w:tcPr>
            <w:tcW w:w="4965" w:type="dxa"/>
            <w:vMerge w:val="restart"/>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D095A47" w14:textId="77777777" w:rsidR="00CD1A6A" w:rsidRDefault="001737F7">
            <w:pPr>
              <w:pStyle w:val="Normal1"/>
              <w:numPr>
                <w:ilvl w:val="0"/>
                <w:numId w:val="3"/>
              </w:numPr>
            </w:pPr>
            <w:r>
              <w:t>Growing demand for sustainable luxury vehicles</w:t>
            </w:r>
          </w:p>
          <w:p w14:paraId="6AD9425D" w14:textId="77777777" w:rsidR="00CD1A6A" w:rsidRDefault="001737F7">
            <w:pPr>
              <w:pStyle w:val="Normal1"/>
              <w:numPr>
                <w:ilvl w:val="0"/>
                <w:numId w:val="3"/>
              </w:numPr>
            </w:pPr>
            <w:r>
              <w:t>Expansion into emerging luxury markets (Asia)</w:t>
            </w:r>
          </w:p>
          <w:p w14:paraId="2BD3CB45" w14:textId="77777777" w:rsidR="00CD1A6A" w:rsidRDefault="001737F7">
            <w:pPr>
              <w:pStyle w:val="Normal1"/>
              <w:numPr>
                <w:ilvl w:val="0"/>
                <w:numId w:val="3"/>
              </w:numPr>
            </w:pPr>
            <w:r>
              <w:t>Adoption of digital and connected car technologies (Abdelkader</w:t>
            </w:r>
            <w:r>
              <w:rPr>
                <w:i/>
              </w:rPr>
              <w:t xml:space="preserve"> et al.,</w:t>
            </w:r>
            <w:r>
              <w:t xml:space="preserve"> 2021)</w:t>
            </w:r>
          </w:p>
          <w:p w14:paraId="7729D5AD" w14:textId="77777777" w:rsidR="00CD1A6A" w:rsidRDefault="001737F7">
            <w:pPr>
              <w:pStyle w:val="Normal1"/>
              <w:numPr>
                <w:ilvl w:val="0"/>
                <w:numId w:val="3"/>
              </w:numPr>
            </w:pPr>
            <w:r>
              <w:t>Enhanced brand equity through the Beyond100 ESG strategy</w:t>
            </w:r>
          </w:p>
        </w:tc>
        <w:tc>
          <w:tcPr>
            <w:tcW w:w="4980" w:type="dxa"/>
            <w:vMerge w:val="restart"/>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1AF75638" w14:textId="77777777" w:rsidR="00CD1A6A" w:rsidRDefault="001737F7">
            <w:pPr>
              <w:pStyle w:val="Normal1"/>
              <w:numPr>
                <w:ilvl w:val="0"/>
                <w:numId w:val="2"/>
              </w:numPr>
            </w:pPr>
            <w:r>
              <w:t>Rising competition from new luxury EV entrants</w:t>
            </w:r>
          </w:p>
          <w:p w14:paraId="1DB36C4D" w14:textId="77777777" w:rsidR="00CD1A6A" w:rsidRDefault="001737F7">
            <w:pPr>
              <w:pStyle w:val="Normal1"/>
              <w:numPr>
                <w:ilvl w:val="0"/>
                <w:numId w:val="2"/>
              </w:numPr>
            </w:pPr>
            <w:r>
              <w:t>Regulatory changes in emissions and carbon neutrality laws</w:t>
            </w:r>
          </w:p>
          <w:p w14:paraId="074E842B" w14:textId="77777777" w:rsidR="00CD1A6A" w:rsidRDefault="001737F7">
            <w:pPr>
              <w:pStyle w:val="Normal1"/>
              <w:numPr>
                <w:ilvl w:val="0"/>
                <w:numId w:val="2"/>
              </w:numPr>
            </w:pPr>
            <w:r>
              <w:t>Shifting consumer preference toward alternative mobility</w:t>
            </w:r>
          </w:p>
          <w:p w14:paraId="6A310FF4" w14:textId="77777777" w:rsidR="00CD1A6A" w:rsidRDefault="001737F7">
            <w:pPr>
              <w:pStyle w:val="Normal1"/>
              <w:numPr>
                <w:ilvl w:val="0"/>
                <w:numId w:val="2"/>
              </w:numPr>
            </w:pPr>
            <w:r>
              <w:t>Supply chain volatility and inflation in raw materials</w:t>
            </w:r>
          </w:p>
        </w:tc>
      </w:tr>
      <w:tr w:rsidR="00CD1A6A" w14:paraId="727F17F5" w14:textId="77777777">
        <w:trPr>
          <w:cantSplit/>
          <w:trHeight w:val="800"/>
          <w:tblHeader/>
          <w:jc w:val="center"/>
        </w:trPr>
        <w:tc>
          <w:tcPr>
            <w:tcW w:w="4965" w:type="dxa"/>
            <w:vMerge/>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1F013FD8" w14:textId="77777777" w:rsidR="00CD1A6A" w:rsidRDefault="00CD1A6A">
            <w:pPr>
              <w:pStyle w:val="Normal1"/>
              <w:spacing w:line="240" w:lineRule="auto"/>
            </w:pPr>
          </w:p>
        </w:tc>
        <w:tc>
          <w:tcPr>
            <w:tcW w:w="4980" w:type="dxa"/>
            <w:vMerge/>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DFB086E" w14:textId="77777777" w:rsidR="00CD1A6A" w:rsidRDefault="00CD1A6A">
            <w:pPr>
              <w:pStyle w:val="Normal1"/>
              <w:spacing w:line="240" w:lineRule="auto"/>
            </w:pPr>
          </w:p>
        </w:tc>
      </w:tr>
      <w:tr w:rsidR="00CD1A6A" w14:paraId="05614215" w14:textId="77777777">
        <w:trPr>
          <w:cantSplit/>
          <w:trHeight w:val="800"/>
          <w:tblHeader/>
          <w:jc w:val="center"/>
        </w:trPr>
        <w:tc>
          <w:tcPr>
            <w:tcW w:w="4965" w:type="dxa"/>
            <w:vMerge/>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10C71475" w14:textId="77777777" w:rsidR="00CD1A6A" w:rsidRDefault="00CD1A6A">
            <w:pPr>
              <w:pStyle w:val="Normal1"/>
              <w:spacing w:line="240" w:lineRule="auto"/>
            </w:pPr>
          </w:p>
        </w:tc>
        <w:tc>
          <w:tcPr>
            <w:tcW w:w="4980" w:type="dxa"/>
            <w:vMerge/>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4068891F" w14:textId="77777777" w:rsidR="00CD1A6A" w:rsidRDefault="00CD1A6A">
            <w:pPr>
              <w:pStyle w:val="Normal1"/>
              <w:spacing w:line="240" w:lineRule="auto"/>
            </w:pPr>
          </w:p>
        </w:tc>
      </w:tr>
      <w:tr w:rsidR="00CD1A6A" w14:paraId="6EA96AC8" w14:textId="77777777">
        <w:trPr>
          <w:cantSplit/>
          <w:trHeight w:val="800"/>
          <w:tblHeader/>
          <w:jc w:val="center"/>
        </w:trPr>
        <w:tc>
          <w:tcPr>
            <w:tcW w:w="4965" w:type="dxa"/>
            <w:vMerge/>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F30CE9B" w14:textId="77777777" w:rsidR="00CD1A6A" w:rsidRDefault="00CD1A6A">
            <w:pPr>
              <w:pStyle w:val="Normal1"/>
              <w:spacing w:line="240" w:lineRule="auto"/>
            </w:pPr>
          </w:p>
        </w:tc>
        <w:tc>
          <w:tcPr>
            <w:tcW w:w="4980" w:type="dxa"/>
            <w:vMerge/>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E730C3E" w14:textId="77777777" w:rsidR="00CD1A6A" w:rsidRDefault="00CD1A6A">
            <w:pPr>
              <w:pStyle w:val="Normal1"/>
              <w:spacing w:line="240" w:lineRule="auto"/>
            </w:pPr>
          </w:p>
        </w:tc>
      </w:tr>
    </w:tbl>
    <w:p w14:paraId="747266B3" w14:textId="77777777" w:rsidR="00CD1A6A" w:rsidRDefault="001737F7">
      <w:pPr>
        <w:pStyle w:val="Normal1"/>
        <w:jc w:val="center"/>
        <w:rPr>
          <w:b/>
        </w:rPr>
      </w:pPr>
      <w:r>
        <w:rPr>
          <w:b/>
        </w:rPr>
        <w:t>Table 3: SWOT</w:t>
      </w:r>
    </w:p>
    <w:p w14:paraId="63DADE88" w14:textId="77777777" w:rsidR="00CD1A6A" w:rsidRDefault="001737F7">
      <w:pPr>
        <w:pStyle w:val="Normal1"/>
        <w:jc w:val="center"/>
      </w:pPr>
      <w:r>
        <w:lastRenderedPageBreak/>
        <w:t>(Source: Self-Created)</w:t>
      </w:r>
    </w:p>
    <w:p w14:paraId="5E97EAD6" w14:textId="77777777" w:rsidR="00CD1A6A" w:rsidRDefault="001737F7">
      <w:pPr>
        <w:pStyle w:val="Normal1"/>
      </w:pPr>
      <w:r>
        <w:t xml:space="preserve">From a </w:t>
      </w:r>
      <w:proofErr w:type="gramStart"/>
      <w:r>
        <w:t>strengths</w:t>
      </w:r>
      <w:proofErr w:type="gramEnd"/>
      <w:r>
        <w:t xml:space="preserve"> standpoint, Bentley's long-standing heritage as a luxury brand, along with its ability to offer an extremely </w:t>
      </w:r>
      <w:proofErr w:type="spellStart"/>
      <w:r>
        <w:t>customised</w:t>
      </w:r>
      <w:proofErr w:type="spellEnd"/>
      <w:r>
        <w:t xml:space="preserve"> customer experience, guarantees its niche market leadership (</w:t>
      </w:r>
      <w:proofErr w:type="spellStart"/>
      <w:r>
        <w:t>Novizayanti</w:t>
      </w:r>
      <w:proofErr w:type="spellEnd"/>
      <w:r>
        <w:t xml:space="preserve"> </w:t>
      </w:r>
      <w:r>
        <w:rPr>
          <w:i/>
        </w:rPr>
        <w:t>et al.,</w:t>
      </w:r>
      <w:r>
        <w:t xml:space="preserve"> 2021). The financial and technological strength obtained through Volkswagen Group means that Bentley can scale operations over time, particularly in innovation-led areas like EV technology. </w:t>
      </w:r>
    </w:p>
    <w:p w14:paraId="0518EF02" w14:textId="77777777" w:rsidR="00CD1A6A" w:rsidRDefault="001737F7">
      <w:pPr>
        <w:pStyle w:val="Normal1"/>
      </w:pPr>
      <w:r>
        <w:t>Bentley's opportunities include the global pivot towards sustainable luxury, with consumers willing to pay premiums for environmentally conscious options. Bentley may also find unturned potential in the Asia-Pacific and Middle East markets. A forward-thinking innovation-led growth model in advanced digital features, including autonomous driving and intelligent interiors, positions Bentley well. Disruptors going into the automotive space, like Lucid and Tesla, involve the same vertical as Bentley, except for the significant technological nuance (Abdelkader</w:t>
      </w:r>
      <w:r>
        <w:rPr>
          <w:i/>
        </w:rPr>
        <w:t xml:space="preserve"> et al.,</w:t>
      </w:r>
      <w:r>
        <w:t xml:space="preserve"> 2021). Pollution reduction demands may exceed Bentley's pollution initiatives, pushing Bentley into a pivot. Finally, social and economic turbulence and the rise in material costs continue to apply pressure on profitability.</w:t>
      </w:r>
    </w:p>
    <w:p w14:paraId="2895DC58" w14:textId="77777777" w:rsidR="00CD1A6A" w:rsidRDefault="001737F7">
      <w:pPr>
        <w:pStyle w:val="Heading1"/>
        <w:spacing w:before="0" w:after="0"/>
      </w:pPr>
      <w:bookmarkStart w:id="20" w:name="_79pdu0gqjnek" w:colFirst="0" w:colLast="0"/>
      <w:bookmarkStart w:id="21" w:name="_Toc200560844"/>
      <w:bookmarkEnd w:id="20"/>
      <w:r>
        <w:t>Strategy Formulation</w:t>
      </w:r>
      <w:bookmarkEnd w:id="21"/>
    </w:p>
    <w:p w14:paraId="1832F3CA" w14:textId="77777777" w:rsidR="00CD1A6A" w:rsidRDefault="001737F7">
      <w:pPr>
        <w:pStyle w:val="Normal1"/>
        <w:rPr>
          <w:b/>
        </w:rPr>
      </w:pPr>
      <w:r>
        <w:rPr>
          <w:b/>
        </w:rPr>
        <w:t>Expansion into Emerging Luxury Markets</w:t>
      </w:r>
    </w:p>
    <w:p w14:paraId="75BF3B5C" w14:textId="77777777" w:rsidR="00CD1A6A" w:rsidRDefault="001737F7">
      <w:pPr>
        <w:pStyle w:val="Normal1"/>
      </w:pPr>
      <w:r>
        <w:t>Bentley Motors Ltd needs to take hold of commercial opportunities by increasing its reach in developing economies, specifically Asia-Pacific and the Middle East, where high-net-worth individuals are rapidly growing and wanting luxurious cars that show value in quality, sustainability, and innovation (Bai</w:t>
      </w:r>
      <w:r>
        <w:rPr>
          <w:i/>
        </w:rPr>
        <w:t xml:space="preserve"> et al., </w:t>
      </w:r>
      <w:r>
        <w:t>2020). Market penetration will mean a combination of tailored marketing, collaborating with dealers, and adding bespoke enhancements for consumers that are based on our cultural values.</w:t>
      </w:r>
    </w:p>
    <w:p w14:paraId="4455345A" w14:textId="77777777" w:rsidR="00CD1A6A" w:rsidRDefault="001737F7">
      <w:pPr>
        <w:pStyle w:val="Normal1"/>
        <w:rPr>
          <w:b/>
        </w:rPr>
      </w:pPr>
      <w:r>
        <w:rPr>
          <w:b/>
        </w:rPr>
        <w:t>Acceleration of Electrification and Digital Innovation</w:t>
      </w:r>
    </w:p>
    <w:p w14:paraId="13C64B52" w14:textId="77777777" w:rsidR="00CD1A6A" w:rsidRDefault="001737F7">
      <w:pPr>
        <w:pStyle w:val="Normal1"/>
      </w:pPr>
      <w:r>
        <w:t xml:space="preserve">Bentley’s dedication to complete electrification through 2030 beneath its Beyond100 approach needs to be converted from a long-term period imaginative and prescient right into a near-term priority. Product improvement needs to </w:t>
      </w:r>
      <w:proofErr w:type="spellStart"/>
      <w:r>
        <w:t>centre</w:t>
      </w:r>
      <w:proofErr w:type="spellEnd"/>
      <w:r>
        <w:t xml:space="preserve"> on launching electric-powered automobiles that replicate Bentley`s overall performance history even as integrating clever mobility capabilities which including self-sufficient capabilities, AI-powered consumer interfaces, and superior infotainment systems (Cao, 2023). Applying Porter`s Differentiation Strategy, Bentley can justify top-class pricing through developing luxurious EVs that combine sustainability and technological excellence.</w:t>
      </w:r>
    </w:p>
    <w:p w14:paraId="39444E79" w14:textId="77777777" w:rsidR="00CD1A6A" w:rsidRDefault="001737F7">
      <w:pPr>
        <w:pStyle w:val="Normal1"/>
        <w:rPr>
          <w:b/>
        </w:rPr>
      </w:pPr>
      <w:r>
        <w:rPr>
          <w:b/>
        </w:rPr>
        <w:t>Integration of Sustainable Value Chain Operations</w:t>
      </w:r>
    </w:p>
    <w:p w14:paraId="0C834EF4" w14:textId="77777777" w:rsidR="00CD1A6A" w:rsidRDefault="001737F7">
      <w:pPr>
        <w:pStyle w:val="Normal1"/>
      </w:pPr>
      <w:r>
        <w:lastRenderedPageBreak/>
        <w:t xml:space="preserve">In order to, build a sustainable competitive advantage, Bentley needs to integrate sustainability at multiple stages across its value chain. This includes sourcing low-carbon materials, transitioning the Crewe operation to fully renewable-powered production, and </w:t>
      </w:r>
      <w:proofErr w:type="spellStart"/>
      <w:r>
        <w:t>utilising</w:t>
      </w:r>
      <w:proofErr w:type="spellEnd"/>
      <w:r>
        <w:t xml:space="preserve"> blockchain technology to identify ethical sourcing (Junaid</w:t>
      </w:r>
      <w:r>
        <w:rPr>
          <w:i/>
        </w:rPr>
        <w:t xml:space="preserve"> et al.,</w:t>
      </w:r>
      <w:r>
        <w:t xml:space="preserve"> 2021). These actions are consistent with the Resource-Based View, and </w:t>
      </w:r>
      <w:proofErr w:type="spellStart"/>
      <w:r>
        <w:t>eternalising</w:t>
      </w:r>
      <w:proofErr w:type="spellEnd"/>
      <w:r>
        <w:t xml:space="preserve"> Bentley's environmental management is a rare, inimitable capability. </w:t>
      </w:r>
    </w:p>
    <w:p w14:paraId="247895B3" w14:textId="77777777" w:rsidR="00CD1A6A" w:rsidRDefault="001737F7">
      <w:pPr>
        <w:pStyle w:val="Normal1"/>
        <w:rPr>
          <w:b/>
        </w:rPr>
      </w:pPr>
      <w:r>
        <w:rPr>
          <w:b/>
        </w:rPr>
        <w:t>Strengthening Customer-Centric Digital Ecosystems</w:t>
      </w:r>
    </w:p>
    <w:p w14:paraId="4113AA33" w14:textId="77777777" w:rsidR="00CD1A6A" w:rsidRDefault="001737F7">
      <w:pPr>
        <w:pStyle w:val="Normal1"/>
      </w:pPr>
      <w:r>
        <w:t xml:space="preserve">Contemplating patron experience improvement through digital systems is a strategic need. Bentley should also develop related service ecosystems that allow customers to </w:t>
      </w:r>
      <w:proofErr w:type="spellStart"/>
      <w:r>
        <w:t>customise</w:t>
      </w:r>
      <w:proofErr w:type="spellEnd"/>
      <w:r>
        <w:t xml:space="preserve"> vehicles, manage post-sales service, and interact with the brand via digital showrooms and concierge systems (Kamble </w:t>
      </w:r>
      <w:r>
        <w:rPr>
          <w:i/>
        </w:rPr>
        <w:t>et al.</w:t>
      </w:r>
      <w:r>
        <w:t>, 2021). This sort of customer-focused digital transformation fosters loyalty and increases lifetime value. Furthermore, Bentley can predict maintenance needs and offer proactive service, also reinforcing its premium position, to an ever-increasing extent in an environment using data analytics and machine learning.</w:t>
      </w:r>
    </w:p>
    <w:p w14:paraId="2A754CE2" w14:textId="77777777" w:rsidR="00CD1A6A" w:rsidRDefault="001737F7">
      <w:pPr>
        <w:pStyle w:val="Heading1"/>
        <w:spacing w:before="0" w:after="0"/>
      </w:pPr>
      <w:bookmarkStart w:id="22" w:name="_2ane4xru45ex" w:colFirst="0" w:colLast="0"/>
      <w:bookmarkStart w:id="23" w:name="_Toc200560845"/>
      <w:bookmarkEnd w:id="22"/>
      <w:r>
        <w:t>Conclusion and Recommendations</w:t>
      </w:r>
      <w:bookmarkEnd w:id="23"/>
    </w:p>
    <w:p w14:paraId="71133238" w14:textId="77777777" w:rsidR="00CD1A6A" w:rsidRDefault="001737F7">
      <w:pPr>
        <w:pStyle w:val="Heading2"/>
        <w:keepNext w:val="0"/>
        <w:keepLines w:val="0"/>
        <w:spacing w:before="0" w:after="0"/>
      </w:pPr>
      <w:bookmarkStart w:id="24" w:name="_2gvhe6klo037" w:colFirst="0" w:colLast="0"/>
      <w:bookmarkStart w:id="25" w:name="_Toc200560846"/>
      <w:bookmarkEnd w:id="24"/>
      <w:r>
        <w:t>Conclusion</w:t>
      </w:r>
      <w:bookmarkEnd w:id="25"/>
      <w:r>
        <w:t xml:space="preserve"> </w:t>
      </w:r>
    </w:p>
    <w:p w14:paraId="087A906C" w14:textId="77777777" w:rsidR="00CD1A6A" w:rsidRDefault="001737F7">
      <w:pPr>
        <w:pStyle w:val="Normal1"/>
      </w:pPr>
      <w:r>
        <w:t xml:space="preserve">This report has examined Bentley Motors </w:t>
      </w:r>
      <w:proofErr w:type="spellStart"/>
      <w:r>
        <w:t>Ltd`s</w:t>
      </w:r>
      <w:proofErr w:type="spellEnd"/>
      <w:r>
        <w:t xml:space="preserve"> inner and outside environments, the usage of numerous strategic evaluation tools, together with PESTLE, Porter`s Five Forces, Value Chain, VRIO, and SWOT evaluation. The evaluation has enabled the file to finish that Bentley has to embody the emblem status it has constructed, and that each unit it sells comes with the backing of the Volkswagen Group. It additionally discovered that Bentley should adapt to the fast tempo of alternate in regulation, generation, and society. Bentley`s destiny aggressive gain is based on the enterprise accelerating its electrification strategy, penetrating new markets and handing over sustainable price all through its operations, whilst fending off the dilution of luxurious overall performance.</w:t>
      </w:r>
    </w:p>
    <w:p w14:paraId="61033F4C" w14:textId="77777777" w:rsidR="00CD1A6A" w:rsidRDefault="001737F7">
      <w:pPr>
        <w:pStyle w:val="Heading2"/>
        <w:keepNext w:val="0"/>
        <w:keepLines w:val="0"/>
        <w:spacing w:before="0" w:after="0"/>
      </w:pPr>
      <w:bookmarkStart w:id="26" w:name="_fzhzrf9qbx3y" w:colFirst="0" w:colLast="0"/>
      <w:bookmarkStart w:id="27" w:name="_Toc200560847"/>
      <w:bookmarkEnd w:id="26"/>
      <w:r>
        <w:t>Recommendations</w:t>
      </w:r>
      <w:bookmarkEnd w:id="27"/>
      <w:r>
        <w:t xml:space="preserve"> </w:t>
      </w:r>
    </w:p>
    <w:p w14:paraId="54A02C10" w14:textId="77777777" w:rsidR="00CD1A6A" w:rsidRDefault="001737F7">
      <w:pPr>
        <w:pStyle w:val="Normal1"/>
        <w:numPr>
          <w:ilvl w:val="0"/>
          <w:numId w:val="5"/>
        </w:numPr>
      </w:pPr>
      <w:r>
        <w:t xml:space="preserve">Firstly, Bentley has to accelerate its rollout of electric automobiles through an extended product development cycle and launch its debut flagship electric-powered first automobiles that </w:t>
      </w:r>
      <w:proofErr w:type="spellStart"/>
      <w:r>
        <w:t>harmonise</w:t>
      </w:r>
      <w:proofErr w:type="spellEnd"/>
      <w:r>
        <w:t xml:space="preserve"> high-stop overall performance and today's improvements in virtual technology and embody its Beyond one hundred sustainability ethos while adapting to regulatory pressures.</w:t>
      </w:r>
    </w:p>
    <w:p w14:paraId="1FC73968" w14:textId="77777777" w:rsidR="00CD1A6A" w:rsidRDefault="001737F7">
      <w:pPr>
        <w:pStyle w:val="Normal1"/>
        <w:numPr>
          <w:ilvl w:val="0"/>
          <w:numId w:val="5"/>
        </w:numPr>
      </w:pPr>
      <w:r>
        <w:t xml:space="preserve">The second recommendation is to expand strategically into growth luxury markets, particularly Asia-Pacific and the Middle East, by developing </w:t>
      </w:r>
      <w:proofErr w:type="spellStart"/>
      <w:r>
        <w:t>customised</w:t>
      </w:r>
      <w:proofErr w:type="spellEnd"/>
      <w:r>
        <w:t xml:space="preserve"> marketing </w:t>
      </w:r>
      <w:r>
        <w:lastRenderedPageBreak/>
        <w:t>campaigns and region-unique dealership partnerships to capture the increasing affluent population (Kapferer and Valette-Florence, 2021).</w:t>
      </w:r>
    </w:p>
    <w:p w14:paraId="38F20B38" w14:textId="77777777" w:rsidR="00CD1A6A" w:rsidRDefault="001737F7">
      <w:pPr>
        <w:pStyle w:val="Normal1"/>
        <w:numPr>
          <w:ilvl w:val="0"/>
          <w:numId w:val="5"/>
        </w:numPr>
      </w:pPr>
      <w:r>
        <w:t xml:space="preserve">The third recommendation is to embed sustainability throughout the entire value chain, from ethical sourcing and carbon-neutral manufacturing to green logistics and transparent ESG reporting. </w:t>
      </w:r>
    </w:p>
    <w:p w14:paraId="38A54547" w14:textId="77777777" w:rsidR="00CD1A6A" w:rsidRDefault="001737F7">
      <w:pPr>
        <w:pStyle w:val="Normal1"/>
      </w:pPr>
      <w:r>
        <w:t xml:space="preserve">These recommendations are consistent with Bentley's vision of becoming the most sustainable luxury carmaker and position the </w:t>
      </w:r>
      <w:proofErr w:type="spellStart"/>
      <w:r>
        <w:t>organisation</w:t>
      </w:r>
      <w:proofErr w:type="spellEnd"/>
      <w:r>
        <w:t xml:space="preserve"> for long-term competitive advantage in a rapidly changing automotive industry.</w:t>
      </w:r>
    </w:p>
    <w:p w14:paraId="375F77C8" w14:textId="77777777" w:rsidR="00CD1A6A" w:rsidRDefault="001737F7">
      <w:pPr>
        <w:pStyle w:val="Normal1"/>
      </w:pPr>
      <w:r>
        <w:br w:type="page"/>
      </w:r>
    </w:p>
    <w:p w14:paraId="6482F5F7" w14:textId="77777777" w:rsidR="00CD1A6A" w:rsidRDefault="001737F7">
      <w:pPr>
        <w:pStyle w:val="Heading1"/>
        <w:spacing w:before="0" w:after="0"/>
      </w:pPr>
      <w:bookmarkStart w:id="28" w:name="_gmxe4wj9pii" w:colFirst="0" w:colLast="0"/>
      <w:bookmarkStart w:id="29" w:name="_Toc200560848"/>
      <w:bookmarkEnd w:id="28"/>
      <w:r>
        <w:lastRenderedPageBreak/>
        <w:t>References</w:t>
      </w:r>
      <w:bookmarkEnd w:id="29"/>
    </w:p>
    <w:p w14:paraId="0F22FB6C" w14:textId="77777777" w:rsidR="00540562" w:rsidRDefault="00540562">
      <w:pPr>
        <w:pStyle w:val="Normal1"/>
      </w:pPr>
      <w:r>
        <w:t xml:space="preserve">Abdelkader, G., </w:t>
      </w:r>
      <w:proofErr w:type="spellStart"/>
      <w:r>
        <w:t>Elgazzar</w:t>
      </w:r>
      <w:proofErr w:type="spellEnd"/>
      <w:r>
        <w:t xml:space="preserve">, K. and Khamis, A. (2021). Connected Vehicles: Technology Review, State of the Art, Challenges and Opportunities. </w:t>
      </w:r>
      <w:r>
        <w:rPr>
          <w:i/>
        </w:rPr>
        <w:t>Sensors</w:t>
      </w:r>
      <w:r>
        <w:t>, [online] 21(22), p.7712.</w:t>
      </w:r>
    </w:p>
    <w:p w14:paraId="4C1406EC" w14:textId="77777777" w:rsidR="00540562" w:rsidRDefault="00540562">
      <w:pPr>
        <w:pStyle w:val="Normal1"/>
      </w:pPr>
      <w:proofErr w:type="spellStart"/>
      <w:r>
        <w:t>Ariwibowo</w:t>
      </w:r>
      <w:proofErr w:type="spellEnd"/>
      <w:r>
        <w:t xml:space="preserve">, P., </w:t>
      </w:r>
      <w:proofErr w:type="spellStart"/>
      <w:r>
        <w:t>Saputro</w:t>
      </w:r>
      <w:proofErr w:type="spellEnd"/>
      <w:r>
        <w:t xml:space="preserve">, F.B. and Haryanto, H. (2021). Analysis of Strength &amp; Weakness, Using the Concept of Resource-Based View with the VRIO Framework in Sharia Cooperatives. </w:t>
      </w:r>
      <w:proofErr w:type="spellStart"/>
      <w:r>
        <w:rPr>
          <w:i/>
        </w:rPr>
        <w:t>Jurnal</w:t>
      </w:r>
      <w:proofErr w:type="spellEnd"/>
      <w:r>
        <w:rPr>
          <w:i/>
        </w:rPr>
        <w:t xml:space="preserve"> </w:t>
      </w:r>
      <w:proofErr w:type="spellStart"/>
      <w:r>
        <w:rPr>
          <w:i/>
        </w:rPr>
        <w:t>Manajemen</w:t>
      </w:r>
      <w:proofErr w:type="spellEnd"/>
      <w:r>
        <w:rPr>
          <w:i/>
        </w:rPr>
        <w:t xml:space="preserve"> Strategi dan </w:t>
      </w:r>
      <w:proofErr w:type="spellStart"/>
      <w:r>
        <w:rPr>
          <w:i/>
        </w:rPr>
        <w:t>Aplikasi</w:t>
      </w:r>
      <w:proofErr w:type="spellEnd"/>
      <w:r>
        <w:rPr>
          <w:i/>
        </w:rPr>
        <w:t xml:space="preserve"> </w:t>
      </w:r>
      <w:proofErr w:type="spellStart"/>
      <w:r>
        <w:rPr>
          <w:i/>
        </w:rPr>
        <w:t>Bisnis</w:t>
      </w:r>
      <w:proofErr w:type="spellEnd"/>
      <w:r>
        <w:t>, [online] 4(1), pp.279–294.</w:t>
      </w:r>
    </w:p>
    <w:p w14:paraId="375A576A" w14:textId="77777777" w:rsidR="00540562" w:rsidRDefault="00540562">
      <w:pPr>
        <w:pStyle w:val="Normal1"/>
      </w:pPr>
      <w:r>
        <w:t xml:space="preserve">Bai, H., McColl, J. and Moore, C. (2020). Motives behind retailers’ post-entry expansion - Evidence from the Chinese luxury fashion market. </w:t>
      </w:r>
      <w:r>
        <w:rPr>
          <w:i/>
        </w:rPr>
        <w:t>Journal of Retailing and Consumer Services</w:t>
      </w:r>
      <w:r>
        <w:t>, 59, p.102400.</w:t>
      </w:r>
    </w:p>
    <w:p w14:paraId="1FD84285" w14:textId="77777777" w:rsidR="00540562" w:rsidRDefault="00540562">
      <w:pPr>
        <w:pStyle w:val="Normal1"/>
      </w:pPr>
      <w:r>
        <w:t xml:space="preserve">Bentley Motors (2024). </w:t>
      </w:r>
      <w:r>
        <w:rPr>
          <w:i/>
        </w:rPr>
        <w:t>Official Bentley Motors website | Powerful, handcrafted luxury cars</w:t>
      </w:r>
      <w:r>
        <w:t xml:space="preserve">. [online] Bentleymotors.com. Available at: </w:t>
      </w:r>
      <w:hyperlink r:id="rId12">
        <w:r>
          <w:rPr>
            <w:color w:val="1155CC"/>
            <w:u w:val="single"/>
          </w:rPr>
          <w:t>https://www.bentleymotors.com/en.html</w:t>
        </w:r>
      </w:hyperlink>
      <w:r>
        <w:t>. [Accessed 11 June 2025]</w:t>
      </w:r>
    </w:p>
    <w:p w14:paraId="467CA6F5" w14:textId="77777777" w:rsidR="00540562" w:rsidRDefault="00540562">
      <w:pPr>
        <w:pStyle w:val="Normal1"/>
      </w:pPr>
      <w:proofErr w:type="spellStart"/>
      <w:r>
        <w:t>Bhattacheryay</w:t>
      </w:r>
      <w:proofErr w:type="spellEnd"/>
      <w:r>
        <w:t xml:space="preserve">, S. (2023). Distinguished Competency and Efficacy of Working Capital Management Ensuing Firm Survival, Liquidity, Solvency and Profitability: A Study on Automotive Industry. </w:t>
      </w:r>
      <w:r>
        <w:rPr>
          <w:i/>
        </w:rPr>
        <w:t>American Business Review</w:t>
      </w:r>
      <w:r>
        <w:t>, [online] 26(1).</w:t>
      </w:r>
    </w:p>
    <w:p w14:paraId="371DD926" w14:textId="77777777" w:rsidR="00540562" w:rsidRDefault="00540562">
      <w:pPr>
        <w:pStyle w:val="Normal1"/>
      </w:pPr>
      <w:r>
        <w:t xml:space="preserve">Cao, F. (2023). Digital financial innovation and renewable electrification: A step toward zero carbon nexus. </w:t>
      </w:r>
      <w:r>
        <w:rPr>
          <w:i/>
        </w:rPr>
        <w:t>Renewable Energy</w:t>
      </w:r>
      <w:r>
        <w:t>, [online] 215, p.118910.</w:t>
      </w:r>
    </w:p>
    <w:p w14:paraId="0F205FF9" w14:textId="77777777" w:rsidR="00540562" w:rsidRDefault="00540562">
      <w:pPr>
        <w:pStyle w:val="Normal1"/>
      </w:pPr>
      <w:r>
        <w:t xml:space="preserve">Chen, S., Yu, S. and Gao, P. (2023). Environmental, social, and Governance (ESG) Performance and Financial outcomes: Analyzing the Impact of ESG on Financial Performance. </w:t>
      </w:r>
      <w:r>
        <w:rPr>
          <w:i/>
        </w:rPr>
        <w:t>Journal of Environmental Management</w:t>
      </w:r>
      <w:r>
        <w:t>, 345(1), pp.118829–118829.</w:t>
      </w:r>
    </w:p>
    <w:p w14:paraId="680E8CC6" w14:textId="77777777" w:rsidR="00540562" w:rsidRDefault="00540562">
      <w:pPr>
        <w:pStyle w:val="Normal1"/>
      </w:pPr>
      <w:r>
        <w:t xml:space="preserve">Dobre, C., Milovan, A.-M., </w:t>
      </w:r>
      <w:proofErr w:type="spellStart"/>
      <w:r>
        <w:t>Duțu</w:t>
      </w:r>
      <w:proofErr w:type="spellEnd"/>
      <w:r>
        <w:t xml:space="preserve">, C., </w:t>
      </w:r>
      <w:proofErr w:type="spellStart"/>
      <w:r>
        <w:t>Preda</w:t>
      </w:r>
      <w:proofErr w:type="spellEnd"/>
      <w:r>
        <w:t xml:space="preserve">, G. and </w:t>
      </w:r>
      <w:proofErr w:type="spellStart"/>
      <w:r>
        <w:t>Agapie</w:t>
      </w:r>
      <w:proofErr w:type="spellEnd"/>
      <w:r>
        <w:t xml:space="preserve">, A. (2021). The Common Values of Social Media Marketing and Luxury Brands. the Millennials and Generation Z Perspective. </w:t>
      </w:r>
      <w:r>
        <w:rPr>
          <w:i/>
        </w:rPr>
        <w:t>Journal of Theoretical and Applied Electronic Commerce Research</w:t>
      </w:r>
      <w:r>
        <w:t>, [online] 16(7), pp.2532–2553.</w:t>
      </w:r>
    </w:p>
    <w:p w14:paraId="113B8669" w14:textId="77777777" w:rsidR="00540562" w:rsidRDefault="00540562">
      <w:pPr>
        <w:pStyle w:val="Normal1"/>
      </w:pPr>
      <w:r>
        <w:t xml:space="preserve">Gautam, K., Debashish Gogoi, </w:t>
      </w:r>
      <w:proofErr w:type="spellStart"/>
      <w:r>
        <w:t>Tanyu</w:t>
      </w:r>
      <w:proofErr w:type="spellEnd"/>
      <w:r>
        <w:t xml:space="preserve"> </w:t>
      </w:r>
      <w:proofErr w:type="spellStart"/>
      <w:r>
        <w:t>Donarld</w:t>
      </w:r>
      <w:proofErr w:type="spellEnd"/>
      <w:r>
        <w:t xml:space="preserve"> </w:t>
      </w:r>
      <w:proofErr w:type="spellStart"/>
      <w:r>
        <w:t>Kongnyui</w:t>
      </w:r>
      <w:proofErr w:type="spellEnd"/>
      <w:r>
        <w:t xml:space="preserve">, Devi, S., Kumar, C. and Kumar, M. (2024). A comprehensive review on surface modifications of polymer‐based 3D‐printed structures: Metal coating prospects and challenges. </w:t>
      </w:r>
      <w:r>
        <w:rPr>
          <w:i/>
        </w:rPr>
        <w:t>Polymers for advanced technologies (Print)</w:t>
      </w:r>
      <w:r>
        <w:t>, 35(4).</w:t>
      </w:r>
    </w:p>
    <w:p w14:paraId="33A03500" w14:textId="77777777" w:rsidR="00540562" w:rsidRDefault="00540562">
      <w:pPr>
        <w:pStyle w:val="Normal1"/>
      </w:pPr>
      <w:r>
        <w:t xml:space="preserve">Goetzel, N. and </w:t>
      </w:r>
      <w:proofErr w:type="spellStart"/>
      <w:r>
        <w:t>Hasanuzzaman</w:t>
      </w:r>
      <w:proofErr w:type="spellEnd"/>
      <w:r>
        <w:t xml:space="preserve">, M. (2022). An empirical analysis of electric vehicle cost trends: A case study in Germany. </w:t>
      </w:r>
      <w:r>
        <w:rPr>
          <w:i/>
        </w:rPr>
        <w:t>Research in Transportation Business &amp; Management</w:t>
      </w:r>
      <w:r>
        <w:t>, 43, p.100825.</w:t>
      </w:r>
    </w:p>
    <w:p w14:paraId="241E0616" w14:textId="77777777" w:rsidR="00540562" w:rsidRDefault="00540562">
      <w:pPr>
        <w:pStyle w:val="Normal1"/>
      </w:pPr>
      <w:r>
        <w:lastRenderedPageBreak/>
        <w:t xml:space="preserve">Junaid, M., Zhang, Q. and Syed, M.W. (2021). Effects of Sustainable Supply Chain Integration on Green Innovation and Firm Performance. </w:t>
      </w:r>
      <w:r>
        <w:rPr>
          <w:i/>
        </w:rPr>
        <w:t>Sustainable Production and Consumption</w:t>
      </w:r>
      <w:r>
        <w:t>.</w:t>
      </w:r>
    </w:p>
    <w:p w14:paraId="2EDC3F9A" w14:textId="77777777" w:rsidR="00540562" w:rsidRDefault="00540562">
      <w:pPr>
        <w:pStyle w:val="Normal1"/>
      </w:pPr>
      <w:r>
        <w:t xml:space="preserve">Kamble, S.S., Gunasekaran, A., Subramanian, N., Ghadge, A., Belhadi, A. and Venkatesh, M. (2021). Blockchain technology’s impact on supply chain integration and sustainable supply chain performance: evidence from the automotive industry. </w:t>
      </w:r>
      <w:r>
        <w:rPr>
          <w:i/>
        </w:rPr>
        <w:t>Annals of Operations Research</w:t>
      </w:r>
      <w:r>
        <w:t>, [online] 327(1).</w:t>
      </w:r>
    </w:p>
    <w:p w14:paraId="5280C6F8" w14:textId="77777777" w:rsidR="00540562" w:rsidRDefault="00540562">
      <w:pPr>
        <w:pStyle w:val="Normal1"/>
      </w:pPr>
      <w:r>
        <w:t xml:space="preserve">Kapferer, J.-N. and Valette-Florence, P. (2021). Which consumers believe luxury must be expensive and why? A cross-cultural comparison of motivations. </w:t>
      </w:r>
      <w:r>
        <w:rPr>
          <w:i/>
        </w:rPr>
        <w:t>Journal of Business Research</w:t>
      </w:r>
      <w:r>
        <w:t>, 132(0148-2963), pp.301–313.</w:t>
      </w:r>
    </w:p>
    <w:p w14:paraId="315DF1A2" w14:textId="77777777" w:rsidR="00540562" w:rsidRDefault="00540562">
      <w:pPr>
        <w:pStyle w:val="Normal1"/>
      </w:pPr>
      <w:r>
        <w:t xml:space="preserve">Kuznetsov, A.L., Kirichenko, A.V. and Semenov, A.D. (2021). EVALUATING LEAD-TIME IN COMPLEX SUPPLY CHAINS BY SIMULATION TECHNIQUE. </w:t>
      </w:r>
      <w:proofErr w:type="spellStart"/>
      <w:r>
        <w:rPr>
          <w:i/>
        </w:rPr>
        <w:t>Vestnik</w:t>
      </w:r>
      <w:proofErr w:type="spellEnd"/>
      <w:r>
        <w:rPr>
          <w:i/>
        </w:rPr>
        <w:t xml:space="preserve"> </w:t>
      </w:r>
      <w:proofErr w:type="spellStart"/>
      <w:r>
        <w:rPr>
          <w:i/>
        </w:rPr>
        <w:t>Gosudarstvennogo</w:t>
      </w:r>
      <w:proofErr w:type="spellEnd"/>
      <w:r>
        <w:rPr>
          <w:i/>
        </w:rPr>
        <w:t xml:space="preserve"> </w:t>
      </w:r>
      <w:proofErr w:type="spellStart"/>
      <w:r>
        <w:rPr>
          <w:i/>
        </w:rPr>
        <w:t>universiteta</w:t>
      </w:r>
      <w:proofErr w:type="spellEnd"/>
      <w:r>
        <w:rPr>
          <w:i/>
        </w:rPr>
        <w:t xml:space="preserve"> </w:t>
      </w:r>
      <w:proofErr w:type="spellStart"/>
      <w:r>
        <w:rPr>
          <w:i/>
        </w:rPr>
        <w:t>morskogo</w:t>
      </w:r>
      <w:proofErr w:type="spellEnd"/>
      <w:r>
        <w:rPr>
          <w:i/>
        </w:rPr>
        <w:t xml:space="preserve"> </w:t>
      </w:r>
      <w:proofErr w:type="spellStart"/>
      <w:r>
        <w:rPr>
          <w:i/>
        </w:rPr>
        <w:t>i</w:t>
      </w:r>
      <w:proofErr w:type="spellEnd"/>
      <w:r>
        <w:rPr>
          <w:i/>
        </w:rPr>
        <w:t xml:space="preserve"> </w:t>
      </w:r>
      <w:proofErr w:type="spellStart"/>
      <w:r>
        <w:rPr>
          <w:i/>
        </w:rPr>
        <w:t>rechnogo</w:t>
      </w:r>
      <w:proofErr w:type="spellEnd"/>
      <w:r>
        <w:rPr>
          <w:i/>
        </w:rPr>
        <w:t xml:space="preserve"> flota </w:t>
      </w:r>
      <w:proofErr w:type="spellStart"/>
      <w:r>
        <w:rPr>
          <w:i/>
        </w:rPr>
        <w:t>imeni</w:t>
      </w:r>
      <w:proofErr w:type="spellEnd"/>
      <w:r>
        <w:rPr>
          <w:i/>
        </w:rPr>
        <w:t xml:space="preserve"> </w:t>
      </w:r>
      <w:proofErr w:type="spellStart"/>
      <w:r>
        <w:rPr>
          <w:i/>
        </w:rPr>
        <w:t>admirala</w:t>
      </w:r>
      <w:proofErr w:type="spellEnd"/>
      <w:r>
        <w:rPr>
          <w:i/>
        </w:rPr>
        <w:t xml:space="preserve"> S. O. Makarova</w:t>
      </w:r>
      <w:r>
        <w:t>, [online] 13(3), pp.372–383.</w:t>
      </w:r>
    </w:p>
    <w:p w14:paraId="7C0BB003" w14:textId="77777777" w:rsidR="00540562" w:rsidRDefault="00540562">
      <w:pPr>
        <w:pStyle w:val="Normal1"/>
      </w:pPr>
      <w:r>
        <w:t xml:space="preserve">Lee, R. and Brown, S. (2021). Evaluating the role of behavior and social class in electric vehicle adoption and charging demands. </w:t>
      </w:r>
      <w:proofErr w:type="spellStart"/>
      <w:r>
        <w:rPr>
          <w:i/>
        </w:rPr>
        <w:t>IScience</w:t>
      </w:r>
      <w:proofErr w:type="spellEnd"/>
      <w:r>
        <w:t>, [online] 24(8), p.102914.</w:t>
      </w:r>
    </w:p>
    <w:p w14:paraId="676C4CF6" w14:textId="77777777" w:rsidR="00540562" w:rsidRDefault="00540562">
      <w:pPr>
        <w:pStyle w:val="Normal1"/>
      </w:pPr>
      <w:r>
        <w:t xml:space="preserve">Manjunath, C., Naval, P. and Upadhyay, R. (2024). Exploring New Opportunities for Service Delivery within Next Generation Networks. </w:t>
      </w:r>
      <w:r>
        <w:rPr>
          <w:i/>
        </w:rPr>
        <w:t>2022 13th International Conference on Computing Communication and Networking Technologies (ICCCNT)</w:t>
      </w:r>
      <w:r>
        <w:t>, [online] pp.1–6.</w:t>
      </w:r>
    </w:p>
    <w:p w14:paraId="40D16C88" w14:textId="77777777" w:rsidR="00540562" w:rsidRDefault="00540562">
      <w:pPr>
        <w:pStyle w:val="Normal1"/>
      </w:pPr>
      <w:r>
        <w:t xml:space="preserve">Mathieu Tahon (2022). </w:t>
      </w:r>
      <w:r>
        <w:rPr>
          <w:i/>
        </w:rPr>
        <w:t xml:space="preserve">Flexibility, Competitive and Cooperative Interactions in Telecommunication Networks: </w:t>
      </w:r>
      <w:proofErr w:type="gramStart"/>
      <w:r>
        <w:rPr>
          <w:i/>
        </w:rPr>
        <w:t>a</w:t>
      </w:r>
      <w:proofErr w:type="gramEnd"/>
      <w:r>
        <w:rPr>
          <w:i/>
        </w:rPr>
        <w:t xml:space="preserve"> Model for Extended Techno-Economic Evaluation</w:t>
      </w:r>
      <w:r>
        <w:t xml:space="preserve">. [online] Available at: </w:t>
      </w:r>
      <w:hyperlink r:id="rId13">
        <w:r>
          <w:rPr>
            <w:color w:val="1155CC"/>
            <w:u w:val="single"/>
          </w:rPr>
          <w:t>https://www.researchgate.net/publication/259221894_Flexibility_Competitive_and_Cooperative_Interactions_in_Telecommunication_Networks_a_Model_for_Extended_Techno-Economic_Evaluation?_tp=eyJjb250ZXh0Ijp7ImZpcnN0UGFnZSI6Il9kaXJlY3QiLCJwYWdlIjoiX2RpcmVjdCJ9fQ</w:t>
        </w:r>
      </w:hyperlink>
      <w:r>
        <w:t>. [Accessed 11 June 2025]</w:t>
      </w:r>
    </w:p>
    <w:p w14:paraId="3D3D7E37" w14:textId="77777777" w:rsidR="00540562" w:rsidRDefault="00540562">
      <w:pPr>
        <w:pStyle w:val="Normal1"/>
      </w:pPr>
      <w:r>
        <w:rPr>
          <w:color w:val="222222"/>
          <w:highlight w:val="white"/>
        </w:rPr>
        <w:t xml:space="preserve">MEHRA, A. and JAIN, V., (2021). A review study on the brand image on the customer’s perspective. </w:t>
      </w:r>
      <w:r>
        <w:rPr>
          <w:i/>
          <w:color w:val="222222"/>
          <w:highlight w:val="white"/>
        </w:rPr>
        <w:t>Journal of Contemporary Issues in Business and Government| Vol</w:t>
      </w:r>
      <w:r>
        <w:rPr>
          <w:color w:val="222222"/>
          <w:highlight w:val="white"/>
        </w:rPr>
        <w:t xml:space="preserve">, </w:t>
      </w:r>
      <w:r>
        <w:rPr>
          <w:i/>
          <w:color w:val="222222"/>
          <w:highlight w:val="white"/>
        </w:rPr>
        <w:t>27</w:t>
      </w:r>
      <w:r>
        <w:rPr>
          <w:color w:val="222222"/>
          <w:highlight w:val="white"/>
        </w:rPr>
        <w:t>(3), p.773.</w:t>
      </w:r>
    </w:p>
    <w:p w14:paraId="7B1FD187" w14:textId="77777777" w:rsidR="00540562" w:rsidRDefault="00540562">
      <w:pPr>
        <w:pStyle w:val="Normal1"/>
      </w:pPr>
      <w:r>
        <w:t xml:space="preserve">Nicoli, N., Henriksen, K., </w:t>
      </w:r>
      <w:proofErr w:type="spellStart"/>
      <w:r>
        <w:t>Komodromos</w:t>
      </w:r>
      <w:proofErr w:type="spellEnd"/>
      <w:r>
        <w:t xml:space="preserve">, M. and </w:t>
      </w:r>
      <w:proofErr w:type="spellStart"/>
      <w:r>
        <w:t>Tsagalas</w:t>
      </w:r>
      <w:proofErr w:type="spellEnd"/>
      <w:r>
        <w:t xml:space="preserve">, D. (2021). Investigating digital storytelling for the creation of positively engaging digital content. </w:t>
      </w:r>
      <w:proofErr w:type="spellStart"/>
      <w:r>
        <w:rPr>
          <w:i/>
        </w:rPr>
        <w:t>EuroMed</w:t>
      </w:r>
      <w:proofErr w:type="spellEnd"/>
      <w:r>
        <w:rPr>
          <w:i/>
        </w:rPr>
        <w:t xml:space="preserve"> Journal of Business</w:t>
      </w:r>
      <w:r>
        <w:t>, 17(2).</w:t>
      </w:r>
    </w:p>
    <w:p w14:paraId="0EB6282C" w14:textId="77777777" w:rsidR="00540562" w:rsidRDefault="00540562">
      <w:pPr>
        <w:pStyle w:val="Normal1"/>
      </w:pPr>
      <w:proofErr w:type="spellStart"/>
      <w:r>
        <w:t>Novizayanti</w:t>
      </w:r>
      <w:proofErr w:type="spellEnd"/>
      <w:r>
        <w:t xml:space="preserve">, D., </w:t>
      </w:r>
      <w:proofErr w:type="spellStart"/>
      <w:r>
        <w:t>Prasetio</w:t>
      </w:r>
      <w:proofErr w:type="spellEnd"/>
      <w:r>
        <w:t xml:space="preserve">, E.A., </w:t>
      </w:r>
      <w:proofErr w:type="spellStart"/>
      <w:r>
        <w:t>Siallagan</w:t>
      </w:r>
      <w:proofErr w:type="spellEnd"/>
      <w:r>
        <w:t xml:space="preserve">, M. and Santosa, S.P. (2021). Agent-Based Modeling Framework for Electric Vehicle Adoption Transition in Indonesia. </w:t>
      </w:r>
      <w:r>
        <w:rPr>
          <w:i/>
        </w:rPr>
        <w:t>World Electric Vehicle Journal</w:t>
      </w:r>
      <w:r>
        <w:t>, 12(2), p.73.</w:t>
      </w:r>
    </w:p>
    <w:p w14:paraId="7D2FEAD6" w14:textId="77777777" w:rsidR="00540562" w:rsidRDefault="00540562">
      <w:pPr>
        <w:pStyle w:val="Normal1"/>
      </w:pPr>
      <w:r>
        <w:lastRenderedPageBreak/>
        <w:t xml:space="preserve">Ogutu, H., Adol, G.F.C., Bujdosó, Z., Andrea, B., Fekete-Farkas, M. and Dávid, L.D. (2023). Theoretical Nexus of Knowledge Management and Tourism Business Enterprise Competitiveness: An Integrated Overview. </w:t>
      </w:r>
      <w:r>
        <w:rPr>
          <w:i/>
        </w:rPr>
        <w:t>Sustainability</w:t>
      </w:r>
      <w:r>
        <w:t>, [online] 15(3), p.1948.</w:t>
      </w:r>
    </w:p>
    <w:p w14:paraId="3250FF31" w14:textId="77777777" w:rsidR="00540562" w:rsidRDefault="00540562">
      <w:pPr>
        <w:pStyle w:val="Normal1"/>
      </w:pPr>
      <w:r>
        <w:t xml:space="preserve">Peterson, A. (2024). Evaluating the Impact of Price Fluctuations on Consumer Buying Decisions and Adaptation Strategies in the Automotive Market. </w:t>
      </w:r>
      <w:r>
        <w:rPr>
          <w:i/>
        </w:rPr>
        <w:t>Law and Economy</w:t>
      </w:r>
      <w:r>
        <w:t>, [online] 3(4), pp.1–9.</w:t>
      </w:r>
    </w:p>
    <w:p w14:paraId="685AC08F" w14:textId="77777777" w:rsidR="00540562" w:rsidRDefault="00540562">
      <w:pPr>
        <w:pStyle w:val="Normal1"/>
      </w:pPr>
      <w:r>
        <w:t xml:space="preserve">Pichler, M., </w:t>
      </w:r>
      <w:proofErr w:type="spellStart"/>
      <w:r>
        <w:t>Krenmayr</w:t>
      </w:r>
      <w:proofErr w:type="spellEnd"/>
      <w:r>
        <w:t xml:space="preserve">, N., Schneider, E. and Brand, U. (2021). EU industrial policy: Between modernization and transformation of the automotive industry. </w:t>
      </w:r>
      <w:r>
        <w:rPr>
          <w:i/>
        </w:rPr>
        <w:t>Environmental Innovation and Societal Transitions</w:t>
      </w:r>
      <w:r>
        <w:t>, 38, pp.140–152.</w:t>
      </w:r>
    </w:p>
    <w:p w14:paraId="7C9A0BE8" w14:textId="77777777" w:rsidR="00540562" w:rsidRDefault="00540562">
      <w:pPr>
        <w:pStyle w:val="Normal1"/>
      </w:pPr>
      <w:r>
        <w:t xml:space="preserve">Theocharis, D. and Tsekouropoulos, G. (2025). Sustainable Consumption and Branding for Gen Z: How Brand Dimensions Influence Consumer Behavior and Adoption of Newly Launched Technological Products. </w:t>
      </w:r>
      <w:r>
        <w:rPr>
          <w:i/>
        </w:rPr>
        <w:t>Sustainability</w:t>
      </w:r>
      <w:r>
        <w:t>, 17(9), p.4124.</w:t>
      </w:r>
    </w:p>
    <w:p w14:paraId="3CC7BAF1" w14:textId="77777777" w:rsidR="00540562" w:rsidRDefault="00540562">
      <w:pPr>
        <w:pStyle w:val="Normal1"/>
      </w:pPr>
      <w:r>
        <w:t xml:space="preserve">Wuori, P.E.M. (2023). </w:t>
      </w:r>
      <w:proofErr w:type="spellStart"/>
      <w:r>
        <w:rPr>
          <w:i/>
        </w:rPr>
        <w:t>Analysing</w:t>
      </w:r>
      <w:proofErr w:type="spellEnd"/>
      <w:r>
        <w:rPr>
          <w:i/>
        </w:rPr>
        <w:t xml:space="preserve"> the Differences Between Luxury and Premium in Marketing – Case Study: BMW and Rolls-Royce</w:t>
      </w:r>
      <w:r>
        <w:t xml:space="preserve">. [online] www.theseus.fi. Available at: </w:t>
      </w:r>
      <w:hyperlink r:id="rId14">
        <w:r>
          <w:rPr>
            <w:color w:val="1155CC"/>
            <w:u w:val="single"/>
          </w:rPr>
          <w:t>https://www.theseus.fi/handle/10024/802349</w:t>
        </w:r>
      </w:hyperlink>
      <w:r>
        <w:t>. [Accessed 11 June 2025]</w:t>
      </w:r>
    </w:p>
    <w:p w14:paraId="555B8C89" w14:textId="77777777" w:rsidR="00CD1A6A" w:rsidRDefault="00540562">
      <w:pPr>
        <w:pStyle w:val="Normal1"/>
      </w:pPr>
      <w:r>
        <w:t xml:space="preserve">Yun, J.J. and </w:t>
      </w:r>
      <w:proofErr w:type="spellStart"/>
      <w:r>
        <w:t>Yigitcanlar</w:t>
      </w:r>
      <w:proofErr w:type="spellEnd"/>
      <w:r>
        <w:t xml:space="preserve">, T. (2022). Open Innovation in Value Chain for Sustainability of Firms. </w:t>
      </w:r>
      <w:r>
        <w:rPr>
          <w:i/>
        </w:rPr>
        <w:t>Sustainability</w:t>
      </w:r>
      <w:r>
        <w:t>, 9(5), p.811.</w:t>
      </w:r>
    </w:p>
    <w:sectPr w:rsidR="00CD1A6A" w:rsidSect="00540562">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1FD467" w14:textId="77777777" w:rsidR="001448CF" w:rsidRDefault="001448CF" w:rsidP="00CD1A6A">
      <w:pPr>
        <w:spacing w:line="240" w:lineRule="auto"/>
      </w:pPr>
      <w:r>
        <w:separator/>
      </w:r>
    </w:p>
  </w:endnote>
  <w:endnote w:type="continuationSeparator" w:id="0">
    <w:p w14:paraId="3B88B71D" w14:textId="77777777" w:rsidR="001448CF" w:rsidRDefault="001448CF" w:rsidP="00CD1A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88005"/>
      <w:docPartObj>
        <w:docPartGallery w:val="Page Numbers (Bottom of Page)"/>
        <w:docPartUnique/>
      </w:docPartObj>
    </w:sdtPr>
    <w:sdtEndPr/>
    <w:sdtContent>
      <w:sdt>
        <w:sdtPr>
          <w:id w:val="565050523"/>
          <w:docPartObj>
            <w:docPartGallery w:val="Page Numbers (Top of Page)"/>
            <w:docPartUnique/>
          </w:docPartObj>
        </w:sdtPr>
        <w:sdtEndPr/>
        <w:sdtContent>
          <w:p w14:paraId="3F73BD1A" w14:textId="77777777" w:rsidR="00540562" w:rsidRDefault="00540562">
            <w:pPr>
              <w:pStyle w:val="Footer"/>
              <w:jc w:val="right"/>
            </w:pPr>
            <w:r w:rsidRPr="00540562">
              <w:rPr>
                <w:sz w:val="22"/>
              </w:rPr>
              <w:t xml:space="preserve">Page </w:t>
            </w:r>
            <w:r w:rsidRPr="00540562">
              <w:rPr>
                <w:sz w:val="22"/>
              </w:rPr>
              <w:fldChar w:fldCharType="begin"/>
            </w:r>
            <w:r w:rsidRPr="00540562">
              <w:rPr>
                <w:sz w:val="22"/>
              </w:rPr>
              <w:instrText xml:space="preserve"> PAGE </w:instrText>
            </w:r>
            <w:r w:rsidRPr="00540562">
              <w:rPr>
                <w:sz w:val="22"/>
              </w:rPr>
              <w:fldChar w:fldCharType="separate"/>
            </w:r>
            <w:r w:rsidR="00D82D75">
              <w:rPr>
                <w:noProof/>
                <w:sz w:val="22"/>
              </w:rPr>
              <w:t>16</w:t>
            </w:r>
            <w:r w:rsidRPr="00540562">
              <w:rPr>
                <w:sz w:val="22"/>
              </w:rPr>
              <w:fldChar w:fldCharType="end"/>
            </w:r>
            <w:r w:rsidRPr="00540562">
              <w:rPr>
                <w:sz w:val="22"/>
              </w:rPr>
              <w:t xml:space="preserve"> of </w:t>
            </w:r>
            <w:r w:rsidRPr="00540562">
              <w:rPr>
                <w:sz w:val="22"/>
              </w:rPr>
              <w:fldChar w:fldCharType="begin"/>
            </w:r>
            <w:r w:rsidRPr="00540562">
              <w:rPr>
                <w:sz w:val="22"/>
              </w:rPr>
              <w:instrText xml:space="preserve"> NUMPAGES  </w:instrText>
            </w:r>
            <w:r w:rsidRPr="00540562">
              <w:rPr>
                <w:sz w:val="22"/>
              </w:rPr>
              <w:fldChar w:fldCharType="separate"/>
            </w:r>
            <w:r w:rsidR="00D82D75">
              <w:rPr>
                <w:noProof/>
                <w:sz w:val="22"/>
              </w:rPr>
              <w:t>17</w:t>
            </w:r>
            <w:r w:rsidRPr="00540562">
              <w:rPr>
                <w:sz w:val="22"/>
              </w:rPr>
              <w:fldChar w:fldCharType="end"/>
            </w:r>
          </w:p>
        </w:sdtContent>
      </w:sdt>
    </w:sdtContent>
  </w:sdt>
  <w:p w14:paraId="562A53E7" w14:textId="77777777" w:rsidR="00540562" w:rsidRDefault="005405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44C026" w14:textId="77777777" w:rsidR="001448CF" w:rsidRDefault="001448CF" w:rsidP="00CD1A6A">
      <w:pPr>
        <w:spacing w:line="240" w:lineRule="auto"/>
      </w:pPr>
      <w:r>
        <w:separator/>
      </w:r>
    </w:p>
  </w:footnote>
  <w:footnote w:type="continuationSeparator" w:id="0">
    <w:p w14:paraId="732C0799" w14:textId="77777777" w:rsidR="001448CF" w:rsidRDefault="001448CF" w:rsidP="00CD1A6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E43F7"/>
    <w:multiLevelType w:val="multilevel"/>
    <w:tmpl w:val="5A0291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7A48E9"/>
    <w:multiLevelType w:val="multilevel"/>
    <w:tmpl w:val="BCF480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9A0463"/>
    <w:multiLevelType w:val="multilevel"/>
    <w:tmpl w:val="9940C9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1B16188"/>
    <w:multiLevelType w:val="multilevel"/>
    <w:tmpl w:val="AE2074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C8678C8"/>
    <w:multiLevelType w:val="multilevel"/>
    <w:tmpl w:val="D02CD6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94455023">
    <w:abstractNumId w:val="2"/>
  </w:num>
  <w:num w:numId="2" w16cid:durableId="1036661062">
    <w:abstractNumId w:val="1"/>
  </w:num>
  <w:num w:numId="3" w16cid:durableId="1493597029">
    <w:abstractNumId w:val="4"/>
  </w:num>
  <w:num w:numId="4" w16cid:durableId="853500295">
    <w:abstractNumId w:val="0"/>
  </w:num>
  <w:num w:numId="5" w16cid:durableId="5762824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A6A"/>
    <w:rsid w:val="000E1519"/>
    <w:rsid w:val="001448CF"/>
    <w:rsid w:val="001737F7"/>
    <w:rsid w:val="002E2B40"/>
    <w:rsid w:val="00390A47"/>
    <w:rsid w:val="00540562"/>
    <w:rsid w:val="008F4630"/>
    <w:rsid w:val="009D571C"/>
    <w:rsid w:val="00BA1CAC"/>
    <w:rsid w:val="00CD1A6A"/>
    <w:rsid w:val="00D82D75"/>
    <w:rsid w:val="00D9206D"/>
    <w:rsid w:val="00DD380D"/>
    <w:rsid w:val="00E926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3FCEF"/>
  <w15:docId w15:val="{A948D682-0FD8-45FF-AD09-012BB520C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CD1A6A"/>
    <w:pPr>
      <w:keepNext/>
      <w:keepLines/>
      <w:spacing w:before="280" w:after="80"/>
      <w:outlineLvl w:val="0"/>
    </w:pPr>
    <w:rPr>
      <w:b/>
      <w:sz w:val="28"/>
      <w:szCs w:val="28"/>
    </w:rPr>
  </w:style>
  <w:style w:type="paragraph" w:styleId="Heading2">
    <w:name w:val="heading 2"/>
    <w:basedOn w:val="Normal1"/>
    <w:next w:val="Normal1"/>
    <w:rsid w:val="00CD1A6A"/>
    <w:pPr>
      <w:keepNext/>
      <w:keepLines/>
      <w:spacing w:before="280" w:after="80"/>
      <w:outlineLvl w:val="1"/>
    </w:pPr>
    <w:rPr>
      <w:b/>
    </w:rPr>
  </w:style>
  <w:style w:type="paragraph" w:styleId="Heading3">
    <w:name w:val="heading 3"/>
    <w:basedOn w:val="Normal1"/>
    <w:next w:val="Normal1"/>
    <w:rsid w:val="00CD1A6A"/>
    <w:pPr>
      <w:keepNext/>
      <w:keepLines/>
      <w:spacing w:before="240" w:after="40"/>
      <w:outlineLvl w:val="2"/>
    </w:pPr>
    <w:rPr>
      <w:b/>
      <w:i/>
    </w:rPr>
  </w:style>
  <w:style w:type="paragraph" w:styleId="Heading4">
    <w:name w:val="heading 4"/>
    <w:basedOn w:val="Normal1"/>
    <w:next w:val="Normal1"/>
    <w:rsid w:val="00CD1A6A"/>
    <w:pPr>
      <w:keepNext/>
      <w:keepLines/>
      <w:spacing w:before="280" w:after="80"/>
      <w:outlineLvl w:val="3"/>
    </w:pPr>
    <w:rPr>
      <w:color w:val="666666"/>
    </w:rPr>
  </w:style>
  <w:style w:type="paragraph" w:styleId="Heading5">
    <w:name w:val="heading 5"/>
    <w:basedOn w:val="Normal1"/>
    <w:next w:val="Normal1"/>
    <w:rsid w:val="00CD1A6A"/>
    <w:pPr>
      <w:keepNext/>
      <w:keepLines/>
      <w:spacing w:before="240" w:after="80"/>
      <w:outlineLvl w:val="4"/>
    </w:pPr>
    <w:rPr>
      <w:color w:val="666666"/>
      <w:sz w:val="22"/>
      <w:szCs w:val="22"/>
    </w:rPr>
  </w:style>
  <w:style w:type="paragraph" w:styleId="Heading6">
    <w:name w:val="heading 6"/>
    <w:basedOn w:val="Normal1"/>
    <w:next w:val="Normal1"/>
    <w:rsid w:val="00CD1A6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D1A6A"/>
  </w:style>
  <w:style w:type="table" w:customStyle="1" w:styleId="TableNormal0">
    <w:name w:val="TableNormal"/>
    <w:rsid w:val="00CD1A6A"/>
    <w:tblPr>
      <w:tblCellMar>
        <w:top w:w="0" w:type="dxa"/>
        <w:left w:w="0" w:type="dxa"/>
        <w:bottom w:w="0" w:type="dxa"/>
        <w:right w:w="0" w:type="dxa"/>
      </w:tblCellMar>
    </w:tblPr>
  </w:style>
  <w:style w:type="paragraph" w:styleId="Title">
    <w:name w:val="Title"/>
    <w:basedOn w:val="Normal1"/>
    <w:next w:val="Normal1"/>
    <w:rsid w:val="00CD1A6A"/>
    <w:pPr>
      <w:keepNext/>
      <w:keepLines/>
      <w:spacing w:after="60"/>
    </w:pPr>
    <w:rPr>
      <w:sz w:val="52"/>
      <w:szCs w:val="52"/>
    </w:rPr>
  </w:style>
  <w:style w:type="paragraph" w:styleId="Subtitle">
    <w:name w:val="Subtitle"/>
    <w:basedOn w:val="Normal1"/>
    <w:next w:val="Normal1"/>
    <w:rsid w:val="00CD1A6A"/>
    <w:pPr>
      <w:keepNext/>
      <w:keepLines/>
      <w:spacing w:after="320"/>
    </w:pPr>
    <w:rPr>
      <w:rFonts w:ascii="Arial" w:eastAsia="Arial" w:hAnsi="Arial" w:cs="Arial"/>
      <w:color w:val="666666"/>
      <w:sz w:val="30"/>
      <w:szCs w:val="30"/>
    </w:rPr>
  </w:style>
  <w:style w:type="table" w:customStyle="1" w:styleId="a">
    <w:basedOn w:val="TableNormal0"/>
    <w:rsid w:val="00CD1A6A"/>
    <w:tblPr>
      <w:tblStyleRowBandSize w:val="1"/>
      <w:tblStyleColBandSize w:val="1"/>
      <w:tblCellMar>
        <w:top w:w="100" w:type="dxa"/>
        <w:left w:w="100" w:type="dxa"/>
        <w:bottom w:w="100" w:type="dxa"/>
        <w:right w:w="100" w:type="dxa"/>
      </w:tblCellMar>
    </w:tblPr>
  </w:style>
  <w:style w:type="table" w:customStyle="1" w:styleId="a0">
    <w:basedOn w:val="TableNormal0"/>
    <w:rsid w:val="00CD1A6A"/>
    <w:tblPr>
      <w:tblStyleRowBandSize w:val="1"/>
      <w:tblStyleColBandSize w:val="1"/>
      <w:tblCellMar>
        <w:top w:w="100" w:type="dxa"/>
        <w:left w:w="100" w:type="dxa"/>
        <w:bottom w:w="100" w:type="dxa"/>
        <w:right w:w="100" w:type="dxa"/>
      </w:tblCellMar>
    </w:tblPr>
  </w:style>
  <w:style w:type="table" w:customStyle="1" w:styleId="a1">
    <w:basedOn w:val="TableNormal0"/>
    <w:rsid w:val="00CD1A6A"/>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540562"/>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540562"/>
    <w:pPr>
      <w:spacing w:after="100"/>
    </w:pPr>
  </w:style>
  <w:style w:type="paragraph" w:styleId="TOC2">
    <w:name w:val="toc 2"/>
    <w:basedOn w:val="Normal"/>
    <w:next w:val="Normal"/>
    <w:autoRedefine/>
    <w:uiPriority w:val="39"/>
    <w:unhideWhenUsed/>
    <w:rsid w:val="00540562"/>
    <w:pPr>
      <w:spacing w:after="100"/>
      <w:ind w:left="240"/>
    </w:pPr>
  </w:style>
  <w:style w:type="paragraph" w:styleId="TOC3">
    <w:name w:val="toc 3"/>
    <w:basedOn w:val="Normal"/>
    <w:next w:val="Normal"/>
    <w:autoRedefine/>
    <w:uiPriority w:val="39"/>
    <w:unhideWhenUsed/>
    <w:rsid w:val="00540562"/>
    <w:pPr>
      <w:spacing w:after="100"/>
      <w:ind w:left="480"/>
    </w:pPr>
  </w:style>
  <w:style w:type="character" w:styleId="Hyperlink">
    <w:name w:val="Hyperlink"/>
    <w:basedOn w:val="DefaultParagraphFont"/>
    <w:uiPriority w:val="99"/>
    <w:unhideWhenUsed/>
    <w:rsid w:val="00540562"/>
    <w:rPr>
      <w:color w:val="0000FF" w:themeColor="hyperlink"/>
      <w:u w:val="single"/>
    </w:rPr>
  </w:style>
  <w:style w:type="paragraph" w:styleId="BalloonText">
    <w:name w:val="Balloon Text"/>
    <w:basedOn w:val="Normal"/>
    <w:link w:val="BalloonTextChar"/>
    <w:uiPriority w:val="99"/>
    <w:semiHidden/>
    <w:unhideWhenUsed/>
    <w:rsid w:val="005405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0562"/>
    <w:rPr>
      <w:rFonts w:ascii="Tahoma" w:hAnsi="Tahoma" w:cs="Tahoma"/>
      <w:sz w:val="16"/>
      <w:szCs w:val="16"/>
    </w:rPr>
  </w:style>
  <w:style w:type="paragraph" w:styleId="Header">
    <w:name w:val="header"/>
    <w:basedOn w:val="Normal"/>
    <w:link w:val="HeaderChar"/>
    <w:uiPriority w:val="99"/>
    <w:semiHidden/>
    <w:unhideWhenUsed/>
    <w:rsid w:val="0054056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40562"/>
  </w:style>
  <w:style w:type="paragraph" w:styleId="Footer">
    <w:name w:val="footer"/>
    <w:basedOn w:val="Normal"/>
    <w:link w:val="FooterChar"/>
    <w:uiPriority w:val="99"/>
    <w:unhideWhenUsed/>
    <w:rsid w:val="00540562"/>
    <w:pPr>
      <w:tabs>
        <w:tab w:val="center" w:pos="4680"/>
        <w:tab w:val="right" w:pos="9360"/>
      </w:tabs>
      <w:spacing w:line="240" w:lineRule="auto"/>
    </w:pPr>
  </w:style>
  <w:style w:type="character" w:customStyle="1" w:styleId="FooterChar">
    <w:name w:val="Footer Char"/>
    <w:basedOn w:val="DefaultParagraphFont"/>
    <w:link w:val="Footer"/>
    <w:uiPriority w:val="99"/>
    <w:rsid w:val="005405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259221894_Flexibility_Competitive_and_Cooperative_Interactions_in_Telecommunication_Networks_a_Model_for_Extended_Techno-Economic_Evaluation?_tp=eyJjb250ZXh0Ijp7ImZpcnN0UGFnZSI6Il9kaXJlY3QiLCJwYWdlIjoiX2RpcmVjdCJ9fQ"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entleymotors.com/en.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seus.fi/handle/10024/8023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A751C5-5B84-4FDB-8F35-9078FDEBC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3986</Words>
  <Characters>22724</Characters>
  <Application>Microsoft Office Word</Application>
  <DocSecurity>4</DocSecurity>
  <Lines>189</Lines>
  <Paragraphs>53</Paragraphs>
  <ScaleCrop>false</ScaleCrop>
  <Company/>
  <LinksUpToDate>false</LinksUpToDate>
  <CharactersWithSpaces>26657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User-IWF</dc:creator>
  <cp:lastModifiedBy>Laura Boldeanu</cp:lastModifiedBy>
  <cp:revision>2</cp:revision>
  <dcterms:created xsi:type="dcterms:W3CDTF">2025-06-16T20:05:00Z</dcterms:created>
  <dcterms:modified xsi:type="dcterms:W3CDTF">2025-06-16T20:05:00Z</dcterms:modified>
</cp:coreProperties>
</file>