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BD4" w:rsidRDefault="00ED2DB5" w:rsidP="009D5ACB">
      <w:pPr>
        <w:rPr>
          <w:sz w:val="56"/>
          <w:szCs w:val="56"/>
        </w:rPr>
      </w:pPr>
      <w:r>
        <w:rPr>
          <w:sz w:val="56"/>
          <w:szCs w:val="56"/>
        </w:rPr>
        <w:t>Character Dossier</w:t>
      </w:r>
    </w:p>
    <w:p w:rsidR="00ED2DB5" w:rsidRDefault="00ED2DB5" w:rsidP="009D5ACB">
      <w:pPr>
        <w:rPr>
          <w:sz w:val="24"/>
          <w:szCs w:val="24"/>
        </w:rPr>
      </w:pPr>
    </w:p>
    <w:p w:rsidR="00ED2DB5" w:rsidRDefault="00ED2DB5" w:rsidP="00A152CF">
      <w:pPr>
        <w:spacing w:line="480" w:lineRule="auto"/>
        <w:rPr>
          <w:sz w:val="24"/>
          <w:szCs w:val="24"/>
        </w:rPr>
      </w:pPr>
      <w:r>
        <w:rPr>
          <w:sz w:val="24"/>
          <w:szCs w:val="24"/>
        </w:rPr>
        <w:tab/>
        <w:t xml:space="preserve">I will be playing the part of the </w:t>
      </w:r>
      <w:proofErr w:type="spellStart"/>
      <w:r>
        <w:rPr>
          <w:sz w:val="24"/>
          <w:szCs w:val="24"/>
        </w:rPr>
        <w:t>Selukid</w:t>
      </w:r>
      <w:proofErr w:type="spellEnd"/>
      <w:r>
        <w:rPr>
          <w:sz w:val="24"/>
          <w:szCs w:val="24"/>
        </w:rPr>
        <w:t xml:space="preserve"> queen, wife of </w:t>
      </w:r>
      <w:proofErr w:type="spellStart"/>
      <w:r>
        <w:rPr>
          <w:sz w:val="24"/>
          <w:szCs w:val="24"/>
        </w:rPr>
        <w:t>Seleukos</w:t>
      </w:r>
      <w:proofErr w:type="spellEnd"/>
      <w:r>
        <w:rPr>
          <w:sz w:val="24"/>
          <w:szCs w:val="24"/>
        </w:rPr>
        <w:t xml:space="preserve"> II and mother of Antiochus (III) the G</w:t>
      </w:r>
      <w:r w:rsidR="00DF5F4A">
        <w:rPr>
          <w:sz w:val="24"/>
          <w:szCs w:val="24"/>
        </w:rPr>
        <w:t>reat.</w:t>
      </w:r>
      <w:r w:rsidR="006F2EA3">
        <w:rPr>
          <w:rStyle w:val="FootnoteReference"/>
          <w:sz w:val="24"/>
          <w:szCs w:val="24"/>
        </w:rPr>
        <w:footnoteReference w:id="1"/>
      </w:r>
      <w:r w:rsidR="006F2EA3">
        <w:rPr>
          <w:rStyle w:val="FootnoteReference"/>
          <w:sz w:val="24"/>
          <w:szCs w:val="24"/>
        </w:rPr>
        <w:footnoteReference w:id="2"/>
      </w:r>
      <w:r w:rsidR="00DF5F4A">
        <w:rPr>
          <w:sz w:val="24"/>
          <w:szCs w:val="24"/>
        </w:rPr>
        <w:t xml:space="preserve"> </w:t>
      </w:r>
      <w:r w:rsidR="001970BE">
        <w:rPr>
          <w:sz w:val="24"/>
          <w:szCs w:val="24"/>
        </w:rPr>
        <w:t xml:space="preserve">The name of my character is </w:t>
      </w:r>
      <w:proofErr w:type="spellStart"/>
      <w:r w:rsidR="001970BE">
        <w:rPr>
          <w:sz w:val="24"/>
          <w:szCs w:val="24"/>
        </w:rPr>
        <w:t>Kleopatra</w:t>
      </w:r>
      <w:proofErr w:type="spellEnd"/>
      <w:r w:rsidR="001970BE">
        <w:rPr>
          <w:sz w:val="24"/>
          <w:szCs w:val="24"/>
        </w:rPr>
        <w:t xml:space="preserve"> and is based off </w:t>
      </w:r>
      <w:proofErr w:type="spellStart"/>
      <w:r w:rsidR="001970BE">
        <w:rPr>
          <w:sz w:val="24"/>
          <w:szCs w:val="24"/>
        </w:rPr>
        <w:t>Leodike</w:t>
      </w:r>
      <w:proofErr w:type="spellEnd"/>
      <w:r w:rsidR="001970BE">
        <w:rPr>
          <w:sz w:val="24"/>
          <w:szCs w:val="24"/>
        </w:rPr>
        <w:t xml:space="preserve"> II, with reference to other royal women of the time. </w:t>
      </w:r>
      <w:r w:rsidR="00DF5F4A">
        <w:rPr>
          <w:sz w:val="24"/>
          <w:szCs w:val="24"/>
        </w:rPr>
        <w:t xml:space="preserve">My character is from Lydia and married into the royal family to stabilize their rule over the country after the rebellions of the </w:t>
      </w:r>
      <w:proofErr w:type="spellStart"/>
      <w:r w:rsidR="00DF5F4A">
        <w:rPr>
          <w:sz w:val="24"/>
          <w:szCs w:val="24"/>
        </w:rPr>
        <w:t>Eumenes</w:t>
      </w:r>
      <w:proofErr w:type="spellEnd"/>
      <w:r w:rsidR="00DF5F4A">
        <w:rPr>
          <w:sz w:val="24"/>
          <w:szCs w:val="24"/>
        </w:rPr>
        <w:t xml:space="preserve"> and </w:t>
      </w:r>
      <w:proofErr w:type="spellStart"/>
      <w:r w:rsidR="00DF5F4A">
        <w:rPr>
          <w:sz w:val="24"/>
          <w:szCs w:val="24"/>
        </w:rPr>
        <w:t>Diodotos</w:t>
      </w:r>
      <w:proofErr w:type="spellEnd"/>
      <w:r w:rsidR="00DF5F4A">
        <w:rPr>
          <w:sz w:val="24"/>
          <w:szCs w:val="24"/>
        </w:rPr>
        <w:t xml:space="preserve">. They marry in 246BC. </w:t>
      </w:r>
      <w:r w:rsidR="00A152CF">
        <w:rPr>
          <w:sz w:val="24"/>
          <w:szCs w:val="24"/>
        </w:rPr>
        <w:t xml:space="preserve">The use of </w:t>
      </w:r>
      <w:proofErr w:type="spellStart"/>
      <w:r w:rsidR="00A152CF">
        <w:rPr>
          <w:sz w:val="24"/>
          <w:szCs w:val="24"/>
        </w:rPr>
        <w:t>Selukid</w:t>
      </w:r>
      <w:proofErr w:type="spellEnd"/>
      <w:r w:rsidR="00A152CF">
        <w:rPr>
          <w:sz w:val="24"/>
          <w:szCs w:val="24"/>
        </w:rPr>
        <w:t xml:space="preserve"> royal women as political pawns was common at this time with the phrase being used repeatedly by Grainger in his </w:t>
      </w:r>
      <w:r w:rsidR="00D932DA">
        <w:rPr>
          <w:sz w:val="24"/>
          <w:szCs w:val="24"/>
        </w:rPr>
        <w:t>prosopography.</w:t>
      </w:r>
      <w:r w:rsidR="001258BA">
        <w:rPr>
          <w:rStyle w:val="FootnoteReference"/>
          <w:sz w:val="24"/>
          <w:szCs w:val="24"/>
        </w:rPr>
        <w:footnoteReference w:id="3"/>
      </w:r>
      <w:r w:rsidR="00D932DA">
        <w:rPr>
          <w:sz w:val="24"/>
          <w:szCs w:val="24"/>
        </w:rPr>
        <w:t xml:space="preserve"> This makes it necessary for my character</w:t>
      </w:r>
      <w:r w:rsidR="001970BE">
        <w:rPr>
          <w:sz w:val="24"/>
          <w:szCs w:val="24"/>
        </w:rPr>
        <w:t>’s life</w:t>
      </w:r>
      <w:r w:rsidR="00D932DA">
        <w:rPr>
          <w:sz w:val="24"/>
          <w:szCs w:val="24"/>
        </w:rPr>
        <w:t xml:space="preserve">, as a </w:t>
      </w:r>
      <w:r w:rsidR="001970BE">
        <w:rPr>
          <w:sz w:val="24"/>
          <w:szCs w:val="24"/>
        </w:rPr>
        <w:t>royal woman, to have been orchestrated by the men around her to strengthen political ties.</w:t>
      </w:r>
    </w:p>
    <w:p w:rsidR="00A152CF" w:rsidRDefault="00A152CF" w:rsidP="00A152CF">
      <w:pPr>
        <w:spacing w:line="480" w:lineRule="auto"/>
        <w:rPr>
          <w:sz w:val="24"/>
          <w:szCs w:val="24"/>
        </w:rPr>
      </w:pPr>
    </w:p>
    <w:p w:rsidR="00A152CF" w:rsidRDefault="00A152CF" w:rsidP="001970BE">
      <w:pPr>
        <w:spacing w:line="480" w:lineRule="auto"/>
        <w:rPr>
          <w:sz w:val="24"/>
          <w:szCs w:val="24"/>
        </w:rPr>
      </w:pPr>
      <w:r>
        <w:rPr>
          <w:sz w:val="24"/>
          <w:szCs w:val="24"/>
        </w:rPr>
        <w:tab/>
        <w:t>This is how I imagine my character:</w:t>
      </w:r>
      <w:r w:rsidR="00D932DA">
        <w:rPr>
          <w:sz w:val="24"/>
          <w:szCs w:val="24"/>
        </w:rPr>
        <w:t xml:space="preserve"> </w:t>
      </w:r>
      <w:r w:rsidR="001970BE">
        <w:rPr>
          <w:sz w:val="24"/>
          <w:szCs w:val="24"/>
        </w:rPr>
        <w:t xml:space="preserve">she has dark black hair and brown eyes with a tanned complexion, which lightens over times as she is rarely exposed to the sun as was expected for wealthy people at this time. </w:t>
      </w:r>
      <w:r w:rsidR="00A03FB2">
        <w:rPr>
          <w:sz w:val="24"/>
          <w:szCs w:val="24"/>
        </w:rPr>
        <w:t xml:space="preserve">She considers herself ethnically Greek and culturally Hellenistic. </w:t>
      </w:r>
      <w:r w:rsidR="001970BE">
        <w:rPr>
          <w:sz w:val="24"/>
          <w:szCs w:val="24"/>
        </w:rPr>
        <w:t xml:space="preserve">She prays to Apollo, which was </w:t>
      </w:r>
      <w:r w:rsidR="001258BA">
        <w:rPr>
          <w:sz w:val="24"/>
          <w:szCs w:val="24"/>
        </w:rPr>
        <w:t>common</w:t>
      </w:r>
      <w:r w:rsidR="001970BE">
        <w:rPr>
          <w:sz w:val="24"/>
          <w:szCs w:val="24"/>
        </w:rPr>
        <w:t xml:space="preserve"> </w:t>
      </w:r>
      <w:r w:rsidR="00C8172D">
        <w:rPr>
          <w:sz w:val="24"/>
          <w:szCs w:val="24"/>
        </w:rPr>
        <w:t xml:space="preserve">for the </w:t>
      </w:r>
      <w:proofErr w:type="spellStart"/>
      <w:r w:rsidR="00C8172D">
        <w:rPr>
          <w:sz w:val="24"/>
          <w:szCs w:val="24"/>
        </w:rPr>
        <w:t>Selekids</w:t>
      </w:r>
      <w:proofErr w:type="spellEnd"/>
      <w:r w:rsidR="001970BE">
        <w:rPr>
          <w:sz w:val="24"/>
          <w:szCs w:val="24"/>
        </w:rPr>
        <w:t>, for the stability of her family.</w:t>
      </w:r>
      <w:r w:rsidR="001258BA">
        <w:rPr>
          <w:rStyle w:val="FootnoteReference"/>
          <w:sz w:val="24"/>
          <w:szCs w:val="24"/>
        </w:rPr>
        <w:footnoteReference w:id="4"/>
      </w:r>
      <w:r w:rsidR="006F2EA3">
        <w:rPr>
          <w:sz w:val="24"/>
          <w:szCs w:val="24"/>
        </w:rPr>
        <w:t xml:space="preserve"> Her family even went as far as to create a </w:t>
      </w:r>
      <w:r w:rsidR="00A03FB2">
        <w:rPr>
          <w:sz w:val="24"/>
          <w:szCs w:val="24"/>
        </w:rPr>
        <w:t>fictitious</w:t>
      </w:r>
      <w:r w:rsidR="006F2EA3">
        <w:rPr>
          <w:sz w:val="24"/>
          <w:szCs w:val="24"/>
        </w:rPr>
        <w:t xml:space="preserve"> sister, </w:t>
      </w:r>
      <w:proofErr w:type="spellStart"/>
      <w:r w:rsidR="006F2EA3">
        <w:rPr>
          <w:sz w:val="24"/>
          <w:szCs w:val="24"/>
        </w:rPr>
        <w:t>Didymaia</w:t>
      </w:r>
      <w:proofErr w:type="spellEnd"/>
      <w:r w:rsidR="006F2EA3">
        <w:rPr>
          <w:sz w:val="24"/>
          <w:szCs w:val="24"/>
        </w:rPr>
        <w:t>, who they used as propaganda for the family’s devotion to Apollo.</w:t>
      </w:r>
      <w:r w:rsidR="006F2EA3">
        <w:rPr>
          <w:rStyle w:val="FootnoteReference"/>
          <w:sz w:val="24"/>
          <w:szCs w:val="24"/>
        </w:rPr>
        <w:footnoteReference w:id="5"/>
      </w:r>
      <w:r w:rsidR="001970BE">
        <w:rPr>
          <w:sz w:val="24"/>
          <w:szCs w:val="24"/>
        </w:rPr>
        <w:t xml:space="preserve"> She has </w:t>
      </w:r>
      <w:r w:rsidR="00EA2690">
        <w:rPr>
          <w:sz w:val="24"/>
          <w:szCs w:val="24"/>
        </w:rPr>
        <w:t xml:space="preserve">two </w:t>
      </w:r>
      <w:r w:rsidR="00EA2690">
        <w:rPr>
          <w:sz w:val="24"/>
          <w:szCs w:val="24"/>
        </w:rPr>
        <w:lastRenderedPageBreak/>
        <w:t xml:space="preserve">children, </w:t>
      </w:r>
      <w:proofErr w:type="spellStart"/>
      <w:r w:rsidR="00EA2690">
        <w:rPr>
          <w:sz w:val="24"/>
          <w:szCs w:val="24"/>
        </w:rPr>
        <w:t>Laodike</w:t>
      </w:r>
      <w:proofErr w:type="spellEnd"/>
      <w:r w:rsidR="00EA2690">
        <w:rPr>
          <w:sz w:val="24"/>
          <w:szCs w:val="24"/>
        </w:rPr>
        <w:t xml:space="preserve"> and Antiochus (both are played as characters in the session). She dedicates her life to Antiochus, her heir, and seemingly ignores her daughter, as she is not as </w:t>
      </w:r>
      <w:r w:rsidR="001D3253">
        <w:rPr>
          <w:sz w:val="24"/>
          <w:szCs w:val="24"/>
        </w:rPr>
        <w:t>politically important yet.</w:t>
      </w:r>
      <w:r w:rsidR="00222F70">
        <w:rPr>
          <w:sz w:val="24"/>
          <w:szCs w:val="24"/>
        </w:rPr>
        <w:t xml:space="preserve"> </w:t>
      </w:r>
      <w:r w:rsidR="00B92582">
        <w:rPr>
          <w:sz w:val="24"/>
          <w:szCs w:val="24"/>
        </w:rPr>
        <w:t xml:space="preserve">She was educated in Babylon </w:t>
      </w:r>
      <w:r w:rsidR="003E6FF4">
        <w:rPr>
          <w:sz w:val="24"/>
          <w:szCs w:val="24"/>
        </w:rPr>
        <w:t>and achieved great military knowledge.</w:t>
      </w:r>
      <w:r w:rsidR="006F2EA3">
        <w:rPr>
          <w:rStyle w:val="FootnoteReference"/>
          <w:sz w:val="24"/>
          <w:szCs w:val="24"/>
        </w:rPr>
        <w:footnoteReference w:id="6"/>
      </w:r>
    </w:p>
    <w:p w:rsidR="00A152CF" w:rsidRDefault="00A152CF" w:rsidP="00A152CF">
      <w:pPr>
        <w:spacing w:line="480" w:lineRule="auto"/>
        <w:rPr>
          <w:sz w:val="24"/>
          <w:szCs w:val="24"/>
        </w:rPr>
      </w:pPr>
    </w:p>
    <w:p w:rsidR="00A152CF" w:rsidRDefault="00EA2690" w:rsidP="00A152CF">
      <w:pPr>
        <w:spacing w:line="480" w:lineRule="auto"/>
        <w:rPr>
          <w:sz w:val="24"/>
          <w:szCs w:val="24"/>
        </w:rPr>
      </w:pPr>
      <w:r>
        <w:rPr>
          <w:sz w:val="24"/>
          <w:szCs w:val="24"/>
        </w:rPr>
        <w:tab/>
      </w:r>
      <w:r w:rsidR="0020351A">
        <w:rPr>
          <w:sz w:val="24"/>
          <w:szCs w:val="24"/>
        </w:rPr>
        <w:t>A lot of the evidence we have of the royal court at this time documents the achievements of kings and other men resulting in limited evidence to suggest the life of a royal woman, as they were not as important.</w:t>
      </w:r>
      <w:r w:rsidR="006F2EA3">
        <w:rPr>
          <w:rStyle w:val="FootnoteReference"/>
          <w:sz w:val="24"/>
          <w:szCs w:val="24"/>
        </w:rPr>
        <w:footnoteReference w:id="7"/>
      </w:r>
      <w:r w:rsidR="0020351A">
        <w:rPr>
          <w:sz w:val="24"/>
          <w:szCs w:val="24"/>
        </w:rPr>
        <w:t xml:space="preserve"> This has meant that I have had to research the achievements of the men </w:t>
      </w:r>
      <w:r w:rsidR="00C8172D">
        <w:rPr>
          <w:sz w:val="24"/>
          <w:szCs w:val="24"/>
        </w:rPr>
        <w:t>and then find</w:t>
      </w:r>
      <w:r w:rsidR="0020351A">
        <w:rPr>
          <w:sz w:val="24"/>
          <w:szCs w:val="24"/>
        </w:rPr>
        <w:t xml:space="preserve"> evidence to suggest how much influence the women </w:t>
      </w:r>
      <w:r w:rsidR="00C56295">
        <w:rPr>
          <w:sz w:val="24"/>
          <w:szCs w:val="24"/>
        </w:rPr>
        <w:t>had over their husbands and children. I also had to look into the possibility of women making decisions without the permission of t</w:t>
      </w:r>
      <w:r w:rsidR="00CB1C88">
        <w:rPr>
          <w:sz w:val="24"/>
          <w:szCs w:val="24"/>
        </w:rPr>
        <w:t xml:space="preserve">heir husbands, namely Cleopatra Thea, Cleopatra Selene and </w:t>
      </w:r>
      <w:proofErr w:type="spellStart"/>
      <w:r w:rsidR="00CB1C88">
        <w:rPr>
          <w:sz w:val="24"/>
          <w:szCs w:val="24"/>
        </w:rPr>
        <w:t>Apame</w:t>
      </w:r>
      <w:proofErr w:type="spellEnd"/>
      <w:r w:rsidR="00CB1C88">
        <w:rPr>
          <w:sz w:val="24"/>
          <w:szCs w:val="24"/>
        </w:rPr>
        <w:t xml:space="preserve">, wife of </w:t>
      </w:r>
      <w:proofErr w:type="spellStart"/>
      <w:r w:rsidR="00CB1C88">
        <w:rPr>
          <w:sz w:val="24"/>
          <w:szCs w:val="24"/>
        </w:rPr>
        <w:t>Seleukos</w:t>
      </w:r>
      <w:proofErr w:type="spellEnd"/>
      <w:r w:rsidR="00CB1C88">
        <w:rPr>
          <w:sz w:val="24"/>
          <w:szCs w:val="24"/>
        </w:rPr>
        <w:t xml:space="preserve"> I. These three queens all made decisions independently of their husbands, an option I will wish to explore during the sessions.</w:t>
      </w:r>
      <w:r w:rsidR="006F2EA3">
        <w:rPr>
          <w:rStyle w:val="FootnoteReference"/>
          <w:sz w:val="24"/>
          <w:szCs w:val="24"/>
        </w:rPr>
        <w:footnoteReference w:id="8"/>
      </w:r>
    </w:p>
    <w:p w:rsidR="00A152CF" w:rsidRDefault="00A152CF" w:rsidP="00A152CF">
      <w:pPr>
        <w:spacing w:line="480" w:lineRule="auto"/>
        <w:rPr>
          <w:sz w:val="24"/>
          <w:szCs w:val="24"/>
        </w:rPr>
      </w:pPr>
    </w:p>
    <w:p w:rsidR="00C56295" w:rsidRDefault="00A152CF" w:rsidP="00A152CF">
      <w:pPr>
        <w:spacing w:line="480" w:lineRule="auto"/>
        <w:rPr>
          <w:sz w:val="24"/>
          <w:szCs w:val="24"/>
        </w:rPr>
      </w:pPr>
      <w:r>
        <w:rPr>
          <w:sz w:val="24"/>
          <w:szCs w:val="24"/>
        </w:rPr>
        <w:tab/>
      </w:r>
      <w:r w:rsidR="00C56295">
        <w:rPr>
          <w:sz w:val="24"/>
          <w:szCs w:val="24"/>
        </w:rPr>
        <w:t>My character is responsible for the stability of the royal family, insuring that her children’s education prepares them for their future, preparing their home for the males to return but also ensuring that she understands the problems in the empire so she can step up if she needs to.</w:t>
      </w:r>
      <w:r w:rsidR="006F2EA3">
        <w:rPr>
          <w:rStyle w:val="FootnoteReference"/>
          <w:sz w:val="24"/>
          <w:szCs w:val="24"/>
        </w:rPr>
        <w:footnoteReference w:id="9"/>
      </w:r>
      <w:r w:rsidR="00C56295">
        <w:rPr>
          <w:sz w:val="24"/>
          <w:szCs w:val="24"/>
        </w:rPr>
        <w:t xml:space="preserve"> </w:t>
      </w:r>
      <w:r w:rsidR="00C56295">
        <w:rPr>
          <w:sz w:val="24"/>
          <w:szCs w:val="24"/>
        </w:rPr>
        <w:lastRenderedPageBreak/>
        <w:t>She is also in charge of the royal household and securing the loyalt</w:t>
      </w:r>
      <w:r w:rsidR="00C8172D">
        <w:rPr>
          <w:sz w:val="24"/>
          <w:szCs w:val="24"/>
        </w:rPr>
        <w:t>y of the workers and servants that are under her employment</w:t>
      </w:r>
      <w:r w:rsidR="00C56295">
        <w:rPr>
          <w:sz w:val="24"/>
          <w:szCs w:val="24"/>
        </w:rPr>
        <w:t>.</w:t>
      </w:r>
    </w:p>
    <w:p w:rsidR="00C56295" w:rsidRDefault="00C56295" w:rsidP="00A152CF">
      <w:pPr>
        <w:spacing w:line="480" w:lineRule="auto"/>
        <w:rPr>
          <w:sz w:val="24"/>
          <w:szCs w:val="24"/>
        </w:rPr>
      </w:pPr>
    </w:p>
    <w:p w:rsidR="00C56295" w:rsidRDefault="00C56295" w:rsidP="00A152CF">
      <w:pPr>
        <w:spacing w:line="480" w:lineRule="auto"/>
        <w:rPr>
          <w:sz w:val="24"/>
          <w:szCs w:val="24"/>
        </w:rPr>
      </w:pPr>
      <w:r>
        <w:rPr>
          <w:sz w:val="24"/>
          <w:szCs w:val="24"/>
        </w:rPr>
        <w:tab/>
        <w:t xml:space="preserve">As part of the royal family, my character is responsible for </w:t>
      </w:r>
      <w:r w:rsidR="00222F70">
        <w:rPr>
          <w:sz w:val="24"/>
          <w:szCs w:val="24"/>
        </w:rPr>
        <w:t xml:space="preserve">setting and accepting the taxes from the satraps of the cities they rule, expanding the empire and maintaining control over the land they have. They have to be constantly aware of threats to the empire by keeping an open line of communication between the cities under </w:t>
      </w:r>
      <w:proofErr w:type="spellStart"/>
      <w:r w:rsidR="00222F70">
        <w:rPr>
          <w:sz w:val="24"/>
          <w:szCs w:val="24"/>
        </w:rPr>
        <w:t>Seleukid</w:t>
      </w:r>
      <w:proofErr w:type="spellEnd"/>
      <w:r w:rsidR="00222F70">
        <w:rPr>
          <w:sz w:val="24"/>
          <w:szCs w:val="24"/>
        </w:rPr>
        <w:t xml:space="preserve"> rule.</w:t>
      </w:r>
      <w:r w:rsidR="006F2EA3">
        <w:rPr>
          <w:rStyle w:val="FootnoteReference"/>
          <w:sz w:val="24"/>
          <w:szCs w:val="24"/>
        </w:rPr>
        <w:footnoteReference w:id="10"/>
      </w:r>
    </w:p>
    <w:p w:rsidR="00C56295" w:rsidRDefault="00C56295" w:rsidP="00A152CF">
      <w:pPr>
        <w:spacing w:line="480" w:lineRule="auto"/>
        <w:rPr>
          <w:sz w:val="24"/>
          <w:szCs w:val="24"/>
        </w:rPr>
      </w:pPr>
    </w:p>
    <w:p w:rsidR="00222F70" w:rsidRDefault="00A152CF" w:rsidP="00A152CF">
      <w:pPr>
        <w:spacing w:line="480" w:lineRule="auto"/>
        <w:rPr>
          <w:sz w:val="24"/>
          <w:szCs w:val="24"/>
        </w:rPr>
      </w:pPr>
      <w:r>
        <w:rPr>
          <w:sz w:val="24"/>
          <w:szCs w:val="24"/>
        </w:rPr>
        <w:tab/>
      </w:r>
      <w:r w:rsidR="00222F70">
        <w:rPr>
          <w:sz w:val="24"/>
          <w:szCs w:val="24"/>
        </w:rPr>
        <w:t>One of the aims of my character is to insure the continuation of her cult and to expand her worship.</w:t>
      </w:r>
      <w:r w:rsidR="006F2EA3">
        <w:rPr>
          <w:rStyle w:val="FootnoteReference"/>
          <w:sz w:val="24"/>
          <w:szCs w:val="24"/>
        </w:rPr>
        <w:footnoteReference w:id="11"/>
      </w:r>
      <w:r w:rsidR="00222F70">
        <w:rPr>
          <w:sz w:val="24"/>
          <w:szCs w:val="24"/>
        </w:rPr>
        <w:t xml:space="preserve"> The cult to </w:t>
      </w:r>
      <w:proofErr w:type="spellStart"/>
      <w:r w:rsidR="00222F70">
        <w:rPr>
          <w:sz w:val="24"/>
          <w:szCs w:val="24"/>
        </w:rPr>
        <w:t>Kleopatra</w:t>
      </w:r>
      <w:proofErr w:type="spellEnd"/>
      <w:r w:rsidR="00222F70">
        <w:rPr>
          <w:sz w:val="24"/>
          <w:szCs w:val="24"/>
        </w:rPr>
        <w:t xml:space="preserve"> of Lydia was created by her husband shortly after their marriage, to celebrate her virtue and piety. She aims to have a temple or shrine in each of the cities under her rule and the young daughters of the satraps and leaders of each city become the priestesses.</w:t>
      </w:r>
      <w:r w:rsidR="00FC0262">
        <w:rPr>
          <w:rStyle w:val="FootnoteReference"/>
          <w:sz w:val="24"/>
          <w:szCs w:val="24"/>
        </w:rPr>
        <w:footnoteReference w:id="12"/>
      </w:r>
      <w:r w:rsidR="00222F70">
        <w:rPr>
          <w:sz w:val="24"/>
          <w:szCs w:val="24"/>
        </w:rPr>
        <w:t xml:space="preserve"> </w:t>
      </w:r>
      <w:r w:rsidR="00C8172D">
        <w:rPr>
          <w:sz w:val="24"/>
          <w:szCs w:val="24"/>
        </w:rPr>
        <w:t xml:space="preserve">She aims to use her cult as a way to further relations between the </w:t>
      </w:r>
      <w:proofErr w:type="spellStart"/>
      <w:r w:rsidR="00C8172D">
        <w:rPr>
          <w:sz w:val="24"/>
          <w:szCs w:val="24"/>
        </w:rPr>
        <w:t>Seleukids</w:t>
      </w:r>
      <w:proofErr w:type="spellEnd"/>
      <w:r w:rsidR="00C8172D">
        <w:rPr>
          <w:sz w:val="24"/>
          <w:szCs w:val="24"/>
        </w:rPr>
        <w:t xml:space="preserve"> and other local dynasties and to unify the kingdom as well as to extend the worship and piety of her people.</w:t>
      </w:r>
      <w:r w:rsidR="00FC0262">
        <w:rPr>
          <w:rStyle w:val="FootnoteReference"/>
          <w:sz w:val="24"/>
          <w:szCs w:val="24"/>
        </w:rPr>
        <w:footnoteReference w:id="13"/>
      </w:r>
      <w:r w:rsidR="00FC0262">
        <w:rPr>
          <w:rStyle w:val="FootnoteReference"/>
          <w:sz w:val="24"/>
          <w:szCs w:val="24"/>
        </w:rPr>
        <w:footnoteReference w:id="14"/>
      </w:r>
    </w:p>
    <w:p w:rsidR="00222F70" w:rsidRDefault="00222F70" w:rsidP="00A152CF">
      <w:pPr>
        <w:spacing w:line="480" w:lineRule="auto"/>
        <w:rPr>
          <w:sz w:val="24"/>
          <w:szCs w:val="24"/>
        </w:rPr>
      </w:pPr>
    </w:p>
    <w:p w:rsidR="00222F70" w:rsidRDefault="00C8172D" w:rsidP="00A152CF">
      <w:pPr>
        <w:spacing w:line="480" w:lineRule="auto"/>
        <w:rPr>
          <w:sz w:val="24"/>
          <w:szCs w:val="24"/>
        </w:rPr>
      </w:pPr>
      <w:r>
        <w:rPr>
          <w:sz w:val="24"/>
          <w:szCs w:val="24"/>
        </w:rPr>
        <w:lastRenderedPageBreak/>
        <w:tab/>
        <w:t>She is also determined t</w:t>
      </w:r>
      <w:r w:rsidR="00222F70">
        <w:rPr>
          <w:sz w:val="24"/>
          <w:szCs w:val="24"/>
        </w:rPr>
        <w:t>o keep her son on route to kingship</w:t>
      </w:r>
      <w:r w:rsidR="00641A2F">
        <w:rPr>
          <w:sz w:val="24"/>
          <w:szCs w:val="24"/>
        </w:rPr>
        <w:t xml:space="preserve">. Her son is the natural heir to the </w:t>
      </w:r>
      <w:proofErr w:type="spellStart"/>
      <w:r w:rsidR="00641A2F">
        <w:rPr>
          <w:sz w:val="24"/>
          <w:szCs w:val="24"/>
        </w:rPr>
        <w:t>Seleukid</w:t>
      </w:r>
      <w:proofErr w:type="spellEnd"/>
      <w:r w:rsidR="00641A2F">
        <w:rPr>
          <w:sz w:val="24"/>
          <w:szCs w:val="24"/>
        </w:rPr>
        <w:t xml:space="preserve"> empire and she is keen to maintain that rise. She is prepared that, when her husband dies, there may be others who want the throne for themselves and she will back her son. This is partly because she wishes to continue her husband’s legacy and his family’s rite to rule, but also she is guaranteed to maintain a position in the royal family: as mother of the king she will have influence over him that she is not guaranteed if someone else was to seize power.</w:t>
      </w:r>
    </w:p>
    <w:p w:rsidR="00222F70" w:rsidRDefault="00222F70" w:rsidP="00A152CF">
      <w:pPr>
        <w:spacing w:line="480" w:lineRule="auto"/>
        <w:rPr>
          <w:sz w:val="24"/>
          <w:szCs w:val="24"/>
        </w:rPr>
      </w:pPr>
    </w:p>
    <w:p w:rsidR="00D932DA" w:rsidRDefault="00641A2F" w:rsidP="00222F70">
      <w:pPr>
        <w:spacing w:line="480" w:lineRule="auto"/>
        <w:ind w:firstLine="720"/>
        <w:rPr>
          <w:sz w:val="24"/>
          <w:szCs w:val="24"/>
        </w:rPr>
      </w:pPr>
      <w:r>
        <w:rPr>
          <w:sz w:val="24"/>
          <w:szCs w:val="24"/>
        </w:rPr>
        <w:t>Another of her aims is to k</w:t>
      </w:r>
      <w:r w:rsidR="00222F70">
        <w:rPr>
          <w:sz w:val="24"/>
          <w:szCs w:val="24"/>
        </w:rPr>
        <w:t>eep stability in the empire</w:t>
      </w:r>
      <w:r>
        <w:rPr>
          <w:sz w:val="24"/>
          <w:szCs w:val="24"/>
        </w:rPr>
        <w:t>. She aims to do this in many ways; maintaining her cult worship and visiting the cities.</w:t>
      </w:r>
      <w:r w:rsidR="00D274B2">
        <w:rPr>
          <w:rStyle w:val="FootnoteReference"/>
          <w:sz w:val="24"/>
          <w:szCs w:val="24"/>
        </w:rPr>
        <w:footnoteReference w:id="15"/>
      </w:r>
      <w:r w:rsidR="00D274B2">
        <w:rPr>
          <w:rStyle w:val="FootnoteReference"/>
          <w:sz w:val="24"/>
          <w:szCs w:val="24"/>
        </w:rPr>
        <w:footnoteReference w:id="16"/>
      </w:r>
      <w:r>
        <w:rPr>
          <w:sz w:val="24"/>
          <w:szCs w:val="24"/>
        </w:rPr>
        <w:t xml:space="preserve"> </w:t>
      </w:r>
      <w:r w:rsidR="008821C4">
        <w:rPr>
          <w:sz w:val="24"/>
          <w:szCs w:val="24"/>
        </w:rPr>
        <w:t xml:space="preserve">By constantly moving around the empire and continuing relationships between herself and the cities she can relay the problems of the satraps to the king and create a civilised conversation between both parties. She is also going to promote the king and his actions by using her line of communication with the cities under her rule to emphasise the importance of the </w:t>
      </w:r>
      <w:r w:rsidR="00717BC2">
        <w:rPr>
          <w:sz w:val="24"/>
          <w:szCs w:val="24"/>
        </w:rPr>
        <w:t>king’s</w:t>
      </w:r>
      <w:r w:rsidR="008821C4">
        <w:rPr>
          <w:sz w:val="24"/>
          <w:szCs w:val="24"/>
        </w:rPr>
        <w:t xml:space="preserve"> decisions and clearly identify how it will benefit each of the satraps and their cities. </w:t>
      </w:r>
    </w:p>
    <w:p w:rsidR="001456DD" w:rsidRDefault="001456DD" w:rsidP="00A152CF">
      <w:pPr>
        <w:spacing w:line="480" w:lineRule="auto"/>
        <w:rPr>
          <w:sz w:val="24"/>
          <w:szCs w:val="24"/>
        </w:rPr>
      </w:pPr>
    </w:p>
    <w:p w:rsidR="00E30AE5" w:rsidRDefault="001456DD" w:rsidP="00A152CF">
      <w:pPr>
        <w:spacing w:line="480" w:lineRule="auto"/>
        <w:rPr>
          <w:sz w:val="24"/>
          <w:szCs w:val="24"/>
        </w:rPr>
      </w:pPr>
      <w:r>
        <w:rPr>
          <w:sz w:val="24"/>
          <w:szCs w:val="24"/>
        </w:rPr>
        <w:tab/>
        <w:t xml:space="preserve">Between 240 and 220 BCE, the </w:t>
      </w:r>
      <w:proofErr w:type="spellStart"/>
      <w:r>
        <w:rPr>
          <w:sz w:val="24"/>
          <w:szCs w:val="24"/>
        </w:rPr>
        <w:t>Seleukid</w:t>
      </w:r>
      <w:proofErr w:type="spellEnd"/>
      <w:r>
        <w:rPr>
          <w:sz w:val="24"/>
          <w:szCs w:val="24"/>
        </w:rPr>
        <w:t xml:space="preserve"> empire is in complete chaos. </w:t>
      </w:r>
      <w:r w:rsidR="00700EAE">
        <w:rPr>
          <w:rStyle w:val="FootnoteReference"/>
          <w:sz w:val="24"/>
          <w:szCs w:val="24"/>
        </w:rPr>
        <w:footnoteReference w:id="17"/>
      </w:r>
      <w:r>
        <w:rPr>
          <w:sz w:val="24"/>
          <w:szCs w:val="24"/>
        </w:rPr>
        <w:t>After the rebellions of</w:t>
      </w:r>
      <w:r w:rsidR="00E30AE5">
        <w:rPr>
          <w:sz w:val="24"/>
          <w:szCs w:val="24"/>
        </w:rPr>
        <w:t xml:space="preserve"> </w:t>
      </w:r>
      <w:proofErr w:type="spellStart"/>
      <w:r w:rsidR="00E30AE5">
        <w:rPr>
          <w:sz w:val="24"/>
          <w:szCs w:val="24"/>
        </w:rPr>
        <w:t>Eumenes</w:t>
      </w:r>
      <w:proofErr w:type="spellEnd"/>
      <w:r w:rsidR="00E30AE5">
        <w:rPr>
          <w:sz w:val="24"/>
          <w:szCs w:val="24"/>
        </w:rPr>
        <w:t xml:space="preserve"> in 26</w:t>
      </w:r>
      <w:r>
        <w:rPr>
          <w:sz w:val="24"/>
          <w:szCs w:val="24"/>
        </w:rPr>
        <w:t xml:space="preserve">2, which created the </w:t>
      </w:r>
      <w:proofErr w:type="spellStart"/>
      <w:r>
        <w:rPr>
          <w:sz w:val="24"/>
          <w:szCs w:val="24"/>
        </w:rPr>
        <w:t>Pergamon</w:t>
      </w:r>
      <w:proofErr w:type="spellEnd"/>
      <w:r>
        <w:rPr>
          <w:sz w:val="24"/>
          <w:szCs w:val="24"/>
        </w:rPr>
        <w:t xml:space="preserve"> Empire, and </w:t>
      </w:r>
      <w:proofErr w:type="spellStart"/>
      <w:r>
        <w:rPr>
          <w:sz w:val="24"/>
          <w:szCs w:val="24"/>
        </w:rPr>
        <w:t>Diodotos</w:t>
      </w:r>
      <w:proofErr w:type="spellEnd"/>
      <w:r>
        <w:rPr>
          <w:sz w:val="24"/>
          <w:szCs w:val="24"/>
        </w:rPr>
        <w:t xml:space="preserve"> in 250, creating the Greco-Bactrian kingdom, </w:t>
      </w:r>
      <w:r w:rsidR="00E30AE5">
        <w:rPr>
          <w:sz w:val="24"/>
          <w:szCs w:val="24"/>
        </w:rPr>
        <w:t xml:space="preserve">the </w:t>
      </w:r>
      <w:proofErr w:type="spellStart"/>
      <w:r w:rsidR="00E30AE5">
        <w:rPr>
          <w:sz w:val="24"/>
          <w:szCs w:val="24"/>
        </w:rPr>
        <w:lastRenderedPageBreak/>
        <w:t>Selukid</w:t>
      </w:r>
      <w:proofErr w:type="spellEnd"/>
      <w:r w:rsidR="00E30AE5">
        <w:rPr>
          <w:sz w:val="24"/>
          <w:szCs w:val="24"/>
        </w:rPr>
        <w:t xml:space="preserve"> empire is unstable and the fear of rebellion is real and palpable. In 225, </w:t>
      </w:r>
      <w:proofErr w:type="spellStart"/>
      <w:r w:rsidR="00E30AE5">
        <w:rPr>
          <w:sz w:val="24"/>
          <w:szCs w:val="24"/>
        </w:rPr>
        <w:t>Seleukos</w:t>
      </w:r>
      <w:proofErr w:type="spellEnd"/>
      <w:r w:rsidR="00E30AE5">
        <w:rPr>
          <w:sz w:val="24"/>
          <w:szCs w:val="24"/>
        </w:rPr>
        <w:t xml:space="preserve"> II dies and starts a great shift in the </w:t>
      </w:r>
      <w:proofErr w:type="spellStart"/>
      <w:r w:rsidR="00E30AE5">
        <w:rPr>
          <w:sz w:val="24"/>
          <w:szCs w:val="24"/>
        </w:rPr>
        <w:t>Seleukid</w:t>
      </w:r>
      <w:proofErr w:type="spellEnd"/>
      <w:r w:rsidR="00E30AE5">
        <w:rPr>
          <w:sz w:val="24"/>
          <w:szCs w:val="24"/>
        </w:rPr>
        <w:t xml:space="preserve"> empire and the royal family. They are also engaged in a war with </w:t>
      </w:r>
      <w:r w:rsidR="009C1CC0">
        <w:rPr>
          <w:sz w:val="24"/>
          <w:szCs w:val="24"/>
        </w:rPr>
        <w:t xml:space="preserve">the </w:t>
      </w:r>
      <w:proofErr w:type="spellStart"/>
      <w:r w:rsidR="009C1CC0">
        <w:rPr>
          <w:sz w:val="24"/>
          <w:szCs w:val="24"/>
        </w:rPr>
        <w:t>Pergamon</w:t>
      </w:r>
      <w:proofErr w:type="spellEnd"/>
      <w:r w:rsidR="009C1CC0">
        <w:rPr>
          <w:sz w:val="24"/>
          <w:szCs w:val="24"/>
        </w:rPr>
        <w:t xml:space="preserve"> Empire to the west.</w:t>
      </w:r>
      <w:r w:rsidR="00700EAE">
        <w:rPr>
          <w:rStyle w:val="FootnoteReference"/>
          <w:sz w:val="24"/>
          <w:szCs w:val="24"/>
        </w:rPr>
        <w:footnoteReference w:id="18"/>
      </w:r>
      <w:r w:rsidR="009C1CC0">
        <w:rPr>
          <w:sz w:val="24"/>
          <w:szCs w:val="24"/>
        </w:rPr>
        <w:t xml:space="preserve"> All of this uncertainty would have, undoubtedly, have affected the ruling family and my character. She would see this as a need to stabilize the empire thus beginning one of her aims and traveling around the city states.</w:t>
      </w:r>
      <w:r w:rsidR="000C2C4B">
        <w:rPr>
          <w:sz w:val="24"/>
          <w:szCs w:val="24"/>
        </w:rPr>
        <w:t xml:space="preserve"> </w:t>
      </w:r>
    </w:p>
    <w:p w:rsidR="00F75F28" w:rsidRDefault="00F75F28" w:rsidP="00A152CF">
      <w:pPr>
        <w:spacing w:line="480" w:lineRule="auto"/>
        <w:rPr>
          <w:sz w:val="24"/>
          <w:szCs w:val="24"/>
        </w:rPr>
      </w:pPr>
    </w:p>
    <w:p w:rsidR="00700EAE" w:rsidRDefault="00700EAE" w:rsidP="00A152CF">
      <w:pPr>
        <w:spacing w:line="480" w:lineRule="auto"/>
        <w:rPr>
          <w:sz w:val="36"/>
          <w:szCs w:val="24"/>
          <w:u w:val="single"/>
        </w:rPr>
      </w:pPr>
    </w:p>
    <w:p w:rsidR="00700EAE" w:rsidRDefault="00700EAE" w:rsidP="00A152CF">
      <w:pPr>
        <w:spacing w:line="480" w:lineRule="auto"/>
        <w:rPr>
          <w:sz w:val="36"/>
          <w:szCs w:val="24"/>
          <w:u w:val="single"/>
        </w:rPr>
      </w:pPr>
    </w:p>
    <w:p w:rsidR="00700EAE" w:rsidRDefault="00700EAE" w:rsidP="00A152CF">
      <w:pPr>
        <w:spacing w:line="480" w:lineRule="auto"/>
        <w:rPr>
          <w:sz w:val="36"/>
          <w:szCs w:val="24"/>
          <w:u w:val="single"/>
        </w:rPr>
      </w:pPr>
    </w:p>
    <w:p w:rsidR="00700EAE" w:rsidRDefault="00700EAE" w:rsidP="00A152CF">
      <w:pPr>
        <w:spacing w:line="480" w:lineRule="auto"/>
        <w:rPr>
          <w:sz w:val="36"/>
          <w:szCs w:val="24"/>
          <w:u w:val="single"/>
        </w:rPr>
      </w:pPr>
    </w:p>
    <w:p w:rsidR="00700EAE" w:rsidRDefault="00700EAE" w:rsidP="00A152CF">
      <w:pPr>
        <w:spacing w:line="480" w:lineRule="auto"/>
        <w:rPr>
          <w:sz w:val="36"/>
          <w:szCs w:val="24"/>
          <w:u w:val="single"/>
        </w:rPr>
      </w:pPr>
    </w:p>
    <w:p w:rsidR="00700EAE" w:rsidRDefault="00700EAE" w:rsidP="00A152CF">
      <w:pPr>
        <w:spacing w:line="480" w:lineRule="auto"/>
        <w:rPr>
          <w:sz w:val="36"/>
          <w:szCs w:val="24"/>
          <w:u w:val="single"/>
        </w:rPr>
      </w:pPr>
    </w:p>
    <w:p w:rsidR="00700EAE" w:rsidRDefault="00700EAE" w:rsidP="00A152CF">
      <w:pPr>
        <w:spacing w:line="480" w:lineRule="auto"/>
        <w:rPr>
          <w:sz w:val="36"/>
          <w:szCs w:val="24"/>
          <w:u w:val="single"/>
        </w:rPr>
      </w:pPr>
    </w:p>
    <w:p w:rsidR="00700EAE" w:rsidRDefault="00700EAE" w:rsidP="00A152CF">
      <w:pPr>
        <w:spacing w:line="480" w:lineRule="auto"/>
        <w:rPr>
          <w:sz w:val="36"/>
          <w:szCs w:val="24"/>
          <w:u w:val="single"/>
        </w:rPr>
      </w:pPr>
    </w:p>
    <w:p w:rsidR="00F75F28" w:rsidRDefault="00F75F28" w:rsidP="00A152CF">
      <w:pPr>
        <w:spacing w:line="480" w:lineRule="auto"/>
        <w:rPr>
          <w:sz w:val="36"/>
          <w:szCs w:val="24"/>
          <w:u w:val="single"/>
        </w:rPr>
      </w:pPr>
      <w:bookmarkStart w:id="0" w:name="_GoBack"/>
      <w:bookmarkEnd w:id="0"/>
      <w:r>
        <w:rPr>
          <w:sz w:val="36"/>
          <w:szCs w:val="24"/>
          <w:u w:val="single"/>
        </w:rPr>
        <w:lastRenderedPageBreak/>
        <w:t>Bibliography</w:t>
      </w:r>
    </w:p>
    <w:p w:rsidR="00A03FB2" w:rsidRPr="00A03FB2" w:rsidRDefault="00A03FB2" w:rsidP="00A152CF">
      <w:pPr>
        <w:spacing w:line="480" w:lineRule="auto"/>
        <w:rPr>
          <w:sz w:val="24"/>
          <w:szCs w:val="24"/>
          <w:u w:val="single"/>
        </w:rPr>
      </w:pPr>
      <w:r w:rsidRPr="00A03FB2">
        <w:rPr>
          <w:sz w:val="24"/>
          <w:szCs w:val="24"/>
          <w:u w:val="single"/>
        </w:rPr>
        <w:t>Ancient Sources</w:t>
      </w:r>
    </w:p>
    <w:p w:rsidR="00A03FB2" w:rsidRDefault="00A03FB2" w:rsidP="00A03FB2">
      <w:pPr>
        <w:pStyle w:val="ListParagraph"/>
        <w:numPr>
          <w:ilvl w:val="0"/>
          <w:numId w:val="1"/>
        </w:numPr>
        <w:spacing w:line="480" w:lineRule="auto"/>
        <w:rPr>
          <w:sz w:val="24"/>
          <w:szCs w:val="24"/>
        </w:rPr>
      </w:pPr>
      <w:r w:rsidRPr="00A03FB2">
        <w:rPr>
          <w:sz w:val="24"/>
          <w:szCs w:val="24"/>
        </w:rPr>
        <w:t>Polybius</w:t>
      </w:r>
      <w:r>
        <w:rPr>
          <w:sz w:val="24"/>
          <w:szCs w:val="24"/>
        </w:rPr>
        <w:t xml:space="preserve">. 1979. </w:t>
      </w:r>
      <w:r>
        <w:rPr>
          <w:i/>
          <w:sz w:val="24"/>
          <w:szCs w:val="24"/>
        </w:rPr>
        <w:t>The Rise of the Roman Empire</w:t>
      </w:r>
      <w:r>
        <w:rPr>
          <w:sz w:val="24"/>
          <w:szCs w:val="24"/>
        </w:rPr>
        <w:t xml:space="preserve">. F.W. </w:t>
      </w:r>
      <w:proofErr w:type="spellStart"/>
      <w:r>
        <w:rPr>
          <w:sz w:val="24"/>
          <w:szCs w:val="24"/>
        </w:rPr>
        <w:t>Walkbank</w:t>
      </w:r>
      <w:proofErr w:type="spellEnd"/>
      <w:r>
        <w:rPr>
          <w:sz w:val="24"/>
          <w:szCs w:val="24"/>
        </w:rPr>
        <w:t>. (trans.).</w:t>
      </w:r>
    </w:p>
    <w:p w:rsidR="00A03FB2" w:rsidRPr="00A03FB2" w:rsidRDefault="00A03FB2" w:rsidP="00A03FB2">
      <w:pPr>
        <w:spacing w:line="480" w:lineRule="auto"/>
        <w:rPr>
          <w:sz w:val="24"/>
          <w:szCs w:val="24"/>
          <w:u w:val="single"/>
        </w:rPr>
      </w:pPr>
      <w:r>
        <w:rPr>
          <w:sz w:val="24"/>
          <w:szCs w:val="24"/>
          <w:u w:val="single"/>
        </w:rPr>
        <w:t>Modern Sources</w:t>
      </w:r>
    </w:p>
    <w:p w:rsidR="00F75F28" w:rsidRDefault="00F75F28" w:rsidP="00F75F28">
      <w:pPr>
        <w:pStyle w:val="ListParagraph"/>
        <w:numPr>
          <w:ilvl w:val="0"/>
          <w:numId w:val="1"/>
        </w:numPr>
        <w:spacing w:line="480" w:lineRule="auto"/>
        <w:rPr>
          <w:sz w:val="24"/>
          <w:szCs w:val="24"/>
        </w:rPr>
      </w:pPr>
      <w:r>
        <w:rPr>
          <w:sz w:val="24"/>
          <w:szCs w:val="24"/>
        </w:rPr>
        <w:t>Grainger, J.D.</w:t>
      </w:r>
      <w:r w:rsidR="00640BD0">
        <w:rPr>
          <w:sz w:val="24"/>
          <w:szCs w:val="24"/>
        </w:rPr>
        <w:t xml:space="preserve"> 1990.</w:t>
      </w:r>
      <w:r>
        <w:rPr>
          <w:sz w:val="24"/>
          <w:szCs w:val="24"/>
        </w:rPr>
        <w:t xml:space="preserve"> </w:t>
      </w:r>
      <w:proofErr w:type="spellStart"/>
      <w:r>
        <w:rPr>
          <w:i/>
          <w:sz w:val="24"/>
          <w:szCs w:val="24"/>
        </w:rPr>
        <w:t>Seleukos</w:t>
      </w:r>
      <w:proofErr w:type="spellEnd"/>
      <w:r>
        <w:rPr>
          <w:i/>
          <w:sz w:val="24"/>
          <w:szCs w:val="24"/>
        </w:rPr>
        <w:t xml:space="preserve"> </w:t>
      </w:r>
      <w:proofErr w:type="spellStart"/>
      <w:r>
        <w:rPr>
          <w:i/>
          <w:sz w:val="24"/>
          <w:szCs w:val="24"/>
        </w:rPr>
        <w:t>Nikator</w:t>
      </w:r>
      <w:proofErr w:type="spellEnd"/>
      <w:r>
        <w:rPr>
          <w:i/>
          <w:sz w:val="24"/>
          <w:szCs w:val="24"/>
        </w:rPr>
        <w:t>.</w:t>
      </w:r>
      <w:r w:rsidR="00640BD0">
        <w:rPr>
          <w:sz w:val="24"/>
          <w:szCs w:val="24"/>
        </w:rPr>
        <w:t xml:space="preserve"> London: Routledge</w:t>
      </w:r>
    </w:p>
    <w:p w:rsidR="00640BD0" w:rsidRDefault="00640BD0" w:rsidP="00F75F28">
      <w:pPr>
        <w:pStyle w:val="ListParagraph"/>
        <w:numPr>
          <w:ilvl w:val="0"/>
          <w:numId w:val="1"/>
        </w:numPr>
        <w:spacing w:line="480" w:lineRule="auto"/>
        <w:rPr>
          <w:sz w:val="24"/>
          <w:szCs w:val="24"/>
        </w:rPr>
      </w:pPr>
      <w:r>
        <w:rPr>
          <w:sz w:val="24"/>
          <w:szCs w:val="24"/>
        </w:rPr>
        <w:t xml:space="preserve">Grainger, J.D. 1997. </w:t>
      </w:r>
      <w:r>
        <w:rPr>
          <w:i/>
          <w:sz w:val="24"/>
          <w:szCs w:val="24"/>
        </w:rPr>
        <w:t xml:space="preserve">A </w:t>
      </w:r>
      <w:proofErr w:type="spellStart"/>
      <w:r>
        <w:rPr>
          <w:i/>
          <w:sz w:val="24"/>
          <w:szCs w:val="24"/>
        </w:rPr>
        <w:t>Seleukid</w:t>
      </w:r>
      <w:proofErr w:type="spellEnd"/>
      <w:r>
        <w:rPr>
          <w:i/>
          <w:sz w:val="24"/>
          <w:szCs w:val="24"/>
        </w:rPr>
        <w:t xml:space="preserve"> Prosopography and Gazetteer. </w:t>
      </w:r>
      <w:r>
        <w:rPr>
          <w:sz w:val="24"/>
          <w:szCs w:val="24"/>
        </w:rPr>
        <w:t>Leiden: Brill</w:t>
      </w:r>
    </w:p>
    <w:p w:rsidR="00640BD0" w:rsidRDefault="00640BD0" w:rsidP="00F75F28">
      <w:pPr>
        <w:pStyle w:val="ListParagraph"/>
        <w:numPr>
          <w:ilvl w:val="0"/>
          <w:numId w:val="1"/>
        </w:numPr>
        <w:spacing w:line="480" w:lineRule="auto"/>
        <w:rPr>
          <w:sz w:val="24"/>
          <w:szCs w:val="24"/>
        </w:rPr>
      </w:pPr>
      <w:r>
        <w:rPr>
          <w:sz w:val="24"/>
          <w:szCs w:val="24"/>
        </w:rPr>
        <w:t xml:space="preserve">Ogden, D. 1990. </w:t>
      </w:r>
      <w:r>
        <w:rPr>
          <w:i/>
          <w:sz w:val="24"/>
          <w:szCs w:val="24"/>
        </w:rPr>
        <w:t>Polygamy, Prostitutes and Death: The Hellenistic Dynasties</w:t>
      </w:r>
      <w:r>
        <w:rPr>
          <w:sz w:val="24"/>
          <w:szCs w:val="24"/>
        </w:rPr>
        <w:t>. London: Duckworth</w:t>
      </w:r>
    </w:p>
    <w:p w:rsidR="00640BD0" w:rsidRDefault="00640BD0" w:rsidP="00F75F28">
      <w:pPr>
        <w:pStyle w:val="ListParagraph"/>
        <w:numPr>
          <w:ilvl w:val="0"/>
          <w:numId w:val="1"/>
        </w:numPr>
        <w:spacing w:line="480" w:lineRule="auto"/>
        <w:rPr>
          <w:sz w:val="24"/>
          <w:szCs w:val="24"/>
        </w:rPr>
      </w:pPr>
      <w:proofErr w:type="spellStart"/>
      <w:r>
        <w:rPr>
          <w:sz w:val="24"/>
          <w:szCs w:val="24"/>
        </w:rPr>
        <w:t>Coskun</w:t>
      </w:r>
      <w:proofErr w:type="spellEnd"/>
      <w:r>
        <w:rPr>
          <w:sz w:val="24"/>
          <w:szCs w:val="24"/>
        </w:rPr>
        <w:t xml:space="preserve">, A. </w:t>
      </w:r>
      <w:proofErr w:type="spellStart"/>
      <w:r>
        <w:rPr>
          <w:sz w:val="24"/>
          <w:szCs w:val="24"/>
        </w:rPr>
        <w:t>McAuley</w:t>
      </w:r>
      <w:proofErr w:type="spellEnd"/>
      <w:r>
        <w:rPr>
          <w:sz w:val="24"/>
          <w:szCs w:val="24"/>
        </w:rPr>
        <w:t xml:space="preserve">, A. 2016. </w:t>
      </w:r>
      <w:proofErr w:type="spellStart"/>
      <w:r>
        <w:rPr>
          <w:i/>
          <w:sz w:val="24"/>
          <w:szCs w:val="24"/>
        </w:rPr>
        <w:t>Seleukid</w:t>
      </w:r>
      <w:proofErr w:type="spellEnd"/>
      <w:r>
        <w:rPr>
          <w:i/>
          <w:sz w:val="24"/>
          <w:szCs w:val="24"/>
        </w:rPr>
        <w:t xml:space="preserve"> Royal Women</w:t>
      </w:r>
      <w:r>
        <w:rPr>
          <w:sz w:val="24"/>
          <w:szCs w:val="24"/>
        </w:rPr>
        <w:t xml:space="preserve">. </w:t>
      </w:r>
      <w:proofErr w:type="spellStart"/>
      <w:r w:rsidR="00CB1C88">
        <w:rPr>
          <w:sz w:val="24"/>
          <w:szCs w:val="24"/>
        </w:rPr>
        <w:t>Suttgart</w:t>
      </w:r>
      <w:proofErr w:type="spellEnd"/>
      <w:r w:rsidR="00CB1C88">
        <w:rPr>
          <w:sz w:val="24"/>
          <w:szCs w:val="24"/>
        </w:rPr>
        <w:t xml:space="preserve">: Franz Steiner </w:t>
      </w:r>
      <w:proofErr w:type="spellStart"/>
      <w:r w:rsidR="00CB1C88">
        <w:rPr>
          <w:sz w:val="24"/>
          <w:szCs w:val="24"/>
        </w:rPr>
        <w:t>Verlag</w:t>
      </w:r>
      <w:proofErr w:type="spellEnd"/>
      <w:r w:rsidR="00CB1C88">
        <w:rPr>
          <w:sz w:val="24"/>
          <w:szCs w:val="24"/>
        </w:rPr>
        <w:t>.</w:t>
      </w:r>
    </w:p>
    <w:p w:rsidR="00D1193F" w:rsidRDefault="00D1193F" w:rsidP="00F75F28">
      <w:pPr>
        <w:pStyle w:val="ListParagraph"/>
        <w:numPr>
          <w:ilvl w:val="0"/>
          <w:numId w:val="1"/>
        </w:numPr>
        <w:spacing w:line="480" w:lineRule="auto"/>
        <w:rPr>
          <w:sz w:val="24"/>
          <w:szCs w:val="24"/>
        </w:rPr>
      </w:pPr>
      <w:r>
        <w:rPr>
          <w:sz w:val="24"/>
          <w:szCs w:val="24"/>
        </w:rPr>
        <w:t xml:space="preserve">Erskine, A. 2003. </w:t>
      </w:r>
      <w:r>
        <w:rPr>
          <w:i/>
          <w:sz w:val="24"/>
          <w:szCs w:val="24"/>
        </w:rPr>
        <w:t>A Companion to the Hellenistic World</w:t>
      </w:r>
      <w:r>
        <w:rPr>
          <w:sz w:val="24"/>
          <w:szCs w:val="24"/>
        </w:rPr>
        <w:t>. Oxford: Blackwell.</w:t>
      </w:r>
    </w:p>
    <w:p w:rsidR="00A03FB2" w:rsidRDefault="00A03FB2" w:rsidP="00F75F28">
      <w:pPr>
        <w:pStyle w:val="ListParagraph"/>
        <w:numPr>
          <w:ilvl w:val="0"/>
          <w:numId w:val="1"/>
        </w:numPr>
        <w:spacing w:line="480" w:lineRule="auto"/>
        <w:rPr>
          <w:sz w:val="24"/>
          <w:szCs w:val="24"/>
        </w:rPr>
      </w:pPr>
      <w:proofErr w:type="spellStart"/>
      <w:r>
        <w:rPr>
          <w:sz w:val="24"/>
          <w:szCs w:val="24"/>
        </w:rPr>
        <w:t>Malalas</w:t>
      </w:r>
      <w:proofErr w:type="spellEnd"/>
      <w:r>
        <w:rPr>
          <w:sz w:val="24"/>
          <w:szCs w:val="24"/>
        </w:rPr>
        <w:t xml:space="preserve">, J. 1940. </w:t>
      </w:r>
      <w:r w:rsidR="00D1193F">
        <w:rPr>
          <w:i/>
          <w:sz w:val="24"/>
          <w:szCs w:val="24"/>
        </w:rPr>
        <w:t xml:space="preserve">Chronicle of John </w:t>
      </w:r>
      <w:proofErr w:type="spellStart"/>
      <w:r w:rsidR="00D1193F">
        <w:rPr>
          <w:i/>
          <w:sz w:val="24"/>
          <w:szCs w:val="24"/>
        </w:rPr>
        <w:t>Malalas</w:t>
      </w:r>
      <w:proofErr w:type="spellEnd"/>
      <w:r w:rsidR="00D1193F">
        <w:rPr>
          <w:i/>
          <w:sz w:val="24"/>
          <w:szCs w:val="24"/>
        </w:rPr>
        <w:t>.</w:t>
      </w:r>
      <w:r w:rsidR="00D1193F">
        <w:rPr>
          <w:sz w:val="24"/>
          <w:szCs w:val="24"/>
        </w:rPr>
        <w:t xml:space="preserve"> Chicago: University of </w:t>
      </w:r>
      <w:proofErr w:type="spellStart"/>
      <w:r w:rsidR="00D1193F">
        <w:rPr>
          <w:sz w:val="24"/>
          <w:szCs w:val="24"/>
        </w:rPr>
        <w:t>Chacago</w:t>
      </w:r>
      <w:proofErr w:type="spellEnd"/>
      <w:r w:rsidR="00D1193F">
        <w:rPr>
          <w:sz w:val="24"/>
          <w:szCs w:val="24"/>
        </w:rPr>
        <w:t xml:space="preserve"> Press.</w:t>
      </w:r>
    </w:p>
    <w:p w:rsidR="00CB1C88" w:rsidRDefault="00CB1C88" w:rsidP="00F75F28">
      <w:pPr>
        <w:pStyle w:val="ListParagraph"/>
        <w:numPr>
          <w:ilvl w:val="0"/>
          <w:numId w:val="1"/>
        </w:numPr>
        <w:spacing w:line="480" w:lineRule="auto"/>
        <w:rPr>
          <w:sz w:val="24"/>
          <w:szCs w:val="24"/>
        </w:rPr>
      </w:pPr>
      <w:proofErr w:type="spellStart"/>
      <w:r>
        <w:rPr>
          <w:sz w:val="24"/>
          <w:szCs w:val="24"/>
        </w:rPr>
        <w:t>Macurdy</w:t>
      </w:r>
      <w:proofErr w:type="spellEnd"/>
      <w:r>
        <w:rPr>
          <w:sz w:val="24"/>
          <w:szCs w:val="24"/>
        </w:rPr>
        <w:t xml:space="preserve">, G.H. 1932. </w:t>
      </w:r>
      <w:r>
        <w:rPr>
          <w:i/>
          <w:sz w:val="24"/>
          <w:szCs w:val="24"/>
        </w:rPr>
        <w:t>Hellenistic Queens</w:t>
      </w:r>
      <w:r>
        <w:rPr>
          <w:sz w:val="24"/>
          <w:szCs w:val="24"/>
        </w:rPr>
        <w:t>. Baltimore: John Hopkins Press</w:t>
      </w:r>
      <w:r w:rsidR="00D274B2">
        <w:rPr>
          <w:sz w:val="24"/>
          <w:szCs w:val="24"/>
        </w:rPr>
        <w:t>.</w:t>
      </w:r>
    </w:p>
    <w:p w:rsidR="00D274B2" w:rsidRDefault="00D274B2" w:rsidP="00F75F28">
      <w:pPr>
        <w:pStyle w:val="ListParagraph"/>
        <w:numPr>
          <w:ilvl w:val="0"/>
          <w:numId w:val="1"/>
        </w:numPr>
        <w:spacing w:line="480" w:lineRule="auto"/>
        <w:rPr>
          <w:sz w:val="24"/>
          <w:szCs w:val="24"/>
        </w:rPr>
      </w:pPr>
      <w:r>
        <w:rPr>
          <w:sz w:val="24"/>
          <w:szCs w:val="24"/>
        </w:rPr>
        <w:t xml:space="preserve">Ramsey, G. 2011. </w:t>
      </w:r>
      <w:r>
        <w:rPr>
          <w:i/>
          <w:sz w:val="24"/>
          <w:szCs w:val="24"/>
        </w:rPr>
        <w:t>The Queen and the City: Royal Female Intervention and Patronage in Hellenistic Civic Communities.</w:t>
      </w:r>
      <w:r>
        <w:rPr>
          <w:sz w:val="24"/>
          <w:szCs w:val="24"/>
        </w:rPr>
        <w:t xml:space="preserve"> Oxford: Blackwell Publishing Ltd.</w:t>
      </w:r>
    </w:p>
    <w:p w:rsidR="00D274B2" w:rsidRDefault="00D274B2" w:rsidP="00D274B2">
      <w:pPr>
        <w:pStyle w:val="ListParagraph"/>
        <w:numPr>
          <w:ilvl w:val="0"/>
          <w:numId w:val="1"/>
        </w:numPr>
        <w:spacing w:line="480" w:lineRule="auto"/>
        <w:rPr>
          <w:sz w:val="24"/>
          <w:szCs w:val="24"/>
        </w:rPr>
      </w:pPr>
      <w:proofErr w:type="spellStart"/>
      <w:r>
        <w:rPr>
          <w:sz w:val="24"/>
          <w:szCs w:val="24"/>
        </w:rPr>
        <w:t>Capdetrey</w:t>
      </w:r>
      <w:proofErr w:type="spellEnd"/>
      <w:r>
        <w:rPr>
          <w:sz w:val="24"/>
          <w:szCs w:val="24"/>
        </w:rPr>
        <w:t xml:space="preserve">, L. 2007. </w:t>
      </w:r>
      <w:r>
        <w:rPr>
          <w:i/>
          <w:sz w:val="24"/>
          <w:szCs w:val="24"/>
        </w:rPr>
        <w:t xml:space="preserve">Le </w:t>
      </w:r>
      <w:proofErr w:type="spellStart"/>
      <w:r>
        <w:rPr>
          <w:i/>
          <w:sz w:val="24"/>
          <w:szCs w:val="24"/>
        </w:rPr>
        <w:t>Pouvoir</w:t>
      </w:r>
      <w:proofErr w:type="spellEnd"/>
      <w:r>
        <w:rPr>
          <w:i/>
          <w:sz w:val="24"/>
          <w:szCs w:val="24"/>
        </w:rPr>
        <w:t xml:space="preserve"> </w:t>
      </w:r>
      <w:proofErr w:type="spellStart"/>
      <w:r>
        <w:rPr>
          <w:i/>
          <w:sz w:val="24"/>
          <w:szCs w:val="24"/>
        </w:rPr>
        <w:t>Selecide</w:t>
      </w:r>
      <w:proofErr w:type="spellEnd"/>
      <w:r>
        <w:rPr>
          <w:i/>
          <w:sz w:val="24"/>
          <w:szCs w:val="24"/>
        </w:rPr>
        <w:t xml:space="preserve">. </w:t>
      </w:r>
      <w:r>
        <w:rPr>
          <w:sz w:val="24"/>
          <w:szCs w:val="24"/>
        </w:rPr>
        <w:t xml:space="preserve">Rennes: Presses </w:t>
      </w:r>
      <w:proofErr w:type="spellStart"/>
      <w:r>
        <w:rPr>
          <w:sz w:val="24"/>
          <w:szCs w:val="24"/>
        </w:rPr>
        <w:t>Universitaires</w:t>
      </w:r>
      <w:proofErr w:type="spellEnd"/>
      <w:r>
        <w:rPr>
          <w:sz w:val="24"/>
          <w:szCs w:val="24"/>
        </w:rPr>
        <w:t xml:space="preserve"> de Rennes. </w:t>
      </w:r>
    </w:p>
    <w:p w:rsidR="00D274B2" w:rsidRDefault="00D274B2" w:rsidP="00F75F28">
      <w:pPr>
        <w:pStyle w:val="ListParagraph"/>
        <w:numPr>
          <w:ilvl w:val="0"/>
          <w:numId w:val="1"/>
        </w:numPr>
        <w:spacing w:line="480" w:lineRule="auto"/>
        <w:rPr>
          <w:sz w:val="24"/>
          <w:szCs w:val="24"/>
        </w:rPr>
      </w:pPr>
      <w:proofErr w:type="spellStart"/>
      <w:r>
        <w:rPr>
          <w:sz w:val="24"/>
          <w:szCs w:val="24"/>
        </w:rPr>
        <w:lastRenderedPageBreak/>
        <w:t>Bielman</w:t>
      </w:r>
      <w:proofErr w:type="spellEnd"/>
      <w:r>
        <w:rPr>
          <w:sz w:val="24"/>
          <w:szCs w:val="24"/>
        </w:rPr>
        <w:t xml:space="preserve">, A. 2002. </w:t>
      </w:r>
      <w:r>
        <w:rPr>
          <w:i/>
          <w:sz w:val="24"/>
          <w:szCs w:val="24"/>
        </w:rPr>
        <w:t xml:space="preserve">Femmes </w:t>
      </w:r>
      <w:proofErr w:type="spellStart"/>
      <w:r>
        <w:rPr>
          <w:i/>
          <w:sz w:val="24"/>
          <w:szCs w:val="24"/>
        </w:rPr>
        <w:t>en</w:t>
      </w:r>
      <w:proofErr w:type="spellEnd"/>
      <w:r>
        <w:rPr>
          <w:i/>
          <w:sz w:val="24"/>
          <w:szCs w:val="24"/>
        </w:rPr>
        <w:t xml:space="preserve"> Public </w:t>
      </w:r>
      <w:proofErr w:type="spellStart"/>
      <w:r>
        <w:rPr>
          <w:i/>
          <w:sz w:val="24"/>
          <w:szCs w:val="24"/>
        </w:rPr>
        <w:t>dans</w:t>
      </w:r>
      <w:proofErr w:type="spellEnd"/>
      <w:r>
        <w:rPr>
          <w:i/>
          <w:sz w:val="24"/>
          <w:szCs w:val="24"/>
        </w:rPr>
        <w:t xml:space="preserve"> le monde </w:t>
      </w:r>
      <w:proofErr w:type="spellStart"/>
      <w:r>
        <w:rPr>
          <w:i/>
          <w:sz w:val="24"/>
          <w:szCs w:val="24"/>
        </w:rPr>
        <w:t>bellenistique</w:t>
      </w:r>
      <w:proofErr w:type="spellEnd"/>
      <w:r>
        <w:rPr>
          <w:i/>
          <w:sz w:val="24"/>
          <w:szCs w:val="24"/>
        </w:rPr>
        <w:t>.</w:t>
      </w:r>
    </w:p>
    <w:p w:rsidR="001258BA" w:rsidRDefault="001258BA" w:rsidP="00F75F28">
      <w:pPr>
        <w:pStyle w:val="ListParagraph"/>
        <w:numPr>
          <w:ilvl w:val="0"/>
          <w:numId w:val="1"/>
        </w:numPr>
        <w:spacing w:line="480" w:lineRule="auto"/>
        <w:rPr>
          <w:sz w:val="24"/>
          <w:szCs w:val="24"/>
        </w:rPr>
      </w:pPr>
      <w:r>
        <w:rPr>
          <w:sz w:val="24"/>
          <w:szCs w:val="24"/>
        </w:rPr>
        <w:t xml:space="preserve">Erickson, K. Ramsey, G. 2011. </w:t>
      </w:r>
      <w:r>
        <w:rPr>
          <w:i/>
          <w:sz w:val="24"/>
          <w:szCs w:val="24"/>
        </w:rPr>
        <w:t xml:space="preserve">Seleucid Dissolution: The Sinking of the Anchor. </w:t>
      </w:r>
      <w:r>
        <w:rPr>
          <w:sz w:val="24"/>
          <w:szCs w:val="24"/>
        </w:rPr>
        <w:t xml:space="preserve">Wiesbaden: </w:t>
      </w:r>
      <w:proofErr w:type="spellStart"/>
      <w:r>
        <w:rPr>
          <w:sz w:val="24"/>
          <w:szCs w:val="24"/>
        </w:rPr>
        <w:t>Harrassowitz</w:t>
      </w:r>
      <w:proofErr w:type="spellEnd"/>
      <w:r>
        <w:rPr>
          <w:sz w:val="24"/>
          <w:szCs w:val="24"/>
        </w:rPr>
        <w:t xml:space="preserve"> </w:t>
      </w:r>
      <w:proofErr w:type="spellStart"/>
      <w:r>
        <w:rPr>
          <w:sz w:val="24"/>
          <w:szCs w:val="24"/>
        </w:rPr>
        <w:t>Verlag</w:t>
      </w:r>
      <w:proofErr w:type="spellEnd"/>
      <w:r>
        <w:rPr>
          <w:sz w:val="24"/>
          <w:szCs w:val="24"/>
        </w:rPr>
        <w:t>.</w:t>
      </w:r>
    </w:p>
    <w:p w:rsidR="00D7360E" w:rsidRDefault="00D7360E" w:rsidP="00F75F28">
      <w:pPr>
        <w:pStyle w:val="ListParagraph"/>
        <w:numPr>
          <w:ilvl w:val="0"/>
          <w:numId w:val="1"/>
        </w:numPr>
        <w:spacing w:line="480" w:lineRule="auto"/>
        <w:rPr>
          <w:sz w:val="24"/>
          <w:szCs w:val="24"/>
        </w:rPr>
      </w:pPr>
      <w:r>
        <w:rPr>
          <w:sz w:val="24"/>
          <w:szCs w:val="24"/>
        </w:rPr>
        <w:t xml:space="preserve">Barclay, W. 1959. </w:t>
      </w:r>
      <w:r>
        <w:rPr>
          <w:i/>
          <w:sz w:val="24"/>
          <w:szCs w:val="24"/>
        </w:rPr>
        <w:t>Educational Ideals in the Ancient World</w:t>
      </w:r>
      <w:r>
        <w:rPr>
          <w:sz w:val="24"/>
          <w:szCs w:val="24"/>
        </w:rPr>
        <w:t>. London: Collins.</w:t>
      </w:r>
    </w:p>
    <w:p w:rsidR="00D7360E" w:rsidRDefault="00D7360E" w:rsidP="00F75F28">
      <w:pPr>
        <w:pStyle w:val="ListParagraph"/>
        <w:numPr>
          <w:ilvl w:val="0"/>
          <w:numId w:val="1"/>
        </w:numPr>
        <w:spacing w:line="480" w:lineRule="auto"/>
        <w:rPr>
          <w:sz w:val="24"/>
          <w:szCs w:val="24"/>
        </w:rPr>
      </w:pPr>
      <w:r>
        <w:rPr>
          <w:sz w:val="24"/>
          <w:szCs w:val="24"/>
        </w:rPr>
        <w:t xml:space="preserve">Smith, W. 1955. </w:t>
      </w:r>
      <w:r>
        <w:rPr>
          <w:i/>
          <w:sz w:val="24"/>
          <w:szCs w:val="24"/>
        </w:rPr>
        <w:t>Ancient Education</w:t>
      </w:r>
      <w:r>
        <w:rPr>
          <w:sz w:val="24"/>
          <w:szCs w:val="24"/>
        </w:rPr>
        <w:t>. New York: Philosophical Library.</w:t>
      </w:r>
    </w:p>
    <w:p w:rsidR="00D7360E" w:rsidRDefault="00D7360E" w:rsidP="00D7360E">
      <w:pPr>
        <w:pStyle w:val="ListParagraph"/>
        <w:numPr>
          <w:ilvl w:val="0"/>
          <w:numId w:val="1"/>
        </w:numPr>
        <w:spacing w:line="480" w:lineRule="auto"/>
        <w:rPr>
          <w:sz w:val="24"/>
          <w:szCs w:val="24"/>
        </w:rPr>
      </w:pPr>
      <w:r>
        <w:rPr>
          <w:sz w:val="24"/>
          <w:szCs w:val="24"/>
        </w:rPr>
        <w:t xml:space="preserve">Bible Resources ‘Education in Hellenism’ 2016. </w:t>
      </w:r>
      <w:hyperlink r:id="rId8" w:history="1">
        <w:r w:rsidRPr="00E30173">
          <w:rPr>
            <w:rStyle w:val="Hyperlink"/>
            <w:sz w:val="24"/>
            <w:szCs w:val="24"/>
          </w:rPr>
          <w:t>http://bibleresources.americanbible.org/resource/education-in-hellenism</w:t>
        </w:r>
      </w:hyperlink>
      <w:r>
        <w:rPr>
          <w:sz w:val="24"/>
          <w:szCs w:val="24"/>
        </w:rPr>
        <w:t xml:space="preserve"> [Accessed: 11/02/2018]</w:t>
      </w:r>
    </w:p>
    <w:p w:rsidR="00700EAE" w:rsidRPr="00F75F28" w:rsidRDefault="00700EAE" w:rsidP="00700EAE">
      <w:pPr>
        <w:pStyle w:val="ListParagraph"/>
        <w:numPr>
          <w:ilvl w:val="0"/>
          <w:numId w:val="1"/>
        </w:numPr>
        <w:spacing w:line="480" w:lineRule="auto"/>
        <w:rPr>
          <w:sz w:val="24"/>
          <w:szCs w:val="24"/>
        </w:rPr>
      </w:pPr>
      <w:r>
        <w:rPr>
          <w:sz w:val="24"/>
          <w:szCs w:val="24"/>
        </w:rPr>
        <w:t xml:space="preserve">Ancient.eu ‘Seleucid Empire Timeline’ 2015 </w:t>
      </w:r>
      <w:hyperlink r:id="rId9" w:history="1">
        <w:r w:rsidRPr="00E30173">
          <w:rPr>
            <w:rStyle w:val="Hyperlink"/>
            <w:sz w:val="24"/>
            <w:szCs w:val="24"/>
          </w:rPr>
          <w:t>https://www.ancient.eu/timeline/Seleucid_Empire/</w:t>
        </w:r>
      </w:hyperlink>
      <w:r>
        <w:rPr>
          <w:sz w:val="24"/>
          <w:szCs w:val="24"/>
        </w:rPr>
        <w:t xml:space="preserve"> </w:t>
      </w:r>
    </w:p>
    <w:sectPr w:rsidR="00700EAE" w:rsidRPr="00F75F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652B" w:rsidRDefault="0008652B" w:rsidP="001258BA">
      <w:pPr>
        <w:spacing w:after="0" w:line="240" w:lineRule="auto"/>
      </w:pPr>
      <w:r>
        <w:separator/>
      </w:r>
    </w:p>
  </w:endnote>
  <w:endnote w:type="continuationSeparator" w:id="0">
    <w:p w:rsidR="0008652B" w:rsidRDefault="0008652B" w:rsidP="00125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652B" w:rsidRDefault="0008652B" w:rsidP="001258BA">
      <w:pPr>
        <w:spacing w:after="0" w:line="240" w:lineRule="auto"/>
      </w:pPr>
      <w:r>
        <w:separator/>
      </w:r>
    </w:p>
  </w:footnote>
  <w:footnote w:type="continuationSeparator" w:id="0">
    <w:p w:rsidR="0008652B" w:rsidRDefault="0008652B" w:rsidP="001258BA">
      <w:pPr>
        <w:spacing w:after="0" w:line="240" w:lineRule="auto"/>
      </w:pPr>
      <w:r>
        <w:continuationSeparator/>
      </w:r>
    </w:p>
  </w:footnote>
  <w:footnote w:id="1">
    <w:p w:rsidR="006F2EA3" w:rsidRDefault="006F2EA3">
      <w:pPr>
        <w:pStyle w:val="FootnoteText"/>
      </w:pPr>
      <w:r>
        <w:rPr>
          <w:rStyle w:val="FootnoteReference"/>
        </w:rPr>
        <w:footnoteRef/>
      </w:r>
      <w:r>
        <w:t xml:space="preserve"> </w:t>
      </w:r>
      <w:proofErr w:type="spellStart"/>
      <w:r>
        <w:t>Macurdy</w:t>
      </w:r>
      <w:proofErr w:type="spellEnd"/>
      <w:r>
        <w:t>. 1932. P.90</w:t>
      </w:r>
    </w:p>
  </w:footnote>
  <w:footnote w:id="2">
    <w:p w:rsidR="006F2EA3" w:rsidRDefault="006F2EA3">
      <w:pPr>
        <w:pStyle w:val="FootnoteText"/>
      </w:pPr>
      <w:r>
        <w:rPr>
          <w:rStyle w:val="FootnoteReference"/>
        </w:rPr>
        <w:footnoteRef/>
      </w:r>
      <w:r>
        <w:t xml:space="preserve"> Pol. 4.51.4; 8.22.11</w:t>
      </w:r>
    </w:p>
  </w:footnote>
  <w:footnote w:id="3">
    <w:p w:rsidR="001258BA" w:rsidRDefault="001258BA">
      <w:pPr>
        <w:pStyle w:val="FootnoteText"/>
      </w:pPr>
      <w:r>
        <w:rPr>
          <w:rStyle w:val="FootnoteReference"/>
        </w:rPr>
        <w:footnoteRef/>
      </w:r>
      <w:r>
        <w:t xml:space="preserve"> Grainger. 1997. </w:t>
      </w:r>
    </w:p>
  </w:footnote>
  <w:footnote w:id="4">
    <w:p w:rsidR="001258BA" w:rsidRDefault="001258BA">
      <w:pPr>
        <w:pStyle w:val="FootnoteText"/>
      </w:pPr>
      <w:r>
        <w:rPr>
          <w:rStyle w:val="FootnoteReference"/>
        </w:rPr>
        <w:footnoteRef/>
      </w:r>
      <w:r>
        <w:t xml:space="preserve"> Erickson, Ramsey. 2011. p.51-66.</w:t>
      </w:r>
    </w:p>
  </w:footnote>
  <w:footnote w:id="5">
    <w:p w:rsidR="006F2EA3" w:rsidRDefault="006F2EA3">
      <w:pPr>
        <w:pStyle w:val="FootnoteText"/>
      </w:pPr>
      <w:r>
        <w:rPr>
          <w:rStyle w:val="FootnoteReference"/>
        </w:rPr>
        <w:footnoteRef/>
      </w:r>
      <w:r>
        <w:t xml:space="preserve"> </w:t>
      </w:r>
      <w:proofErr w:type="spellStart"/>
      <w:r>
        <w:t>Malalas</w:t>
      </w:r>
      <w:proofErr w:type="spellEnd"/>
      <w:r>
        <w:t>.</w:t>
      </w:r>
      <w:r w:rsidR="00A03FB2">
        <w:t xml:space="preserve"> 1940.</w:t>
      </w:r>
      <w:r>
        <w:t xml:space="preserve"> P.198.</w:t>
      </w:r>
    </w:p>
  </w:footnote>
  <w:footnote w:id="6">
    <w:p w:rsidR="006F2EA3" w:rsidRDefault="006F2EA3">
      <w:pPr>
        <w:pStyle w:val="FootnoteText"/>
      </w:pPr>
      <w:r>
        <w:rPr>
          <w:rStyle w:val="FootnoteReference"/>
        </w:rPr>
        <w:footnoteRef/>
      </w:r>
      <w:r>
        <w:t xml:space="preserve"> Bible Resources. 2016.</w:t>
      </w:r>
    </w:p>
  </w:footnote>
  <w:footnote w:id="7">
    <w:p w:rsidR="006F2EA3" w:rsidRDefault="006F2EA3">
      <w:pPr>
        <w:pStyle w:val="FootnoteText"/>
      </w:pPr>
      <w:r>
        <w:rPr>
          <w:rStyle w:val="FootnoteReference"/>
        </w:rPr>
        <w:footnoteRef/>
      </w:r>
      <w:r>
        <w:t xml:space="preserve"> Ogden. 1990.</w:t>
      </w:r>
    </w:p>
  </w:footnote>
  <w:footnote w:id="8">
    <w:p w:rsidR="006F2EA3" w:rsidRDefault="006F2EA3">
      <w:pPr>
        <w:pStyle w:val="FootnoteText"/>
      </w:pPr>
      <w:r>
        <w:rPr>
          <w:rStyle w:val="FootnoteReference"/>
        </w:rPr>
        <w:footnoteRef/>
      </w:r>
      <w:r>
        <w:t xml:space="preserve"> </w:t>
      </w:r>
      <w:proofErr w:type="spellStart"/>
      <w:r>
        <w:t>Coskun</w:t>
      </w:r>
      <w:proofErr w:type="spellEnd"/>
      <w:r>
        <w:t xml:space="preserve">, </w:t>
      </w:r>
      <w:proofErr w:type="spellStart"/>
      <w:r>
        <w:t>McAuley</w:t>
      </w:r>
      <w:proofErr w:type="spellEnd"/>
      <w:r>
        <w:t>. 2016.</w:t>
      </w:r>
    </w:p>
  </w:footnote>
  <w:footnote w:id="9">
    <w:p w:rsidR="006F2EA3" w:rsidRDefault="006F2EA3">
      <w:pPr>
        <w:pStyle w:val="FootnoteText"/>
      </w:pPr>
      <w:r>
        <w:rPr>
          <w:rStyle w:val="FootnoteReference"/>
        </w:rPr>
        <w:footnoteRef/>
      </w:r>
      <w:r>
        <w:t xml:space="preserve"> Ogden. 1990.</w:t>
      </w:r>
    </w:p>
  </w:footnote>
  <w:footnote w:id="10">
    <w:p w:rsidR="006F2EA3" w:rsidRDefault="006F2EA3">
      <w:pPr>
        <w:pStyle w:val="FootnoteText"/>
      </w:pPr>
      <w:r>
        <w:rPr>
          <w:rStyle w:val="FootnoteReference"/>
        </w:rPr>
        <w:footnoteRef/>
      </w:r>
      <w:r>
        <w:t xml:space="preserve"> Grainger. 1990.</w:t>
      </w:r>
    </w:p>
  </w:footnote>
  <w:footnote w:id="11">
    <w:p w:rsidR="006F2EA3" w:rsidRDefault="006F2EA3">
      <w:pPr>
        <w:pStyle w:val="FootnoteText"/>
      </w:pPr>
      <w:r>
        <w:rPr>
          <w:rStyle w:val="FootnoteReference"/>
        </w:rPr>
        <w:footnoteRef/>
      </w:r>
      <w:r>
        <w:t xml:space="preserve"> </w:t>
      </w:r>
      <w:r w:rsidR="00D1193F">
        <w:t>Erskine</w:t>
      </w:r>
      <w:r>
        <w:t>. P.438</w:t>
      </w:r>
    </w:p>
  </w:footnote>
  <w:footnote w:id="12">
    <w:p w:rsidR="00FC0262" w:rsidRDefault="00FC0262">
      <w:pPr>
        <w:pStyle w:val="FootnoteText"/>
      </w:pPr>
      <w:r>
        <w:rPr>
          <w:rStyle w:val="FootnoteReference"/>
        </w:rPr>
        <w:footnoteRef/>
      </w:r>
      <w:r>
        <w:t xml:space="preserve"> Ramsey.</w:t>
      </w:r>
      <w:r w:rsidR="00D1193F">
        <w:t xml:space="preserve"> 2011.</w:t>
      </w:r>
      <w:r>
        <w:t xml:space="preserve"> P.520.</w:t>
      </w:r>
    </w:p>
  </w:footnote>
  <w:footnote w:id="13">
    <w:p w:rsidR="00FC0262" w:rsidRDefault="00FC0262">
      <w:pPr>
        <w:pStyle w:val="FootnoteText"/>
      </w:pPr>
      <w:r>
        <w:rPr>
          <w:rStyle w:val="FootnoteReference"/>
        </w:rPr>
        <w:footnoteRef/>
      </w:r>
      <w:r>
        <w:t xml:space="preserve"> </w:t>
      </w:r>
      <w:proofErr w:type="spellStart"/>
      <w:r>
        <w:t>Beilman</w:t>
      </w:r>
      <w:proofErr w:type="spellEnd"/>
      <w:r>
        <w:t>. P. 45</w:t>
      </w:r>
    </w:p>
  </w:footnote>
  <w:footnote w:id="14">
    <w:p w:rsidR="00FC0262" w:rsidRDefault="00FC0262">
      <w:pPr>
        <w:pStyle w:val="FootnoteText"/>
      </w:pPr>
      <w:r>
        <w:rPr>
          <w:rStyle w:val="FootnoteReference"/>
        </w:rPr>
        <w:footnoteRef/>
      </w:r>
      <w:r>
        <w:t xml:space="preserve"> </w:t>
      </w:r>
      <w:proofErr w:type="spellStart"/>
      <w:r>
        <w:t>Capdtrey</w:t>
      </w:r>
      <w:proofErr w:type="spellEnd"/>
      <w:r>
        <w:t>. P. 324</w:t>
      </w:r>
    </w:p>
  </w:footnote>
  <w:footnote w:id="15">
    <w:p w:rsidR="00D274B2" w:rsidRDefault="00D274B2" w:rsidP="00D274B2">
      <w:pPr>
        <w:pStyle w:val="FootnoteText"/>
      </w:pPr>
      <w:r>
        <w:rPr>
          <w:rStyle w:val="FootnoteReference"/>
        </w:rPr>
        <w:footnoteRef/>
      </w:r>
      <w:r>
        <w:t xml:space="preserve"> </w:t>
      </w:r>
      <w:proofErr w:type="spellStart"/>
      <w:r>
        <w:t>Beilman</w:t>
      </w:r>
      <w:proofErr w:type="spellEnd"/>
      <w:r>
        <w:t>. P. 45</w:t>
      </w:r>
      <w:r>
        <w:t xml:space="preserve"> </w:t>
      </w:r>
    </w:p>
  </w:footnote>
  <w:footnote w:id="16">
    <w:p w:rsidR="00D274B2" w:rsidRDefault="00D274B2" w:rsidP="00D274B2">
      <w:pPr>
        <w:pStyle w:val="FootnoteText"/>
      </w:pPr>
      <w:r>
        <w:rPr>
          <w:rStyle w:val="FootnoteReference"/>
        </w:rPr>
        <w:footnoteRef/>
      </w:r>
      <w:r>
        <w:t xml:space="preserve"> </w:t>
      </w:r>
      <w:proofErr w:type="spellStart"/>
      <w:r>
        <w:t>Capdtrey</w:t>
      </w:r>
      <w:proofErr w:type="spellEnd"/>
      <w:r>
        <w:t>. P. 324</w:t>
      </w:r>
    </w:p>
  </w:footnote>
  <w:footnote w:id="17">
    <w:p w:rsidR="00700EAE" w:rsidRDefault="00700EAE">
      <w:pPr>
        <w:pStyle w:val="FootnoteText"/>
      </w:pPr>
      <w:r>
        <w:rPr>
          <w:rStyle w:val="FootnoteReference"/>
        </w:rPr>
        <w:footnoteRef/>
      </w:r>
      <w:r>
        <w:t xml:space="preserve"> Ancient.eu. 2015</w:t>
      </w:r>
    </w:p>
  </w:footnote>
  <w:footnote w:id="18">
    <w:p w:rsidR="00700EAE" w:rsidRDefault="00700EAE">
      <w:pPr>
        <w:pStyle w:val="FootnoteText"/>
      </w:pPr>
      <w:r>
        <w:rPr>
          <w:rStyle w:val="FootnoteReference"/>
        </w:rPr>
        <w:footnoteRef/>
      </w:r>
      <w:r>
        <w:t xml:space="preserve"> </w:t>
      </w:r>
      <w:r>
        <w:t>Ancient.eu.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9A3EF7"/>
    <w:multiLevelType w:val="hybridMultilevel"/>
    <w:tmpl w:val="C78A8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75E"/>
    <w:rsid w:val="00040E7F"/>
    <w:rsid w:val="0008652B"/>
    <w:rsid w:val="000C2C4B"/>
    <w:rsid w:val="001258BA"/>
    <w:rsid w:val="001456DD"/>
    <w:rsid w:val="001970BE"/>
    <w:rsid w:val="001D3253"/>
    <w:rsid w:val="0020351A"/>
    <w:rsid w:val="00222F70"/>
    <w:rsid w:val="003E6FF4"/>
    <w:rsid w:val="00640BD0"/>
    <w:rsid w:val="00641A2F"/>
    <w:rsid w:val="006F075E"/>
    <w:rsid w:val="006F2EA3"/>
    <w:rsid w:val="00700EAE"/>
    <w:rsid w:val="00717BC2"/>
    <w:rsid w:val="007D6B31"/>
    <w:rsid w:val="008821C4"/>
    <w:rsid w:val="009C1CC0"/>
    <w:rsid w:val="009D5ACB"/>
    <w:rsid w:val="00A03FB2"/>
    <w:rsid w:val="00A152CF"/>
    <w:rsid w:val="00AE3BD4"/>
    <w:rsid w:val="00B92582"/>
    <w:rsid w:val="00C56295"/>
    <w:rsid w:val="00C8172D"/>
    <w:rsid w:val="00CB1C88"/>
    <w:rsid w:val="00D1193F"/>
    <w:rsid w:val="00D274B2"/>
    <w:rsid w:val="00D7360E"/>
    <w:rsid w:val="00D932DA"/>
    <w:rsid w:val="00DD2CD5"/>
    <w:rsid w:val="00DF5F4A"/>
    <w:rsid w:val="00E30AE5"/>
    <w:rsid w:val="00EA2690"/>
    <w:rsid w:val="00ED2DB5"/>
    <w:rsid w:val="00F75F28"/>
    <w:rsid w:val="00FB4320"/>
    <w:rsid w:val="00FC0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063F3"/>
  <w15:chartTrackingRefBased/>
  <w15:docId w15:val="{9680FE87-D769-4CFD-B00C-13CCAB3ED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pacing w:val="20"/>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3BD4"/>
    <w:rPr>
      <w:color w:val="0563C1" w:themeColor="hyperlink"/>
      <w:u w:val="single"/>
    </w:rPr>
  </w:style>
  <w:style w:type="paragraph" w:styleId="ListParagraph">
    <w:name w:val="List Paragraph"/>
    <w:basedOn w:val="Normal"/>
    <w:uiPriority w:val="34"/>
    <w:qFormat/>
    <w:rsid w:val="00F75F28"/>
    <w:pPr>
      <w:ind w:left="720"/>
      <w:contextualSpacing/>
    </w:pPr>
  </w:style>
  <w:style w:type="paragraph" w:styleId="FootnoteText">
    <w:name w:val="footnote text"/>
    <w:basedOn w:val="Normal"/>
    <w:link w:val="FootnoteTextChar"/>
    <w:uiPriority w:val="99"/>
    <w:semiHidden/>
    <w:unhideWhenUsed/>
    <w:rsid w:val="001258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58BA"/>
    <w:rPr>
      <w:sz w:val="20"/>
      <w:szCs w:val="20"/>
    </w:rPr>
  </w:style>
  <w:style w:type="character" w:styleId="FootnoteReference">
    <w:name w:val="footnote reference"/>
    <w:basedOn w:val="DefaultParagraphFont"/>
    <w:uiPriority w:val="99"/>
    <w:semiHidden/>
    <w:unhideWhenUsed/>
    <w:rsid w:val="001258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bleresources.americanbible.org/resource/education-in-hellenis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ncient.eu/timeline/Seleucid_Emp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B5269-A431-497C-9350-3C30A8198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7</Pages>
  <Words>1043</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Orme</dc:creator>
  <cp:keywords/>
  <dc:description/>
  <cp:lastModifiedBy>Molly Orme</cp:lastModifiedBy>
  <cp:revision>9</cp:revision>
  <dcterms:created xsi:type="dcterms:W3CDTF">2018-02-11T14:35:00Z</dcterms:created>
  <dcterms:modified xsi:type="dcterms:W3CDTF">2018-02-13T15:32:00Z</dcterms:modified>
</cp:coreProperties>
</file>