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803D16" w14:textId="6D4C467F" w:rsidR="002A3F78" w:rsidRPr="00FE05FD" w:rsidRDefault="00F70402" w:rsidP="002A3F78">
      <w:pPr>
        <w:spacing w:after="0" w:line="240" w:lineRule="auto"/>
        <w:jc w:val="both"/>
        <w:rPr>
          <w:rFonts w:ascii="Tahoma" w:hAnsi="Tahoma" w:cs="Tahoma"/>
          <w:b/>
          <w:sz w:val="20"/>
          <w:szCs w:val="20"/>
        </w:rPr>
      </w:pPr>
      <w:r w:rsidRPr="00FE05FD">
        <w:rPr>
          <w:rFonts w:ascii="Tahoma" w:hAnsi="Tahoma" w:cs="Tahoma"/>
          <w:b/>
          <w:sz w:val="20"/>
          <w:szCs w:val="20"/>
        </w:rPr>
        <w:t>Introduction to the Field</w:t>
      </w:r>
    </w:p>
    <w:p w14:paraId="2A1D3546" w14:textId="77777777" w:rsidR="002122E8" w:rsidRDefault="002122E8" w:rsidP="002A3F78">
      <w:pPr>
        <w:spacing w:after="0" w:line="240" w:lineRule="auto"/>
        <w:jc w:val="both"/>
        <w:rPr>
          <w:rFonts w:ascii="Tahoma" w:hAnsi="Tahoma" w:cs="Tahoma"/>
          <w:color w:val="000000" w:themeColor="text1"/>
          <w:sz w:val="20"/>
          <w:szCs w:val="20"/>
        </w:rPr>
      </w:pPr>
    </w:p>
    <w:p w14:paraId="15BF1E6A" w14:textId="62CFFAB0" w:rsidR="002122E8" w:rsidRDefault="00CE3407" w:rsidP="002A3F78">
      <w:pPr>
        <w:spacing w:after="0" w:line="240" w:lineRule="auto"/>
        <w:jc w:val="both"/>
        <w:rPr>
          <w:rFonts w:ascii="Tahoma" w:hAnsi="Tahoma" w:cs="Tahoma"/>
          <w:color w:val="000000" w:themeColor="text1"/>
          <w:sz w:val="20"/>
          <w:szCs w:val="20"/>
        </w:rPr>
      </w:pPr>
      <w:r>
        <w:rPr>
          <w:rFonts w:ascii="Tahoma" w:hAnsi="Tahoma" w:cs="Tahoma"/>
          <w:color w:val="000000" w:themeColor="text1"/>
          <w:sz w:val="20"/>
          <w:szCs w:val="20"/>
        </w:rPr>
        <w:t>Reference list for Graveyard survey</w:t>
      </w:r>
      <w:bookmarkStart w:id="0" w:name="_GoBack"/>
      <w:bookmarkEnd w:id="0"/>
    </w:p>
    <w:p w14:paraId="2CF0060F" w14:textId="77777777" w:rsidR="002122E8" w:rsidRDefault="002122E8" w:rsidP="002A3F78">
      <w:pPr>
        <w:spacing w:after="0" w:line="240" w:lineRule="auto"/>
        <w:jc w:val="both"/>
        <w:rPr>
          <w:rFonts w:ascii="Tahoma" w:hAnsi="Tahoma" w:cs="Tahoma"/>
          <w:color w:val="000000" w:themeColor="text1"/>
          <w:sz w:val="20"/>
          <w:szCs w:val="20"/>
        </w:rPr>
      </w:pPr>
    </w:p>
    <w:p w14:paraId="27607648" w14:textId="77777777" w:rsidR="00C34CC7" w:rsidRPr="00041276" w:rsidRDefault="00C34CC7" w:rsidP="002A3F78">
      <w:pPr>
        <w:spacing w:after="0" w:line="240" w:lineRule="auto"/>
        <w:jc w:val="both"/>
      </w:pPr>
      <w:proofErr w:type="spellStart"/>
      <w:r w:rsidRPr="00041276">
        <w:t>Bellantoni</w:t>
      </w:r>
      <w:proofErr w:type="spellEnd"/>
      <w:r w:rsidRPr="00041276">
        <w:t xml:space="preserve">, N. F. &amp; Poirier, David A. (1997). </w:t>
      </w:r>
      <w:r w:rsidRPr="00041276">
        <w:rPr>
          <w:i/>
          <w:iCs/>
        </w:rPr>
        <w:t>In remembrance: Archaeology and death</w:t>
      </w:r>
      <w:r w:rsidRPr="00041276">
        <w:t>. Westport, Conn.: Bergin &amp; Garvey.</w:t>
      </w:r>
    </w:p>
    <w:p w14:paraId="288A1A52" w14:textId="77777777" w:rsidR="00C34CC7" w:rsidRPr="00041276" w:rsidRDefault="00C34CC7" w:rsidP="002A3F78">
      <w:pPr>
        <w:spacing w:after="0" w:line="240" w:lineRule="auto"/>
        <w:jc w:val="both"/>
      </w:pPr>
    </w:p>
    <w:p w14:paraId="461454F0" w14:textId="72552952" w:rsidR="00C34CC7" w:rsidRPr="00041276" w:rsidRDefault="00C34CC7" w:rsidP="002A3F78">
      <w:pPr>
        <w:spacing w:after="0" w:line="240" w:lineRule="auto"/>
        <w:jc w:val="both"/>
      </w:pPr>
      <w:r w:rsidRPr="00041276">
        <w:t xml:space="preserve">Chapman, R. </w:t>
      </w:r>
      <w:proofErr w:type="spellStart"/>
      <w:r w:rsidRPr="00041276">
        <w:t>Kinnes</w:t>
      </w:r>
      <w:proofErr w:type="spellEnd"/>
      <w:r w:rsidRPr="00041276">
        <w:t xml:space="preserve">, I. &amp; </w:t>
      </w:r>
      <w:proofErr w:type="spellStart"/>
      <w:r w:rsidRPr="00041276">
        <w:t>Randsborg</w:t>
      </w:r>
      <w:proofErr w:type="spellEnd"/>
      <w:r w:rsidRPr="00041276">
        <w:t xml:space="preserve">, K. (2009). </w:t>
      </w:r>
      <w:r w:rsidRPr="00041276">
        <w:rPr>
          <w:i/>
          <w:iCs/>
        </w:rPr>
        <w:t>The archaeology of death</w:t>
      </w:r>
      <w:r w:rsidRPr="00041276">
        <w:t xml:space="preserve"> (Digitally printed version. ed., </w:t>
      </w:r>
      <w:proofErr w:type="gramStart"/>
      <w:r w:rsidRPr="00041276">
        <w:t>New</w:t>
      </w:r>
      <w:proofErr w:type="gramEnd"/>
      <w:r w:rsidRPr="00041276">
        <w:t xml:space="preserve"> directions in archaeology). Cambridge: Cambridge University Press.</w:t>
      </w:r>
    </w:p>
    <w:p w14:paraId="481F31D7" w14:textId="77777777" w:rsidR="00C34CC7" w:rsidRPr="00041276" w:rsidRDefault="00C34CC7" w:rsidP="002A3F78">
      <w:pPr>
        <w:spacing w:after="0" w:line="240" w:lineRule="auto"/>
        <w:jc w:val="both"/>
      </w:pPr>
    </w:p>
    <w:p w14:paraId="3AA6812C" w14:textId="150B48F7" w:rsidR="00C34CC7" w:rsidRPr="00041276" w:rsidRDefault="00C34CC7" w:rsidP="002A3F78">
      <w:pPr>
        <w:spacing w:after="0" w:line="240" w:lineRule="auto"/>
        <w:jc w:val="both"/>
      </w:pPr>
      <w:r w:rsidRPr="00041276">
        <w:t xml:space="preserve">Davies, D. (2002). </w:t>
      </w:r>
      <w:r w:rsidRPr="00041276">
        <w:rPr>
          <w:i/>
          <w:iCs/>
        </w:rPr>
        <w:t>Death, ritual and belief: The rhetoric of funerary rites</w:t>
      </w:r>
      <w:r w:rsidRPr="00041276">
        <w:t xml:space="preserve"> (2nd </w:t>
      </w:r>
      <w:proofErr w:type="gramStart"/>
      <w:r w:rsidRPr="00041276">
        <w:t>ed</w:t>
      </w:r>
      <w:proofErr w:type="gramEnd"/>
      <w:r w:rsidRPr="00041276">
        <w:t>.). London: Continuum.</w:t>
      </w:r>
    </w:p>
    <w:p w14:paraId="55208DC2" w14:textId="77777777" w:rsidR="00C34CC7" w:rsidRPr="00041276" w:rsidRDefault="00C34CC7" w:rsidP="002A3F78">
      <w:pPr>
        <w:spacing w:after="0" w:line="240" w:lineRule="auto"/>
        <w:jc w:val="both"/>
      </w:pPr>
    </w:p>
    <w:p w14:paraId="20B646BC" w14:textId="77777777" w:rsidR="00C34CC7" w:rsidRPr="00041276" w:rsidRDefault="00C34CC7" w:rsidP="002A3F78">
      <w:pPr>
        <w:spacing w:after="0" w:line="240" w:lineRule="auto"/>
        <w:jc w:val="both"/>
      </w:pPr>
      <w:r w:rsidRPr="00041276">
        <w:t xml:space="preserve">Gregory, D. (2002). </w:t>
      </w:r>
      <w:r w:rsidRPr="00041276">
        <w:rPr>
          <w:i/>
          <w:iCs/>
        </w:rPr>
        <w:t>Country churchyards in Wales</w:t>
      </w:r>
      <w:r w:rsidRPr="00041276">
        <w:t xml:space="preserve"> (New </w:t>
      </w:r>
      <w:proofErr w:type="gramStart"/>
      <w:r w:rsidRPr="00041276">
        <w:t>ed</w:t>
      </w:r>
      <w:proofErr w:type="gramEnd"/>
      <w:r w:rsidRPr="00041276">
        <w:t xml:space="preserve">.). </w:t>
      </w:r>
      <w:proofErr w:type="spellStart"/>
      <w:r w:rsidRPr="00041276">
        <w:t>Llanrwst</w:t>
      </w:r>
      <w:proofErr w:type="spellEnd"/>
      <w:r w:rsidRPr="00041276">
        <w:t xml:space="preserve">: </w:t>
      </w:r>
      <w:proofErr w:type="spellStart"/>
      <w:r w:rsidRPr="00041276">
        <w:t>Carreg</w:t>
      </w:r>
      <w:proofErr w:type="spellEnd"/>
      <w:r w:rsidRPr="00041276">
        <w:t xml:space="preserve"> </w:t>
      </w:r>
      <w:proofErr w:type="spellStart"/>
      <w:r w:rsidRPr="00041276">
        <w:t>Gwalch</w:t>
      </w:r>
      <w:proofErr w:type="spellEnd"/>
      <w:r w:rsidRPr="00041276">
        <w:t>.</w:t>
      </w:r>
    </w:p>
    <w:p w14:paraId="5CEB40BD" w14:textId="77777777" w:rsidR="00C34CC7" w:rsidRPr="00041276" w:rsidRDefault="00C34CC7" w:rsidP="002A3F78">
      <w:pPr>
        <w:spacing w:after="0" w:line="240" w:lineRule="auto"/>
        <w:jc w:val="both"/>
      </w:pPr>
    </w:p>
    <w:p w14:paraId="0BC4544B" w14:textId="77777777" w:rsidR="00C34CC7" w:rsidRPr="00041276" w:rsidRDefault="00C34CC7" w:rsidP="002A3F78">
      <w:pPr>
        <w:spacing w:after="0" w:line="240" w:lineRule="auto"/>
        <w:jc w:val="both"/>
        <w:rPr>
          <w:b/>
        </w:rPr>
      </w:pPr>
      <w:proofErr w:type="spellStart"/>
      <w:r w:rsidRPr="00041276">
        <w:rPr>
          <w:b/>
        </w:rPr>
        <w:t>Mytum</w:t>
      </w:r>
      <w:proofErr w:type="spellEnd"/>
      <w:r w:rsidRPr="00041276">
        <w:rPr>
          <w:b/>
        </w:rPr>
        <w:t xml:space="preserve">, H. (2000). </w:t>
      </w:r>
      <w:r w:rsidRPr="00041276">
        <w:rPr>
          <w:b/>
          <w:i/>
          <w:iCs/>
        </w:rPr>
        <w:t>Recording and analysing graveyards</w:t>
      </w:r>
      <w:r w:rsidRPr="00041276">
        <w:rPr>
          <w:b/>
        </w:rPr>
        <w:t xml:space="preserve"> (Practical handbooks in archaeology 15). York: Council for British Archaeology in association with English Heritage.</w:t>
      </w:r>
    </w:p>
    <w:p w14:paraId="481F76C4" w14:textId="77777777" w:rsidR="00C34CC7" w:rsidRPr="00041276" w:rsidRDefault="00C34CC7" w:rsidP="002A3F78">
      <w:pPr>
        <w:spacing w:after="0" w:line="240" w:lineRule="auto"/>
        <w:jc w:val="both"/>
        <w:rPr>
          <w:rFonts w:ascii="Tahoma" w:hAnsi="Tahoma" w:cs="Tahoma"/>
          <w:b/>
          <w:color w:val="000000" w:themeColor="text1"/>
        </w:rPr>
      </w:pPr>
    </w:p>
    <w:p w14:paraId="05E28B5B" w14:textId="77777777" w:rsidR="00C34CC7" w:rsidRPr="00041276" w:rsidRDefault="00C34CC7" w:rsidP="002A3F78">
      <w:pPr>
        <w:spacing w:after="0" w:line="240" w:lineRule="auto"/>
        <w:jc w:val="both"/>
      </w:pPr>
      <w:proofErr w:type="spellStart"/>
      <w:r w:rsidRPr="00041276">
        <w:t>Mytum</w:t>
      </w:r>
      <w:proofErr w:type="spellEnd"/>
      <w:r w:rsidRPr="00041276">
        <w:t xml:space="preserve">, H. (2004). </w:t>
      </w:r>
      <w:r w:rsidRPr="00041276">
        <w:rPr>
          <w:i/>
          <w:iCs/>
        </w:rPr>
        <w:t>Mortuary monuments and burial grounds of the historic period</w:t>
      </w:r>
      <w:r w:rsidRPr="00041276">
        <w:t xml:space="preserve"> (Manuals in archaeological method, theory, and technique). New York: Kluwer Academic/Plenum.</w:t>
      </w:r>
    </w:p>
    <w:p w14:paraId="7A1C0A73" w14:textId="77777777" w:rsidR="00C34CC7" w:rsidRPr="00041276" w:rsidRDefault="00C34CC7" w:rsidP="002A3F78">
      <w:pPr>
        <w:spacing w:after="0" w:line="240" w:lineRule="auto"/>
        <w:jc w:val="both"/>
      </w:pPr>
    </w:p>
    <w:p w14:paraId="12C740F5" w14:textId="7BE6D237" w:rsidR="00041276" w:rsidRPr="00041276" w:rsidRDefault="00C34CC7" w:rsidP="002A3F78">
      <w:pPr>
        <w:spacing w:after="0" w:line="240" w:lineRule="auto"/>
        <w:jc w:val="both"/>
      </w:pPr>
      <w:proofErr w:type="spellStart"/>
      <w:r w:rsidRPr="00041276">
        <w:t>Oosten</w:t>
      </w:r>
      <w:proofErr w:type="spellEnd"/>
      <w:r w:rsidRPr="00041276">
        <w:t xml:space="preserve">, </w:t>
      </w:r>
      <w:proofErr w:type="spellStart"/>
      <w:r w:rsidRPr="00041276">
        <w:t>Roos</w:t>
      </w:r>
      <w:proofErr w:type="spellEnd"/>
      <w:r w:rsidRPr="00041276">
        <w:t xml:space="preserve"> van, Ed. (2018). </w:t>
      </w:r>
      <w:r w:rsidRPr="00041276">
        <w:rPr>
          <w:i/>
          <w:iCs/>
        </w:rPr>
        <w:t>The urban graveyard: Archaeological perspectives</w:t>
      </w:r>
      <w:r w:rsidRPr="00041276">
        <w:t xml:space="preserve"> (Urban graveyard proceedings; 2).</w:t>
      </w:r>
    </w:p>
    <w:p w14:paraId="20C9E866" w14:textId="74A3CE84" w:rsidR="00C34CC7" w:rsidRPr="00041276" w:rsidRDefault="00041276" w:rsidP="00041276">
      <w:pPr>
        <w:pStyle w:val="NormalWeb"/>
        <w:rPr>
          <w:sz w:val="22"/>
          <w:szCs w:val="22"/>
        </w:rPr>
      </w:pPr>
      <w:r w:rsidRPr="00041276">
        <w:rPr>
          <w:rFonts w:ascii="Calibri" w:hAnsi="Calibri"/>
          <w:color w:val="000000"/>
          <w:sz w:val="22"/>
          <w:szCs w:val="22"/>
        </w:rPr>
        <w:t xml:space="preserve">Pearson, M. (1999). </w:t>
      </w:r>
      <w:r w:rsidRPr="00041276">
        <w:rPr>
          <w:rStyle w:val="Emphasis"/>
          <w:rFonts w:ascii="Calibri" w:hAnsi="Calibri"/>
          <w:color w:val="000000"/>
          <w:sz w:val="22"/>
          <w:szCs w:val="22"/>
        </w:rPr>
        <w:t>The Archaeology of Death and Burial</w:t>
      </w:r>
      <w:r w:rsidRPr="00041276">
        <w:rPr>
          <w:rFonts w:ascii="Calibri" w:hAnsi="Calibri"/>
          <w:color w:val="000000"/>
          <w:sz w:val="22"/>
          <w:szCs w:val="22"/>
        </w:rPr>
        <w:t>.  Stroud, Gloucestershire: Sutton Publishing Ltd.</w:t>
      </w:r>
    </w:p>
    <w:p w14:paraId="6EE6B21B" w14:textId="68048E84" w:rsidR="00C34CC7" w:rsidRPr="00041276" w:rsidRDefault="00C34CC7" w:rsidP="002A3F78">
      <w:pPr>
        <w:spacing w:after="0" w:line="240" w:lineRule="auto"/>
        <w:jc w:val="both"/>
      </w:pPr>
      <w:r w:rsidRPr="00041276">
        <w:t xml:space="preserve">Roberts, A. (2002). </w:t>
      </w:r>
      <w:r w:rsidRPr="00041276">
        <w:rPr>
          <w:i/>
          <w:iCs/>
        </w:rPr>
        <w:t xml:space="preserve">Discovering Welsh </w:t>
      </w:r>
      <w:r w:rsidR="00041276">
        <w:rPr>
          <w:i/>
          <w:iCs/>
        </w:rPr>
        <w:t>G</w:t>
      </w:r>
      <w:r w:rsidRPr="00041276">
        <w:rPr>
          <w:i/>
          <w:iCs/>
        </w:rPr>
        <w:t>raves</w:t>
      </w:r>
      <w:r w:rsidRPr="00041276">
        <w:t xml:space="preserve"> (A Pocket guide). Cardiff: University of Wales Press: Western Mail.</w:t>
      </w:r>
    </w:p>
    <w:p w14:paraId="7CE54607" w14:textId="77777777" w:rsidR="00C34CC7" w:rsidRPr="00041276" w:rsidRDefault="00C34CC7" w:rsidP="002A3F78">
      <w:pPr>
        <w:spacing w:after="0" w:line="240" w:lineRule="auto"/>
        <w:jc w:val="both"/>
      </w:pPr>
    </w:p>
    <w:p w14:paraId="234BA873" w14:textId="349E117F" w:rsidR="00C34CC7" w:rsidRPr="00041276" w:rsidRDefault="00C34CC7" w:rsidP="002A3F78">
      <w:pPr>
        <w:spacing w:after="0" w:line="240" w:lineRule="auto"/>
        <w:jc w:val="both"/>
        <w:rPr>
          <w:rStyle w:val="exldetailsdisplayval"/>
        </w:rPr>
      </w:pPr>
      <w:r w:rsidRPr="00041276">
        <w:t xml:space="preserve">Stanford, P. (2014). </w:t>
      </w:r>
      <w:r w:rsidRPr="00041276">
        <w:rPr>
          <w:i/>
          <w:iCs/>
        </w:rPr>
        <w:t xml:space="preserve">How to </w:t>
      </w:r>
      <w:r w:rsidR="00041276">
        <w:rPr>
          <w:i/>
          <w:iCs/>
        </w:rPr>
        <w:t>R</w:t>
      </w:r>
      <w:r w:rsidRPr="00041276">
        <w:rPr>
          <w:i/>
          <w:iCs/>
        </w:rPr>
        <w:t xml:space="preserve">ead a </w:t>
      </w:r>
      <w:r w:rsidR="00041276">
        <w:rPr>
          <w:i/>
          <w:iCs/>
        </w:rPr>
        <w:t>G</w:t>
      </w:r>
      <w:r w:rsidRPr="00041276">
        <w:rPr>
          <w:i/>
          <w:iCs/>
        </w:rPr>
        <w:t>raveyard: Journeys in the company of the dead</w:t>
      </w:r>
      <w:r w:rsidRPr="00041276">
        <w:t xml:space="preserve">. </w:t>
      </w:r>
      <w:r w:rsidRPr="00041276">
        <w:rPr>
          <w:rStyle w:val="exldetailsdisplayval"/>
        </w:rPr>
        <w:t>London: Bloomsbury</w:t>
      </w:r>
    </w:p>
    <w:p w14:paraId="6FC7D31A" w14:textId="77777777" w:rsidR="00C34CC7" w:rsidRPr="00041276" w:rsidRDefault="00C34CC7" w:rsidP="002A3F78">
      <w:pPr>
        <w:spacing w:after="0" w:line="240" w:lineRule="auto"/>
        <w:jc w:val="both"/>
        <w:rPr>
          <w:rStyle w:val="exldetailsdisplayval"/>
        </w:rPr>
      </w:pPr>
    </w:p>
    <w:p w14:paraId="5FFA9005" w14:textId="25A9366F" w:rsidR="00C34CC7" w:rsidRPr="00041276" w:rsidRDefault="00C34CC7" w:rsidP="002A3F78">
      <w:pPr>
        <w:spacing w:after="0" w:line="240" w:lineRule="auto"/>
        <w:jc w:val="both"/>
        <w:rPr>
          <w:rStyle w:val="exldetailsdisplayval"/>
        </w:rPr>
      </w:pPr>
      <w:r w:rsidRPr="00041276">
        <w:t xml:space="preserve">Tarlow, S., &amp; Nilsson Stutz, L. (2013). </w:t>
      </w:r>
      <w:r w:rsidRPr="00041276">
        <w:rPr>
          <w:i/>
          <w:iCs/>
        </w:rPr>
        <w:t>The Oxford handbook of the archaeology of death and burial</w:t>
      </w:r>
      <w:r w:rsidRPr="00041276">
        <w:t xml:space="preserve"> (Oxford handbooks in archaeology). Oxford: Oxford University press.</w:t>
      </w:r>
    </w:p>
    <w:p w14:paraId="3151E9D4" w14:textId="77777777" w:rsidR="002122E8" w:rsidRPr="00ED3C8E" w:rsidRDefault="002122E8" w:rsidP="002A3F78">
      <w:pPr>
        <w:spacing w:after="0" w:line="240" w:lineRule="auto"/>
        <w:jc w:val="both"/>
        <w:rPr>
          <w:rFonts w:ascii="Tahoma" w:hAnsi="Tahoma" w:cs="Tahoma"/>
          <w:color w:val="000000" w:themeColor="text1"/>
          <w:sz w:val="20"/>
          <w:szCs w:val="20"/>
        </w:rPr>
      </w:pPr>
    </w:p>
    <w:sectPr w:rsidR="002122E8" w:rsidRPr="00ED3C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AC44A4E"/>
    <w:multiLevelType w:val="hybridMultilevel"/>
    <w:tmpl w:val="9B6C1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5331D5"/>
    <w:multiLevelType w:val="multilevel"/>
    <w:tmpl w:val="04322AB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5E8C7842"/>
    <w:multiLevelType w:val="hybridMultilevel"/>
    <w:tmpl w:val="C02CD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0B172C"/>
    <w:multiLevelType w:val="hybridMultilevel"/>
    <w:tmpl w:val="C32610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3F78"/>
    <w:rsid w:val="00041276"/>
    <w:rsid w:val="002122E8"/>
    <w:rsid w:val="002A3F78"/>
    <w:rsid w:val="004B557C"/>
    <w:rsid w:val="00A1283C"/>
    <w:rsid w:val="00AA119B"/>
    <w:rsid w:val="00C34CC7"/>
    <w:rsid w:val="00CE3407"/>
    <w:rsid w:val="00ED3C8E"/>
    <w:rsid w:val="00F70402"/>
    <w:rsid w:val="00FE05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CFCEA"/>
  <w15:chartTrackingRefBased/>
  <w15:docId w15:val="{FB42B56E-77CA-42FE-9F75-A9F67262E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3F7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A3F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A3F78"/>
    <w:pPr>
      <w:spacing w:after="0" w:line="240" w:lineRule="auto"/>
      <w:ind w:left="720"/>
    </w:pPr>
    <w:rPr>
      <w:rFonts w:ascii="Calibri" w:eastAsiaTheme="minorEastAsia" w:hAnsi="Calibri" w:cs="Times New Roman"/>
    </w:rPr>
  </w:style>
  <w:style w:type="character" w:styleId="Hyperlink">
    <w:name w:val="Hyperlink"/>
    <w:basedOn w:val="DefaultParagraphFont"/>
    <w:uiPriority w:val="99"/>
    <w:unhideWhenUsed/>
    <w:rsid w:val="002A3F78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2E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2E8"/>
    <w:rPr>
      <w:rFonts w:ascii="Segoe UI" w:hAnsi="Segoe UI" w:cs="Segoe UI"/>
      <w:sz w:val="18"/>
      <w:szCs w:val="18"/>
    </w:rPr>
  </w:style>
  <w:style w:type="character" w:customStyle="1" w:styleId="exldetailsdisplayval">
    <w:name w:val="exldetailsdisplayval"/>
    <w:basedOn w:val="DefaultParagraphFont"/>
    <w:rsid w:val="002122E8"/>
  </w:style>
  <w:style w:type="character" w:styleId="Emphasis">
    <w:name w:val="Emphasis"/>
    <w:basedOn w:val="DefaultParagraphFont"/>
    <w:uiPriority w:val="20"/>
    <w:qFormat/>
    <w:rsid w:val="0004127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6191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1278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Bates</dc:creator>
  <cp:keywords/>
  <dc:description/>
  <cp:lastModifiedBy>Ros Coard</cp:lastModifiedBy>
  <cp:revision>2</cp:revision>
  <cp:lastPrinted>2018-09-07T09:25:00Z</cp:lastPrinted>
  <dcterms:created xsi:type="dcterms:W3CDTF">2018-09-13T12:55:00Z</dcterms:created>
  <dcterms:modified xsi:type="dcterms:W3CDTF">2018-09-13T12:55:00Z</dcterms:modified>
</cp:coreProperties>
</file>