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8455039"/>
        <w:docPartObj>
          <w:docPartGallery w:val="Cover Pages"/>
          <w:docPartUnique/>
        </w:docPartObj>
      </w:sdtPr>
      <w:sdtEndPr>
        <w:rPr>
          <w:rFonts w:ascii="Arial" w:eastAsia="Arial" w:hAnsi="Arial"/>
          <w:sz w:val="21"/>
        </w:rPr>
      </w:sdtEndPr>
      <w:sdtContent>
        <w:p w14:paraId="6A2C0653" w14:textId="7050A891" w:rsidR="00553A39" w:rsidRDefault="00553A39">
          <w:pPr>
            <w:pStyle w:val="NoSpacing"/>
          </w:pPr>
          <w:r>
            <w:rPr>
              <w:noProof/>
            </w:rPr>
            <mc:AlternateContent>
              <mc:Choice Requires="wpg">
                <w:drawing>
                  <wp:anchor distT="0" distB="0" distL="114300" distR="114300" simplePos="0" relativeHeight="251653632" behindDoc="1" locked="0" layoutInCell="1" allowOverlap="1" wp14:anchorId="35FB9570" wp14:editId="0FA0CA2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BB60F64" w14:textId="77777777" w:rsidR="00553A39" w:rsidRDefault="00553A39">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FB9570" id="Group 26" o:spid="_x0000_s1026" style="position:absolute;margin-left:0;margin-top:0;width:172.8pt;height:718.55pt;z-index:-2516628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BB60F64" w14:textId="77777777" w:rsidR="00553A39" w:rsidRDefault="00553A39">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DD268A6" w14:textId="27408193" w:rsidR="00553A39" w:rsidRDefault="00553A39">
          <w:r>
            <w:rPr>
              <w:noProof/>
            </w:rPr>
            <mc:AlternateContent>
              <mc:Choice Requires="wps">
                <w:drawing>
                  <wp:anchor distT="0" distB="0" distL="114300" distR="114300" simplePos="0" relativeHeight="251658752" behindDoc="0" locked="0" layoutInCell="1" allowOverlap="1" wp14:anchorId="5B931714" wp14:editId="6F67B0BB">
                    <wp:simplePos x="0" y="0"/>
                    <wp:positionH relativeFrom="page">
                      <wp:posOffset>2705100</wp:posOffset>
                    </wp:positionH>
                    <wp:positionV relativeFrom="page">
                      <wp:posOffset>2034540</wp:posOffset>
                    </wp:positionV>
                    <wp:extent cx="4968240" cy="5171888"/>
                    <wp:effectExtent l="0" t="0" r="3810" b="10160"/>
                    <wp:wrapNone/>
                    <wp:docPr id="1" name="Text Box 30"/>
                    <wp:cNvGraphicFramePr/>
                    <a:graphic xmlns:a="http://schemas.openxmlformats.org/drawingml/2006/main">
                      <a:graphicData uri="http://schemas.microsoft.com/office/word/2010/wordprocessingShape">
                        <wps:wsp>
                          <wps:cNvSpPr txBox="1"/>
                          <wps:spPr>
                            <a:xfrm>
                              <a:off x="0" y="0"/>
                              <a:ext cx="4968240" cy="51718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73C75" w14:textId="00D673E2" w:rsidR="00553A39" w:rsidRPr="00553A39" w:rsidRDefault="00553A39">
                                <w:pPr>
                                  <w:spacing w:before="120"/>
                                  <w:rPr>
                                    <w:color w:val="404040" w:themeColor="text1" w:themeTint="BF"/>
                                    <w:sz w:val="28"/>
                                    <w:szCs w:val="28"/>
                                  </w:rPr>
                                </w:pPr>
                                <w:sdt>
                                  <w:sdtPr>
                                    <w:rPr>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28"/>
                                        <w:szCs w:val="28"/>
                                      </w:rPr>
                                      <w:t xml:space="preserve">     </w:t>
                                    </w:r>
                                  </w:sdtContent>
                                </w:sdt>
                              </w:p>
                              <w:p w14:paraId="3008F6C6" w14:textId="77F3F2C3"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Student name</w:t>
                                </w:r>
                                <w:r w:rsidR="00EB2C11">
                                  <w:rPr>
                                    <w:color w:val="404040" w:themeColor="text1" w:themeTint="BF"/>
                                    <w:sz w:val="28"/>
                                    <w:szCs w:val="28"/>
                                  </w:rPr>
                                  <w:t>:</w:t>
                                </w:r>
                                <w:r w:rsidRPr="00553A39">
                                  <w:rPr>
                                    <w:color w:val="404040" w:themeColor="text1" w:themeTint="BF"/>
                                    <w:sz w:val="28"/>
                                    <w:szCs w:val="28"/>
                                  </w:rPr>
                                  <w:tab/>
                                </w:r>
                                <w:r w:rsidRPr="00553A39">
                                  <w:rPr>
                                    <w:color w:val="404040" w:themeColor="text1" w:themeTint="BF"/>
                                    <w:sz w:val="28"/>
                                    <w:szCs w:val="28"/>
                                  </w:rPr>
                                  <w:tab/>
                                </w:r>
                                <w:r w:rsidRPr="00553A39">
                                  <w:rPr>
                                    <w:color w:val="404040" w:themeColor="text1" w:themeTint="BF"/>
                                    <w:sz w:val="28"/>
                                    <w:szCs w:val="28"/>
                                  </w:rPr>
                                  <w:tab/>
                                  <w:t>Ralph Saramaduo-Hart</w:t>
                                </w:r>
                              </w:p>
                              <w:p w14:paraId="62EFD0CF" w14:textId="64B5145B"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Student ID number</w:t>
                                </w:r>
                                <w:r w:rsidR="00EB2C11">
                                  <w:rPr>
                                    <w:color w:val="404040" w:themeColor="text1" w:themeTint="BF"/>
                                    <w:sz w:val="28"/>
                                    <w:szCs w:val="28"/>
                                  </w:rPr>
                                  <w:t>:</w:t>
                                </w:r>
                                <w:r w:rsidRPr="00553A39">
                                  <w:rPr>
                                    <w:color w:val="404040" w:themeColor="text1" w:themeTint="BF"/>
                                    <w:sz w:val="28"/>
                                    <w:szCs w:val="28"/>
                                  </w:rPr>
                                  <w:tab/>
                                </w:r>
                                <w:r w:rsidRPr="00553A39">
                                  <w:rPr>
                                    <w:color w:val="404040" w:themeColor="text1" w:themeTint="BF"/>
                                    <w:sz w:val="28"/>
                                    <w:szCs w:val="28"/>
                                  </w:rPr>
                                  <w:tab/>
                                  <w:t>2411210</w:t>
                                </w:r>
                              </w:p>
                              <w:p w14:paraId="252A8EF6" w14:textId="77777777"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Programme:</w:t>
                                </w:r>
                                <w:r w:rsidRPr="00553A39">
                                  <w:rPr>
                                    <w:color w:val="404040" w:themeColor="text1" w:themeTint="BF"/>
                                    <w:sz w:val="28"/>
                                    <w:szCs w:val="28"/>
                                  </w:rPr>
                                  <w:tab/>
                                </w:r>
                                <w:r w:rsidRPr="00553A39">
                                  <w:rPr>
                                    <w:color w:val="404040" w:themeColor="text1" w:themeTint="BF"/>
                                    <w:sz w:val="28"/>
                                    <w:szCs w:val="28"/>
                                  </w:rPr>
                                  <w:tab/>
                                </w:r>
                                <w:r w:rsidRPr="00553A39">
                                  <w:rPr>
                                    <w:color w:val="404040" w:themeColor="text1" w:themeTint="BF"/>
                                    <w:sz w:val="28"/>
                                    <w:szCs w:val="28"/>
                                  </w:rPr>
                                  <w:tab/>
                                  <w:t>BSc Applied Computing</w:t>
                                </w:r>
                              </w:p>
                              <w:p w14:paraId="6CBB2D36" w14:textId="4BFCA97F" w:rsidR="00553A39" w:rsidRPr="00553A39" w:rsidRDefault="00553A39" w:rsidP="00553A39">
                                <w:pPr>
                                  <w:spacing w:before="120"/>
                                  <w:ind w:left="3600" w:hanging="3600"/>
                                  <w:rPr>
                                    <w:color w:val="404040" w:themeColor="text1" w:themeTint="BF"/>
                                    <w:sz w:val="28"/>
                                    <w:szCs w:val="28"/>
                                  </w:rPr>
                                </w:pPr>
                                <w:r w:rsidRPr="00553A39">
                                  <w:rPr>
                                    <w:color w:val="404040" w:themeColor="text1" w:themeTint="BF"/>
                                    <w:sz w:val="28"/>
                                    <w:szCs w:val="28"/>
                                  </w:rPr>
                                  <w:t>Module:</w:t>
                                </w:r>
                                <w:r w:rsidR="00EB2C11">
                                  <w:rPr>
                                    <w:color w:val="404040" w:themeColor="text1" w:themeTint="BF"/>
                                    <w:sz w:val="28"/>
                                    <w:szCs w:val="28"/>
                                  </w:rPr>
                                  <w:tab/>
                                </w:r>
                                <w:r w:rsidRPr="00553A39">
                                  <w:rPr>
                                    <w:color w:val="404040" w:themeColor="text1" w:themeTint="BF"/>
                                    <w:sz w:val="28"/>
                                    <w:szCs w:val="28"/>
                                  </w:rPr>
                                  <w:t>Data Security and Compliance Concepts</w:t>
                                </w:r>
                              </w:p>
                              <w:p w14:paraId="63C25325" w14:textId="36FF464D"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Module code:</w:t>
                                </w:r>
                                <w:r w:rsidRPr="00553A39">
                                  <w:rPr>
                                    <w:color w:val="404040" w:themeColor="text1" w:themeTint="BF"/>
                                    <w:sz w:val="28"/>
                                    <w:szCs w:val="28"/>
                                  </w:rPr>
                                  <w:tab/>
                                </w:r>
                                <w:r w:rsidRPr="00553A39">
                                  <w:rPr>
                                    <w:color w:val="404040" w:themeColor="text1" w:themeTint="BF"/>
                                    <w:sz w:val="28"/>
                                    <w:szCs w:val="28"/>
                                  </w:rPr>
                                  <w:tab/>
                                </w:r>
                                <w:r w:rsidR="00EB2C11">
                                  <w:rPr>
                                    <w:color w:val="404040" w:themeColor="text1" w:themeTint="BF"/>
                                    <w:sz w:val="28"/>
                                    <w:szCs w:val="28"/>
                                  </w:rPr>
                                  <w:tab/>
                                </w:r>
                                <w:r w:rsidRPr="00553A39">
                                  <w:rPr>
                                    <w:color w:val="404040" w:themeColor="text1" w:themeTint="BF"/>
                                    <w:sz w:val="28"/>
                                    <w:szCs w:val="28"/>
                                  </w:rPr>
                                  <w:t>ACCA5034</w:t>
                                </w:r>
                              </w:p>
                              <w:p w14:paraId="30FCAD40" w14:textId="7A38D7A7"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Lecturer:</w:t>
                                </w:r>
                                <w:r w:rsidRPr="00553A39">
                                  <w:rPr>
                                    <w:color w:val="404040" w:themeColor="text1" w:themeTint="BF"/>
                                    <w:sz w:val="28"/>
                                    <w:szCs w:val="28"/>
                                  </w:rPr>
                                  <w:tab/>
                                </w:r>
                                <w:r w:rsidRPr="00553A39">
                                  <w:rPr>
                                    <w:color w:val="404040" w:themeColor="text1" w:themeTint="BF"/>
                                    <w:sz w:val="28"/>
                                    <w:szCs w:val="28"/>
                                  </w:rPr>
                                  <w:tab/>
                                </w:r>
                                <w:r w:rsidRPr="00553A39">
                                  <w:rPr>
                                    <w:color w:val="404040" w:themeColor="text1" w:themeTint="BF"/>
                                    <w:sz w:val="28"/>
                                    <w:szCs w:val="28"/>
                                  </w:rPr>
                                  <w:tab/>
                                </w:r>
                                <w:r w:rsidR="00EB2C11">
                                  <w:rPr>
                                    <w:color w:val="404040" w:themeColor="text1" w:themeTint="BF"/>
                                    <w:sz w:val="28"/>
                                    <w:szCs w:val="28"/>
                                  </w:rPr>
                                  <w:tab/>
                                </w:r>
                                <w:r w:rsidRPr="00553A39">
                                  <w:rPr>
                                    <w:color w:val="404040" w:themeColor="text1" w:themeTint="BF"/>
                                    <w:sz w:val="28"/>
                                    <w:szCs w:val="28"/>
                                  </w:rPr>
                                  <w:t>Dr Ayman Al Hajjar</w:t>
                                </w:r>
                              </w:p>
                              <w:p w14:paraId="57892212" w14:textId="71B62025" w:rsidR="00EB2C11" w:rsidRPr="00EB2C11" w:rsidRDefault="00553A39" w:rsidP="00EB2C11">
                                <w:pPr>
                                  <w:spacing w:before="120"/>
                                  <w:rPr>
                                    <w:color w:val="404040" w:themeColor="text1" w:themeTint="BF"/>
                                    <w:sz w:val="28"/>
                                    <w:szCs w:val="28"/>
                                  </w:rPr>
                                </w:pPr>
                                <w:r w:rsidRPr="00553A39">
                                  <w:rPr>
                                    <w:color w:val="404040" w:themeColor="text1" w:themeTint="BF"/>
                                    <w:sz w:val="28"/>
                                    <w:szCs w:val="28"/>
                                  </w:rPr>
                                  <w:t>Assignment title:</w:t>
                                </w:r>
                                <w:r w:rsidRPr="00553A39">
                                  <w:rPr>
                                    <w:color w:val="404040" w:themeColor="text1" w:themeTint="BF"/>
                                    <w:sz w:val="28"/>
                                    <w:szCs w:val="28"/>
                                  </w:rPr>
                                  <w:tab/>
                                  <w:t>`</w:t>
                                </w:r>
                                <w:r w:rsidR="00EB2C11">
                                  <w:rPr>
                                    <w:color w:val="404040" w:themeColor="text1" w:themeTint="BF"/>
                                    <w:sz w:val="28"/>
                                    <w:szCs w:val="28"/>
                                  </w:rPr>
                                  <w:tab/>
                                </w:r>
                                <w:r w:rsidR="00EB2C11">
                                  <w:rPr>
                                    <w:color w:val="404040" w:themeColor="text1" w:themeTint="BF"/>
                                    <w:sz w:val="28"/>
                                    <w:szCs w:val="28"/>
                                  </w:rPr>
                                  <w:tab/>
                                </w:r>
                                <w:r w:rsidR="00EB2C11" w:rsidRPr="00EB2C11">
                                  <w:rPr>
                                    <w:color w:val="404040" w:themeColor="text1" w:themeTint="BF"/>
                                    <w:sz w:val="28"/>
                                    <w:szCs w:val="28"/>
                                  </w:rPr>
                                  <w:t xml:space="preserve">Research and case scenario </w:t>
                                </w:r>
                              </w:p>
                              <w:p w14:paraId="537CAA76" w14:textId="0EB5F500" w:rsidR="00553A39" w:rsidRPr="00553A39" w:rsidRDefault="00EB2C11" w:rsidP="00EB2C11">
                                <w:pPr>
                                  <w:spacing w:before="120"/>
                                  <w:ind w:left="2880" w:firstLine="720"/>
                                  <w:rPr>
                                    <w:color w:val="404040" w:themeColor="text1" w:themeTint="BF"/>
                                    <w:sz w:val="28"/>
                                    <w:szCs w:val="28"/>
                                  </w:rPr>
                                </w:pPr>
                                <w:r w:rsidRPr="00EB2C11">
                                  <w:rPr>
                                    <w:color w:val="404040" w:themeColor="text1" w:themeTint="BF"/>
                                    <w:sz w:val="28"/>
                                    <w:szCs w:val="28"/>
                                  </w:rPr>
                                  <w:t>in Data Security and Compliance</w:t>
                                </w:r>
                                <w:r>
                                  <w:rPr>
                                    <w:color w:val="404040" w:themeColor="text1" w:themeTint="BF"/>
                                    <w:sz w:val="28"/>
                                    <w:szCs w:val="2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931714" id="_x0000_t202" coordsize="21600,21600" o:spt="202" path="m,l,21600r21600,l21600,xe">
                    <v:stroke joinstyle="miter"/>
                    <v:path gradientshapeok="t" o:connecttype="rect"/>
                  </v:shapetype>
                  <v:shape id="Text Box 30" o:spid="_x0000_s1055" type="#_x0000_t202" style="position:absolute;margin-left:213pt;margin-top:160.2pt;width:391.2pt;height:407.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" filled="f" stroked="f" strokeweight=".5pt">
                    <v:textbox inset="0,0,0,0">
                      <w:txbxContent>
                        <w:p w14:paraId="31173C75" w14:textId="00D673E2" w:rsidR="00553A39" w:rsidRPr="00553A39" w:rsidRDefault="00553A39">
                          <w:pPr>
                            <w:spacing w:before="120"/>
                            <w:rPr>
                              <w:color w:val="404040" w:themeColor="text1" w:themeTint="BF"/>
                              <w:sz w:val="28"/>
                              <w:szCs w:val="28"/>
                            </w:rPr>
                          </w:pPr>
                          <w:sdt>
                            <w:sdtPr>
                              <w:rPr>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28"/>
                                  <w:szCs w:val="28"/>
                                </w:rPr>
                                <w:t xml:space="preserve">     </w:t>
                              </w:r>
                            </w:sdtContent>
                          </w:sdt>
                        </w:p>
                        <w:p w14:paraId="3008F6C6" w14:textId="77F3F2C3"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Student name</w:t>
                          </w:r>
                          <w:r w:rsidR="00EB2C11">
                            <w:rPr>
                              <w:color w:val="404040" w:themeColor="text1" w:themeTint="BF"/>
                              <w:sz w:val="28"/>
                              <w:szCs w:val="28"/>
                            </w:rPr>
                            <w:t>:</w:t>
                          </w:r>
                          <w:r w:rsidRPr="00553A39">
                            <w:rPr>
                              <w:color w:val="404040" w:themeColor="text1" w:themeTint="BF"/>
                              <w:sz w:val="28"/>
                              <w:szCs w:val="28"/>
                            </w:rPr>
                            <w:tab/>
                          </w:r>
                          <w:r w:rsidRPr="00553A39">
                            <w:rPr>
                              <w:color w:val="404040" w:themeColor="text1" w:themeTint="BF"/>
                              <w:sz w:val="28"/>
                              <w:szCs w:val="28"/>
                            </w:rPr>
                            <w:tab/>
                          </w:r>
                          <w:r w:rsidRPr="00553A39">
                            <w:rPr>
                              <w:color w:val="404040" w:themeColor="text1" w:themeTint="BF"/>
                              <w:sz w:val="28"/>
                              <w:szCs w:val="28"/>
                            </w:rPr>
                            <w:tab/>
                            <w:t>Ralph Saramaduo-Hart</w:t>
                          </w:r>
                        </w:p>
                        <w:p w14:paraId="62EFD0CF" w14:textId="64B5145B"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Student ID number</w:t>
                          </w:r>
                          <w:r w:rsidR="00EB2C11">
                            <w:rPr>
                              <w:color w:val="404040" w:themeColor="text1" w:themeTint="BF"/>
                              <w:sz w:val="28"/>
                              <w:szCs w:val="28"/>
                            </w:rPr>
                            <w:t>:</w:t>
                          </w:r>
                          <w:r w:rsidRPr="00553A39">
                            <w:rPr>
                              <w:color w:val="404040" w:themeColor="text1" w:themeTint="BF"/>
                              <w:sz w:val="28"/>
                              <w:szCs w:val="28"/>
                            </w:rPr>
                            <w:tab/>
                          </w:r>
                          <w:r w:rsidRPr="00553A39">
                            <w:rPr>
                              <w:color w:val="404040" w:themeColor="text1" w:themeTint="BF"/>
                              <w:sz w:val="28"/>
                              <w:szCs w:val="28"/>
                            </w:rPr>
                            <w:tab/>
                            <w:t>2411210</w:t>
                          </w:r>
                        </w:p>
                        <w:p w14:paraId="252A8EF6" w14:textId="77777777"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Programme:</w:t>
                          </w:r>
                          <w:r w:rsidRPr="00553A39">
                            <w:rPr>
                              <w:color w:val="404040" w:themeColor="text1" w:themeTint="BF"/>
                              <w:sz w:val="28"/>
                              <w:szCs w:val="28"/>
                            </w:rPr>
                            <w:tab/>
                          </w:r>
                          <w:r w:rsidRPr="00553A39">
                            <w:rPr>
                              <w:color w:val="404040" w:themeColor="text1" w:themeTint="BF"/>
                              <w:sz w:val="28"/>
                              <w:szCs w:val="28"/>
                            </w:rPr>
                            <w:tab/>
                          </w:r>
                          <w:r w:rsidRPr="00553A39">
                            <w:rPr>
                              <w:color w:val="404040" w:themeColor="text1" w:themeTint="BF"/>
                              <w:sz w:val="28"/>
                              <w:szCs w:val="28"/>
                            </w:rPr>
                            <w:tab/>
                            <w:t>BSc Applied Computing</w:t>
                          </w:r>
                        </w:p>
                        <w:p w14:paraId="6CBB2D36" w14:textId="4BFCA97F" w:rsidR="00553A39" w:rsidRPr="00553A39" w:rsidRDefault="00553A39" w:rsidP="00553A39">
                          <w:pPr>
                            <w:spacing w:before="120"/>
                            <w:ind w:left="3600" w:hanging="3600"/>
                            <w:rPr>
                              <w:color w:val="404040" w:themeColor="text1" w:themeTint="BF"/>
                              <w:sz w:val="28"/>
                              <w:szCs w:val="28"/>
                            </w:rPr>
                          </w:pPr>
                          <w:r w:rsidRPr="00553A39">
                            <w:rPr>
                              <w:color w:val="404040" w:themeColor="text1" w:themeTint="BF"/>
                              <w:sz w:val="28"/>
                              <w:szCs w:val="28"/>
                            </w:rPr>
                            <w:t>Module:</w:t>
                          </w:r>
                          <w:r w:rsidR="00EB2C11">
                            <w:rPr>
                              <w:color w:val="404040" w:themeColor="text1" w:themeTint="BF"/>
                              <w:sz w:val="28"/>
                              <w:szCs w:val="28"/>
                            </w:rPr>
                            <w:tab/>
                          </w:r>
                          <w:r w:rsidRPr="00553A39">
                            <w:rPr>
                              <w:color w:val="404040" w:themeColor="text1" w:themeTint="BF"/>
                              <w:sz w:val="28"/>
                              <w:szCs w:val="28"/>
                            </w:rPr>
                            <w:t>Data Security and Compliance Concepts</w:t>
                          </w:r>
                        </w:p>
                        <w:p w14:paraId="63C25325" w14:textId="36FF464D"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Module code:</w:t>
                          </w:r>
                          <w:r w:rsidRPr="00553A39">
                            <w:rPr>
                              <w:color w:val="404040" w:themeColor="text1" w:themeTint="BF"/>
                              <w:sz w:val="28"/>
                              <w:szCs w:val="28"/>
                            </w:rPr>
                            <w:tab/>
                          </w:r>
                          <w:r w:rsidRPr="00553A39">
                            <w:rPr>
                              <w:color w:val="404040" w:themeColor="text1" w:themeTint="BF"/>
                              <w:sz w:val="28"/>
                              <w:szCs w:val="28"/>
                            </w:rPr>
                            <w:tab/>
                          </w:r>
                          <w:r w:rsidR="00EB2C11">
                            <w:rPr>
                              <w:color w:val="404040" w:themeColor="text1" w:themeTint="BF"/>
                              <w:sz w:val="28"/>
                              <w:szCs w:val="28"/>
                            </w:rPr>
                            <w:tab/>
                          </w:r>
                          <w:r w:rsidRPr="00553A39">
                            <w:rPr>
                              <w:color w:val="404040" w:themeColor="text1" w:themeTint="BF"/>
                              <w:sz w:val="28"/>
                              <w:szCs w:val="28"/>
                            </w:rPr>
                            <w:t>ACCA5034</w:t>
                          </w:r>
                        </w:p>
                        <w:p w14:paraId="30FCAD40" w14:textId="7A38D7A7" w:rsidR="00553A39" w:rsidRPr="00553A39" w:rsidRDefault="00553A39" w:rsidP="00553A39">
                          <w:pPr>
                            <w:spacing w:before="120"/>
                            <w:rPr>
                              <w:color w:val="404040" w:themeColor="text1" w:themeTint="BF"/>
                              <w:sz w:val="28"/>
                              <w:szCs w:val="28"/>
                            </w:rPr>
                          </w:pPr>
                          <w:r w:rsidRPr="00553A39">
                            <w:rPr>
                              <w:color w:val="404040" w:themeColor="text1" w:themeTint="BF"/>
                              <w:sz w:val="28"/>
                              <w:szCs w:val="28"/>
                            </w:rPr>
                            <w:t>Lecturer:</w:t>
                          </w:r>
                          <w:r w:rsidRPr="00553A39">
                            <w:rPr>
                              <w:color w:val="404040" w:themeColor="text1" w:themeTint="BF"/>
                              <w:sz w:val="28"/>
                              <w:szCs w:val="28"/>
                            </w:rPr>
                            <w:tab/>
                          </w:r>
                          <w:r w:rsidRPr="00553A39">
                            <w:rPr>
                              <w:color w:val="404040" w:themeColor="text1" w:themeTint="BF"/>
                              <w:sz w:val="28"/>
                              <w:szCs w:val="28"/>
                            </w:rPr>
                            <w:tab/>
                          </w:r>
                          <w:r w:rsidRPr="00553A39">
                            <w:rPr>
                              <w:color w:val="404040" w:themeColor="text1" w:themeTint="BF"/>
                              <w:sz w:val="28"/>
                              <w:szCs w:val="28"/>
                            </w:rPr>
                            <w:tab/>
                          </w:r>
                          <w:r w:rsidR="00EB2C11">
                            <w:rPr>
                              <w:color w:val="404040" w:themeColor="text1" w:themeTint="BF"/>
                              <w:sz w:val="28"/>
                              <w:szCs w:val="28"/>
                            </w:rPr>
                            <w:tab/>
                          </w:r>
                          <w:r w:rsidRPr="00553A39">
                            <w:rPr>
                              <w:color w:val="404040" w:themeColor="text1" w:themeTint="BF"/>
                              <w:sz w:val="28"/>
                              <w:szCs w:val="28"/>
                            </w:rPr>
                            <w:t>Dr Ayman Al Hajjar</w:t>
                          </w:r>
                        </w:p>
                        <w:p w14:paraId="57892212" w14:textId="71B62025" w:rsidR="00EB2C11" w:rsidRPr="00EB2C11" w:rsidRDefault="00553A39" w:rsidP="00EB2C11">
                          <w:pPr>
                            <w:spacing w:before="120"/>
                            <w:rPr>
                              <w:color w:val="404040" w:themeColor="text1" w:themeTint="BF"/>
                              <w:sz w:val="28"/>
                              <w:szCs w:val="28"/>
                            </w:rPr>
                          </w:pPr>
                          <w:r w:rsidRPr="00553A39">
                            <w:rPr>
                              <w:color w:val="404040" w:themeColor="text1" w:themeTint="BF"/>
                              <w:sz w:val="28"/>
                              <w:szCs w:val="28"/>
                            </w:rPr>
                            <w:t>Assignment title:</w:t>
                          </w:r>
                          <w:r w:rsidRPr="00553A39">
                            <w:rPr>
                              <w:color w:val="404040" w:themeColor="text1" w:themeTint="BF"/>
                              <w:sz w:val="28"/>
                              <w:szCs w:val="28"/>
                            </w:rPr>
                            <w:tab/>
                            <w:t>`</w:t>
                          </w:r>
                          <w:r w:rsidR="00EB2C11">
                            <w:rPr>
                              <w:color w:val="404040" w:themeColor="text1" w:themeTint="BF"/>
                              <w:sz w:val="28"/>
                              <w:szCs w:val="28"/>
                            </w:rPr>
                            <w:tab/>
                          </w:r>
                          <w:r w:rsidR="00EB2C11">
                            <w:rPr>
                              <w:color w:val="404040" w:themeColor="text1" w:themeTint="BF"/>
                              <w:sz w:val="28"/>
                              <w:szCs w:val="28"/>
                            </w:rPr>
                            <w:tab/>
                          </w:r>
                          <w:r w:rsidR="00EB2C11" w:rsidRPr="00EB2C11">
                            <w:rPr>
                              <w:color w:val="404040" w:themeColor="text1" w:themeTint="BF"/>
                              <w:sz w:val="28"/>
                              <w:szCs w:val="28"/>
                            </w:rPr>
                            <w:t xml:space="preserve">Research and case scenario </w:t>
                          </w:r>
                        </w:p>
                        <w:p w14:paraId="537CAA76" w14:textId="0EB5F500" w:rsidR="00553A39" w:rsidRPr="00553A39" w:rsidRDefault="00EB2C11" w:rsidP="00EB2C11">
                          <w:pPr>
                            <w:spacing w:before="120"/>
                            <w:ind w:left="2880" w:firstLine="720"/>
                            <w:rPr>
                              <w:color w:val="404040" w:themeColor="text1" w:themeTint="BF"/>
                              <w:sz w:val="28"/>
                              <w:szCs w:val="28"/>
                            </w:rPr>
                          </w:pPr>
                          <w:r w:rsidRPr="00EB2C11">
                            <w:rPr>
                              <w:color w:val="404040" w:themeColor="text1" w:themeTint="BF"/>
                              <w:sz w:val="28"/>
                              <w:szCs w:val="28"/>
                            </w:rPr>
                            <w:t>in Data Security and Compliance</w:t>
                          </w:r>
                          <w:r>
                            <w:rPr>
                              <w:color w:val="404040" w:themeColor="text1" w:themeTint="BF"/>
                              <w:sz w:val="28"/>
                              <w:szCs w:val="28"/>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1824" behindDoc="0" locked="0" layoutInCell="1" allowOverlap="1" wp14:anchorId="2676D856" wp14:editId="32D0048D">
                    <wp:simplePos x="0" y="0"/>
                    <wp:positionH relativeFrom="page">
                      <wp:posOffset>5067300</wp:posOffset>
                    </wp:positionH>
                    <wp:positionV relativeFrom="page">
                      <wp:posOffset>7810500</wp:posOffset>
                    </wp:positionV>
                    <wp:extent cx="2438400" cy="1546860"/>
                    <wp:effectExtent l="0" t="0" r="0" b="15240"/>
                    <wp:wrapNone/>
                    <wp:docPr id="32" name="Text Box 28"/>
                    <wp:cNvGraphicFramePr/>
                    <a:graphic xmlns:a="http://schemas.openxmlformats.org/drawingml/2006/main">
                      <a:graphicData uri="http://schemas.microsoft.com/office/word/2010/wordprocessingShape">
                        <wps:wsp>
                          <wps:cNvSpPr txBox="1"/>
                          <wps:spPr>
                            <a:xfrm>
                              <a:off x="0" y="0"/>
                              <a:ext cx="2438400" cy="154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6C039" w14:textId="7311EF82" w:rsidR="00553A39" w:rsidRDefault="00553A39">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 xml:space="preserve">     </w:t>
                                    </w:r>
                                  </w:sdtContent>
                                </w:sdt>
                                <w:r w:rsidRPr="00553A39">
                                  <w:drawing>
                                    <wp:inline distT="0" distB="0" distL="0" distR="0" wp14:anchorId="3201DFF2" wp14:editId="20A84954">
                                      <wp:extent cx="2056130" cy="1540510"/>
                                      <wp:effectExtent l="0" t="0" r="1270" b="2540"/>
                                      <wp:docPr id="661356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6130" cy="1540510"/>
                                              </a:xfrm>
                                              <a:prstGeom prst="rect">
                                                <a:avLst/>
                                              </a:prstGeom>
                                              <a:noFill/>
                                              <a:ln>
                                                <a:noFill/>
                                              </a:ln>
                                            </pic:spPr>
                                          </pic:pic>
                                        </a:graphicData>
                                      </a:graphic>
                                    </wp:inline>
                                  </w:drawing>
                                </w:r>
                              </w:p>
                              <w:p w14:paraId="47B9225F" w14:textId="6F8A2E3F" w:rsidR="00553A39" w:rsidRDefault="00553A3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76D856" id="Text Box 28" o:spid="_x0000_s1056" type="#_x0000_t202" style="position:absolute;margin-left:399pt;margin-top:615pt;width:192pt;height:121.8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" filled="f" stroked="f" strokeweight=".5pt">
                    <v:textbox inset="0,0,0,0">
                      <w:txbxContent>
                        <w:p w14:paraId="5576C039" w14:textId="7311EF82" w:rsidR="00553A39" w:rsidRDefault="00553A39">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 xml:space="preserve">     </w:t>
                              </w:r>
                            </w:sdtContent>
                          </w:sdt>
                          <w:r w:rsidRPr="00553A39">
                            <w:drawing>
                              <wp:inline distT="0" distB="0" distL="0" distR="0" wp14:anchorId="3201DFF2" wp14:editId="20A84954">
                                <wp:extent cx="2056130" cy="1540510"/>
                                <wp:effectExtent l="0" t="0" r="1270" b="2540"/>
                                <wp:docPr id="661356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6130" cy="1540510"/>
                                        </a:xfrm>
                                        <a:prstGeom prst="rect">
                                          <a:avLst/>
                                        </a:prstGeom>
                                        <a:noFill/>
                                        <a:ln>
                                          <a:noFill/>
                                        </a:ln>
                                      </pic:spPr>
                                    </pic:pic>
                                  </a:graphicData>
                                </a:graphic>
                              </wp:inline>
                            </w:drawing>
                          </w:r>
                        </w:p>
                        <w:p w14:paraId="47B9225F" w14:textId="6F8A2E3F" w:rsidR="00553A39" w:rsidRDefault="00553A3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br w:type="page"/>
          </w:r>
          <w:r>
            <w:rPr>
              <w:noProof/>
            </w:rPr>
            <w:lastRenderedPageBreak/>
            <w:drawing>
              <wp:inline distT="0" distB="0" distL="0" distR="0" wp14:anchorId="6F6D4DB1" wp14:editId="09449623">
                <wp:extent cx="3497580" cy="998220"/>
                <wp:effectExtent l="0" t="0" r="0" b="0"/>
                <wp:docPr id="1209855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7580" cy="998220"/>
                        </a:xfrm>
                        <a:prstGeom prst="rect">
                          <a:avLst/>
                        </a:prstGeom>
                        <a:noFill/>
                      </pic:spPr>
                    </pic:pic>
                  </a:graphicData>
                </a:graphic>
              </wp:inline>
            </w:drawing>
          </w:r>
        </w:p>
      </w:sdtContent>
    </w:sdt>
    <w:p w14:paraId="0CD8FE75" w14:textId="77777777" w:rsidR="00C84563" w:rsidRDefault="00C84563">
      <w:pPr>
        <w:spacing w:after="360"/>
        <w:jc w:val="center"/>
        <w:rPr>
          <w:b/>
          <w:sz w:val="32"/>
          <w:szCs w:val="32"/>
        </w:rPr>
      </w:pPr>
    </w:p>
    <w:p w14:paraId="07ACB628" w14:textId="77777777" w:rsidR="00C84563" w:rsidRDefault="00C84563">
      <w:pPr>
        <w:spacing w:after="360"/>
        <w:jc w:val="center"/>
        <w:rPr>
          <w:b/>
          <w:sz w:val="32"/>
          <w:szCs w:val="32"/>
        </w:rPr>
      </w:pPr>
    </w:p>
    <w:p w14:paraId="08E97DAA" w14:textId="77777777" w:rsidR="00C84563" w:rsidRDefault="00C84563">
      <w:pPr>
        <w:spacing w:after="360"/>
        <w:jc w:val="center"/>
        <w:rPr>
          <w:b/>
          <w:sz w:val="32"/>
          <w:szCs w:val="32"/>
        </w:rPr>
      </w:pPr>
    </w:p>
    <w:p w14:paraId="444FE3B6" w14:textId="77777777" w:rsidR="00C84563" w:rsidRDefault="00C84563">
      <w:pPr>
        <w:spacing w:after="360"/>
        <w:jc w:val="center"/>
        <w:rPr>
          <w:b/>
          <w:sz w:val="32"/>
          <w:szCs w:val="32"/>
        </w:rPr>
      </w:pPr>
    </w:p>
    <w:p w14:paraId="6A5B335C" w14:textId="77777777" w:rsidR="00C84563" w:rsidRDefault="00C84563">
      <w:pPr>
        <w:spacing w:after="360"/>
        <w:jc w:val="center"/>
        <w:rPr>
          <w:b/>
          <w:sz w:val="32"/>
          <w:szCs w:val="32"/>
        </w:rPr>
      </w:pPr>
    </w:p>
    <w:p w14:paraId="2617D741" w14:textId="47DFA8CA" w:rsidR="005B3B94" w:rsidRDefault="00000000">
      <w:pPr>
        <w:spacing w:after="360"/>
        <w:jc w:val="center"/>
      </w:pPr>
      <w:r>
        <w:rPr>
          <w:b/>
          <w:sz w:val="32"/>
          <w:szCs w:val="32"/>
        </w:rPr>
        <w:t>Data Security and Compliance Assignment</w:t>
      </w:r>
    </w:p>
    <w:p w14:paraId="382FDDD0" w14:textId="77777777" w:rsidR="005B3B94" w:rsidRDefault="00000000">
      <w:pPr>
        <w:spacing w:after="120"/>
        <w:jc w:val="center"/>
      </w:pPr>
      <w:r>
        <w:rPr>
          <w:b/>
          <w:sz w:val="24"/>
          <w:szCs w:val="24"/>
        </w:rPr>
        <w:t>Task 1: The Zero Trust Architecture</w:t>
      </w:r>
    </w:p>
    <w:p w14:paraId="1F5D4E1B" w14:textId="47CE326E" w:rsidR="005B3B94" w:rsidRDefault="00000000">
      <w:pPr>
        <w:spacing w:after="480"/>
        <w:jc w:val="center"/>
      </w:pPr>
      <w:r>
        <w:rPr>
          <w:b/>
          <w:sz w:val="24"/>
          <w:szCs w:val="24"/>
        </w:rPr>
        <w:t>Task 2: Zero-Trust-Aligned Security Programme for Medi</w:t>
      </w:r>
      <w:r w:rsidR="00C84563">
        <w:rPr>
          <w:b/>
          <w:sz w:val="24"/>
          <w:szCs w:val="24"/>
        </w:rPr>
        <w:t>-</w:t>
      </w:r>
      <w:r>
        <w:rPr>
          <w:b/>
          <w:sz w:val="24"/>
          <w:szCs w:val="24"/>
        </w:rPr>
        <w:t>Trust Analytics Ltd</w:t>
      </w:r>
    </w:p>
    <w:p w14:paraId="3DF3FACD" w14:textId="0269C9FF" w:rsidR="00C84563" w:rsidRDefault="00000000">
      <w:r>
        <w:br w:type="page"/>
      </w:r>
    </w:p>
    <w:sdt>
      <w:sdtPr>
        <w:id w:val="2096518193"/>
        <w:docPartObj>
          <w:docPartGallery w:val="Table of Contents"/>
          <w:docPartUnique/>
        </w:docPartObj>
      </w:sdtPr>
      <w:sdtEndPr>
        <w:rPr>
          <w:rFonts w:ascii="Arial" w:eastAsia="Arial" w:hAnsi="Arial" w:cstheme="minorBidi"/>
          <w:noProof/>
          <w:color w:val="auto"/>
          <w:sz w:val="21"/>
          <w:szCs w:val="22"/>
        </w:rPr>
      </w:sdtEndPr>
      <w:sdtContent>
        <w:p w14:paraId="7E0B3C60" w14:textId="0C5BF2BB" w:rsidR="00C84563" w:rsidRDefault="00C84563">
          <w:pPr>
            <w:pStyle w:val="TOCHeading"/>
          </w:pPr>
          <w:r>
            <w:t>Table of Contents</w:t>
          </w:r>
        </w:p>
        <w:p w14:paraId="689FFB71" w14:textId="3E5A14AF" w:rsidR="00EB2C11" w:rsidRDefault="00C84563">
          <w:pPr>
            <w:pStyle w:val="TOC1"/>
            <w:tabs>
              <w:tab w:val="right" w:leader="dot" w:pos="992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8306974" w:history="1">
            <w:r w:rsidR="00EB2C11" w:rsidRPr="003A0A79">
              <w:rPr>
                <w:rStyle w:val="Hyperlink"/>
                <w:noProof/>
              </w:rPr>
              <w:t>Task 1 - Research in Data Security and Compliance</w:t>
            </w:r>
            <w:r w:rsidR="00EB2C11">
              <w:rPr>
                <w:noProof/>
                <w:webHidden/>
              </w:rPr>
              <w:tab/>
            </w:r>
            <w:r w:rsidR="00EB2C11">
              <w:rPr>
                <w:noProof/>
                <w:webHidden/>
              </w:rPr>
              <w:fldChar w:fldCharType="begin"/>
            </w:r>
            <w:r w:rsidR="00EB2C11">
              <w:rPr>
                <w:noProof/>
                <w:webHidden/>
              </w:rPr>
              <w:instrText xml:space="preserve"> PAGEREF _Toc228306974 \h </w:instrText>
            </w:r>
            <w:r w:rsidR="00EB2C11">
              <w:rPr>
                <w:noProof/>
                <w:webHidden/>
              </w:rPr>
            </w:r>
            <w:r w:rsidR="00EB2C11">
              <w:rPr>
                <w:noProof/>
                <w:webHidden/>
              </w:rPr>
              <w:fldChar w:fldCharType="separate"/>
            </w:r>
            <w:r w:rsidR="00EB2C11">
              <w:rPr>
                <w:noProof/>
                <w:webHidden/>
              </w:rPr>
              <w:t>3</w:t>
            </w:r>
            <w:r w:rsidR="00EB2C11">
              <w:rPr>
                <w:noProof/>
                <w:webHidden/>
              </w:rPr>
              <w:fldChar w:fldCharType="end"/>
            </w:r>
          </w:hyperlink>
        </w:p>
        <w:p w14:paraId="5C7E1689" w14:textId="2802BF25"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75" w:history="1">
            <w:r w:rsidRPr="003A0A79">
              <w:rPr>
                <w:rStyle w:val="Hyperlink"/>
                <w:noProof/>
              </w:rPr>
              <w:t>The Zero Trust Architecture: A Critical Analysis of Its Principles, Implementation Challenges, and Efficacy Compared to Traditional Models</w:t>
            </w:r>
            <w:r>
              <w:rPr>
                <w:noProof/>
                <w:webHidden/>
              </w:rPr>
              <w:tab/>
            </w:r>
            <w:r>
              <w:rPr>
                <w:noProof/>
                <w:webHidden/>
              </w:rPr>
              <w:fldChar w:fldCharType="begin"/>
            </w:r>
            <w:r>
              <w:rPr>
                <w:noProof/>
                <w:webHidden/>
              </w:rPr>
              <w:instrText xml:space="preserve"> PAGEREF _Toc228306975 \h </w:instrText>
            </w:r>
            <w:r>
              <w:rPr>
                <w:noProof/>
                <w:webHidden/>
              </w:rPr>
            </w:r>
            <w:r>
              <w:rPr>
                <w:noProof/>
                <w:webHidden/>
              </w:rPr>
              <w:fldChar w:fldCharType="separate"/>
            </w:r>
            <w:r>
              <w:rPr>
                <w:noProof/>
                <w:webHidden/>
              </w:rPr>
              <w:t>3</w:t>
            </w:r>
            <w:r>
              <w:rPr>
                <w:noProof/>
                <w:webHidden/>
              </w:rPr>
              <w:fldChar w:fldCharType="end"/>
            </w:r>
          </w:hyperlink>
        </w:p>
        <w:p w14:paraId="6C33629A" w14:textId="1C0699D1"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76" w:history="1">
            <w:r w:rsidRPr="003A0A79">
              <w:rPr>
                <w:rStyle w:val="Hyperlink"/>
                <w:noProof/>
              </w:rPr>
              <w:t>Abstract</w:t>
            </w:r>
            <w:r>
              <w:rPr>
                <w:noProof/>
                <w:webHidden/>
              </w:rPr>
              <w:tab/>
            </w:r>
            <w:r>
              <w:rPr>
                <w:noProof/>
                <w:webHidden/>
              </w:rPr>
              <w:fldChar w:fldCharType="begin"/>
            </w:r>
            <w:r>
              <w:rPr>
                <w:noProof/>
                <w:webHidden/>
              </w:rPr>
              <w:instrText xml:space="preserve"> PAGEREF _Toc228306976 \h </w:instrText>
            </w:r>
            <w:r>
              <w:rPr>
                <w:noProof/>
                <w:webHidden/>
              </w:rPr>
            </w:r>
            <w:r>
              <w:rPr>
                <w:noProof/>
                <w:webHidden/>
              </w:rPr>
              <w:fldChar w:fldCharType="separate"/>
            </w:r>
            <w:r>
              <w:rPr>
                <w:noProof/>
                <w:webHidden/>
              </w:rPr>
              <w:t>3</w:t>
            </w:r>
            <w:r>
              <w:rPr>
                <w:noProof/>
                <w:webHidden/>
              </w:rPr>
              <w:fldChar w:fldCharType="end"/>
            </w:r>
          </w:hyperlink>
        </w:p>
        <w:p w14:paraId="0A5AB02D" w14:textId="0B6B228A"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77" w:history="1">
            <w:r w:rsidRPr="003A0A79">
              <w:rPr>
                <w:rStyle w:val="Hyperlink"/>
                <w:noProof/>
              </w:rPr>
              <w:t>I. Introduction</w:t>
            </w:r>
            <w:r>
              <w:rPr>
                <w:noProof/>
                <w:webHidden/>
              </w:rPr>
              <w:tab/>
            </w:r>
            <w:r>
              <w:rPr>
                <w:noProof/>
                <w:webHidden/>
              </w:rPr>
              <w:fldChar w:fldCharType="begin"/>
            </w:r>
            <w:r>
              <w:rPr>
                <w:noProof/>
                <w:webHidden/>
              </w:rPr>
              <w:instrText xml:space="preserve"> PAGEREF _Toc228306977 \h </w:instrText>
            </w:r>
            <w:r>
              <w:rPr>
                <w:noProof/>
                <w:webHidden/>
              </w:rPr>
            </w:r>
            <w:r>
              <w:rPr>
                <w:noProof/>
                <w:webHidden/>
              </w:rPr>
              <w:fldChar w:fldCharType="separate"/>
            </w:r>
            <w:r>
              <w:rPr>
                <w:noProof/>
                <w:webHidden/>
              </w:rPr>
              <w:t>3</w:t>
            </w:r>
            <w:r>
              <w:rPr>
                <w:noProof/>
                <w:webHidden/>
              </w:rPr>
              <w:fldChar w:fldCharType="end"/>
            </w:r>
          </w:hyperlink>
        </w:p>
        <w:p w14:paraId="54255622" w14:textId="5940D191"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78" w:history="1">
            <w:r w:rsidRPr="003A0A79">
              <w:rPr>
                <w:rStyle w:val="Hyperlink"/>
                <w:noProof/>
              </w:rPr>
              <w:t>II. The Need for a New Security Model</w:t>
            </w:r>
            <w:r>
              <w:rPr>
                <w:noProof/>
                <w:webHidden/>
              </w:rPr>
              <w:tab/>
            </w:r>
            <w:r>
              <w:rPr>
                <w:noProof/>
                <w:webHidden/>
              </w:rPr>
              <w:fldChar w:fldCharType="begin"/>
            </w:r>
            <w:r>
              <w:rPr>
                <w:noProof/>
                <w:webHidden/>
              </w:rPr>
              <w:instrText xml:space="preserve"> PAGEREF _Toc228306978 \h </w:instrText>
            </w:r>
            <w:r>
              <w:rPr>
                <w:noProof/>
                <w:webHidden/>
              </w:rPr>
            </w:r>
            <w:r>
              <w:rPr>
                <w:noProof/>
                <w:webHidden/>
              </w:rPr>
              <w:fldChar w:fldCharType="separate"/>
            </w:r>
            <w:r>
              <w:rPr>
                <w:noProof/>
                <w:webHidden/>
              </w:rPr>
              <w:t>4</w:t>
            </w:r>
            <w:r>
              <w:rPr>
                <w:noProof/>
                <w:webHidden/>
              </w:rPr>
              <w:fldChar w:fldCharType="end"/>
            </w:r>
          </w:hyperlink>
        </w:p>
        <w:p w14:paraId="37664180" w14:textId="752CFE62"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79" w:history="1">
            <w:r w:rsidRPr="003A0A79">
              <w:rPr>
                <w:rStyle w:val="Hyperlink"/>
                <w:noProof/>
              </w:rPr>
              <w:t>III. Traditional Perimeter Security: Strengths and Limitations</w:t>
            </w:r>
            <w:r>
              <w:rPr>
                <w:noProof/>
                <w:webHidden/>
              </w:rPr>
              <w:tab/>
            </w:r>
            <w:r>
              <w:rPr>
                <w:noProof/>
                <w:webHidden/>
              </w:rPr>
              <w:fldChar w:fldCharType="begin"/>
            </w:r>
            <w:r>
              <w:rPr>
                <w:noProof/>
                <w:webHidden/>
              </w:rPr>
              <w:instrText xml:space="preserve"> PAGEREF _Toc228306979 \h </w:instrText>
            </w:r>
            <w:r>
              <w:rPr>
                <w:noProof/>
                <w:webHidden/>
              </w:rPr>
            </w:r>
            <w:r>
              <w:rPr>
                <w:noProof/>
                <w:webHidden/>
              </w:rPr>
              <w:fldChar w:fldCharType="separate"/>
            </w:r>
            <w:r>
              <w:rPr>
                <w:noProof/>
                <w:webHidden/>
              </w:rPr>
              <w:t>4</w:t>
            </w:r>
            <w:r>
              <w:rPr>
                <w:noProof/>
                <w:webHidden/>
              </w:rPr>
              <w:fldChar w:fldCharType="end"/>
            </w:r>
          </w:hyperlink>
        </w:p>
        <w:p w14:paraId="68EB9B99" w14:textId="46CC1716"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0" w:history="1">
            <w:r w:rsidRPr="003A0A79">
              <w:rPr>
                <w:rStyle w:val="Hyperlink"/>
                <w:noProof/>
              </w:rPr>
              <w:t>IV. Zero Trust as an Identity-Centred Architecture</w:t>
            </w:r>
            <w:r>
              <w:rPr>
                <w:noProof/>
                <w:webHidden/>
              </w:rPr>
              <w:tab/>
            </w:r>
            <w:r>
              <w:rPr>
                <w:noProof/>
                <w:webHidden/>
              </w:rPr>
              <w:fldChar w:fldCharType="begin"/>
            </w:r>
            <w:r>
              <w:rPr>
                <w:noProof/>
                <w:webHidden/>
              </w:rPr>
              <w:instrText xml:space="preserve"> PAGEREF _Toc228306980 \h </w:instrText>
            </w:r>
            <w:r>
              <w:rPr>
                <w:noProof/>
                <w:webHidden/>
              </w:rPr>
            </w:r>
            <w:r>
              <w:rPr>
                <w:noProof/>
                <w:webHidden/>
              </w:rPr>
              <w:fldChar w:fldCharType="separate"/>
            </w:r>
            <w:r>
              <w:rPr>
                <w:noProof/>
                <w:webHidden/>
              </w:rPr>
              <w:t>5</w:t>
            </w:r>
            <w:r>
              <w:rPr>
                <w:noProof/>
                <w:webHidden/>
              </w:rPr>
              <w:fldChar w:fldCharType="end"/>
            </w:r>
          </w:hyperlink>
        </w:p>
        <w:p w14:paraId="31BD1D17" w14:textId="439B87B6"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1" w:history="1">
            <w:r w:rsidRPr="003A0A79">
              <w:rPr>
                <w:rStyle w:val="Hyperlink"/>
                <w:noProof/>
              </w:rPr>
              <w:t>V. Enabling Technologies and Operational Controls</w:t>
            </w:r>
            <w:r>
              <w:rPr>
                <w:noProof/>
                <w:webHidden/>
              </w:rPr>
              <w:tab/>
            </w:r>
            <w:r>
              <w:rPr>
                <w:noProof/>
                <w:webHidden/>
              </w:rPr>
              <w:fldChar w:fldCharType="begin"/>
            </w:r>
            <w:r>
              <w:rPr>
                <w:noProof/>
                <w:webHidden/>
              </w:rPr>
              <w:instrText xml:space="preserve"> PAGEREF _Toc228306981 \h </w:instrText>
            </w:r>
            <w:r>
              <w:rPr>
                <w:noProof/>
                <w:webHidden/>
              </w:rPr>
            </w:r>
            <w:r>
              <w:rPr>
                <w:noProof/>
                <w:webHidden/>
              </w:rPr>
              <w:fldChar w:fldCharType="separate"/>
            </w:r>
            <w:r>
              <w:rPr>
                <w:noProof/>
                <w:webHidden/>
              </w:rPr>
              <w:t>6</w:t>
            </w:r>
            <w:r>
              <w:rPr>
                <w:noProof/>
                <w:webHidden/>
              </w:rPr>
              <w:fldChar w:fldCharType="end"/>
            </w:r>
          </w:hyperlink>
        </w:p>
        <w:p w14:paraId="3F11D366" w14:textId="0FAAD938"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2" w:history="1">
            <w:r w:rsidRPr="003A0A79">
              <w:rPr>
                <w:rStyle w:val="Hyperlink"/>
                <w:noProof/>
              </w:rPr>
              <w:t>VI. Critical Comparison with Traditional Models</w:t>
            </w:r>
            <w:r>
              <w:rPr>
                <w:noProof/>
                <w:webHidden/>
              </w:rPr>
              <w:tab/>
            </w:r>
            <w:r>
              <w:rPr>
                <w:noProof/>
                <w:webHidden/>
              </w:rPr>
              <w:fldChar w:fldCharType="begin"/>
            </w:r>
            <w:r>
              <w:rPr>
                <w:noProof/>
                <w:webHidden/>
              </w:rPr>
              <w:instrText xml:space="preserve"> PAGEREF _Toc228306982 \h </w:instrText>
            </w:r>
            <w:r>
              <w:rPr>
                <w:noProof/>
                <w:webHidden/>
              </w:rPr>
            </w:r>
            <w:r>
              <w:rPr>
                <w:noProof/>
                <w:webHidden/>
              </w:rPr>
              <w:fldChar w:fldCharType="separate"/>
            </w:r>
            <w:r>
              <w:rPr>
                <w:noProof/>
                <w:webHidden/>
              </w:rPr>
              <w:t>6</w:t>
            </w:r>
            <w:r>
              <w:rPr>
                <w:noProof/>
                <w:webHidden/>
              </w:rPr>
              <w:fldChar w:fldCharType="end"/>
            </w:r>
          </w:hyperlink>
        </w:p>
        <w:p w14:paraId="29E7B3F1" w14:textId="6C64C5C2"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3" w:history="1">
            <w:r w:rsidRPr="003A0A79">
              <w:rPr>
                <w:rStyle w:val="Hyperlink"/>
                <w:noProof/>
              </w:rPr>
              <w:t>VII. Governance, Compliance and Business Continuity</w:t>
            </w:r>
            <w:r>
              <w:rPr>
                <w:noProof/>
                <w:webHidden/>
              </w:rPr>
              <w:tab/>
            </w:r>
            <w:r>
              <w:rPr>
                <w:noProof/>
                <w:webHidden/>
              </w:rPr>
              <w:fldChar w:fldCharType="begin"/>
            </w:r>
            <w:r>
              <w:rPr>
                <w:noProof/>
                <w:webHidden/>
              </w:rPr>
              <w:instrText xml:space="preserve"> PAGEREF _Toc228306983 \h </w:instrText>
            </w:r>
            <w:r>
              <w:rPr>
                <w:noProof/>
                <w:webHidden/>
              </w:rPr>
            </w:r>
            <w:r>
              <w:rPr>
                <w:noProof/>
                <w:webHidden/>
              </w:rPr>
              <w:fldChar w:fldCharType="separate"/>
            </w:r>
            <w:r>
              <w:rPr>
                <w:noProof/>
                <w:webHidden/>
              </w:rPr>
              <w:t>7</w:t>
            </w:r>
            <w:r>
              <w:rPr>
                <w:noProof/>
                <w:webHidden/>
              </w:rPr>
              <w:fldChar w:fldCharType="end"/>
            </w:r>
          </w:hyperlink>
        </w:p>
        <w:p w14:paraId="38EEEDC2" w14:textId="2F4CEE57"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4" w:history="1">
            <w:r w:rsidRPr="003A0A79">
              <w:rPr>
                <w:rStyle w:val="Hyperlink"/>
                <w:noProof/>
              </w:rPr>
              <w:t>VIII. Implementation Challenges and Limits</w:t>
            </w:r>
            <w:r>
              <w:rPr>
                <w:noProof/>
                <w:webHidden/>
              </w:rPr>
              <w:tab/>
            </w:r>
            <w:r>
              <w:rPr>
                <w:noProof/>
                <w:webHidden/>
              </w:rPr>
              <w:fldChar w:fldCharType="begin"/>
            </w:r>
            <w:r>
              <w:rPr>
                <w:noProof/>
                <w:webHidden/>
              </w:rPr>
              <w:instrText xml:space="preserve"> PAGEREF _Toc228306984 \h </w:instrText>
            </w:r>
            <w:r>
              <w:rPr>
                <w:noProof/>
                <w:webHidden/>
              </w:rPr>
            </w:r>
            <w:r>
              <w:rPr>
                <w:noProof/>
                <w:webHidden/>
              </w:rPr>
              <w:fldChar w:fldCharType="separate"/>
            </w:r>
            <w:r>
              <w:rPr>
                <w:noProof/>
                <w:webHidden/>
              </w:rPr>
              <w:t>7</w:t>
            </w:r>
            <w:r>
              <w:rPr>
                <w:noProof/>
                <w:webHidden/>
              </w:rPr>
              <w:fldChar w:fldCharType="end"/>
            </w:r>
          </w:hyperlink>
        </w:p>
        <w:p w14:paraId="4123F0B6" w14:textId="4D2332C6"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5" w:history="1">
            <w:r w:rsidRPr="003A0A79">
              <w:rPr>
                <w:rStyle w:val="Hyperlink"/>
                <w:noProof/>
              </w:rPr>
              <w:t>IX. Recommended Implementation Roadmap</w:t>
            </w:r>
            <w:r>
              <w:rPr>
                <w:noProof/>
                <w:webHidden/>
              </w:rPr>
              <w:tab/>
            </w:r>
            <w:r>
              <w:rPr>
                <w:noProof/>
                <w:webHidden/>
              </w:rPr>
              <w:fldChar w:fldCharType="begin"/>
            </w:r>
            <w:r>
              <w:rPr>
                <w:noProof/>
                <w:webHidden/>
              </w:rPr>
              <w:instrText xml:space="preserve"> PAGEREF _Toc228306985 \h </w:instrText>
            </w:r>
            <w:r>
              <w:rPr>
                <w:noProof/>
                <w:webHidden/>
              </w:rPr>
            </w:r>
            <w:r>
              <w:rPr>
                <w:noProof/>
                <w:webHidden/>
              </w:rPr>
              <w:fldChar w:fldCharType="separate"/>
            </w:r>
            <w:r>
              <w:rPr>
                <w:noProof/>
                <w:webHidden/>
              </w:rPr>
              <w:t>8</w:t>
            </w:r>
            <w:r>
              <w:rPr>
                <w:noProof/>
                <w:webHidden/>
              </w:rPr>
              <w:fldChar w:fldCharType="end"/>
            </w:r>
          </w:hyperlink>
        </w:p>
        <w:p w14:paraId="1AD649AA" w14:textId="255C996E"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6" w:history="1">
            <w:r w:rsidRPr="003A0A79">
              <w:rPr>
                <w:rStyle w:val="Hyperlink"/>
                <w:noProof/>
              </w:rPr>
              <w:t>X. Conclusion</w:t>
            </w:r>
            <w:r>
              <w:rPr>
                <w:noProof/>
                <w:webHidden/>
              </w:rPr>
              <w:tab/>
            </w:r>
            <w:r>
              <w:rPr>
                <w:noProof/>
                <w:webHidden/>
              </w:rPr>
              <w:fldChar w:fldCharType="begin"/>
            </w:r>
            <w:r>
              <w:rPr>
                <w:noProof/>
                <w:webHidden/>
              </w:rPr>
              <w:instrText xml:space="preserve"> PAGEREF _Toc228306986 \h </w:instrText>
            </w:r>
            <w:r>
              <w:rPr>
                <w:noProof/>
                <w:webHidden/>
              </w:rPr>
            </w:r>
            <w:r>
              <w:rPr>
                <w:noProof/>
                <w:webHidden/>
              </w:rPr>
              <w:fldChar w:fldCharType="separate"/>
            </w:r>
            <w:r>
              <w:rPr>
                <w:noProof/>
                <w:webHidden/>
              </w:rPr>
              <w:t>8</w:t>
            </w:r>
            <w:r>
              <w:rPr>
                <w:noProof/>
                <w:webHidden/>
              </w:rPr>
              <w:fldChar w:fldCharType="end"/>
            </w:r>
          </w:hyperlink>
        </w:p>
        <w:p w14:paraId="29D4C68A" w14:textId="237D4CCF"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7" w:history="1">
            <w:r w:rsidRPr="003A0A79">
              <w:rPr>
                <w:rStyle w:val="Hyperlink"/>
                <w:noProof/>
              </w:rPr>
              <w:t>References</w:t>
            </w:r>
            <w:r>
              <w:rPr>
                <w:noProof/>
                <w:webHidden/>
              </w:rPr>
              <w:tab/>
            </w:r>
            <w:r>
              <w:rPr>
                <w:noProof/>
                <w:webHidden/>
              </w:rPr>
              <w:fldChar w:fldCharType="begin"/>
            </w:r>
            <w:r>
              <w:rPr>
                <w:noProof/>
                <w:webHidden/>
              </w:rPr>
              <w:instrText xml:space="preserve"> PAGEREF _Toc228306987 \h </w:instrText>
            </w:r>
            <w:r>
              <w:rPr>
                <w:noProof/>
                <w:webHidden/>
              </w:rPr>
            </w:r>
            <w:r>
              <w:rPr>
                <w:noProof/>
                <w:webHidden/>
              </w:rPr>
              <w:fldChar w:fldCharType="separate"/>
            </w:r>
            <w:r>
              <w:rPr>
                <w:noProof/>
                <w:webHidden/>
              </w:rPr>
              <w:t>8</w:t>
            </w:r>
            <w:r>
              <w:rPr>
                <w:noProof/>
                <w:webHidden/>
              </w:rPr>
              <w:fldChar w:fldCharType="end"/>
            </w:r>
          </w:hyperlink>
        </w:p>
        <w:p w14:paraId="62D1766B" w14:textId="0DE013F7"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8" w:history="1">
            <w:r w:rsidRPr="003A0A79">
              <w:rPr>
                <w:rStyle w:val="Hyperlink"/>
                <w:noProof/>
              </w:rPr>
              <w:t>Task 2 - Case Scenario: Data Security and Compliance</w:t>
            </w:r>
            <w:r>
              <w:rPr>
                <w:noProof/>
                <w:webHidden/>
              </w:rPr>
              <w:tab/>
            </w:r>
            <w:r>
              <w:rPr>
                <w:noProof/>
                <w:webHidden/>
              </w:rPr>
              <w:fldChar w:fldCharType="begin"/>
            </w:r>
            <w:r>
              <w:rPr>
                <w:noProof/>
                <w:webHidden/>
              </w:rPr>
              <w:instrText xml:space="preserve"> PAGEREF _Toc228306988 \h </w:instrText>
            </w:r>
            <w:r>
              <w:rPr>
                <w:noProof/>
                <w:webHidden/>
              </w:rPr>
            </w:r>
            <w:r>
              <w:rPr>
                <w:noProof/>
                <w:webHidden/>
              </w:rPr>
              <w:fldChar w:fldCharType="separate"/>
            </w:r>
            <w:r>
              <w:rPr>
                <w:noProof/>
                <w:webHidden/>
              </w:rPr>
              <w:t>10</w:t>
            </w:r>
            <w:r>
              <w:rPr>
                <w:noProof/>
                <w:webHidden/>
              </w:rPr>
              <w:fldChar w:fldCharType="end"/>
            </w:r>
          </w:hyperlink>
        </w:p>
        <w:p w14:paraId="18B8E25B" w14:textId="5F15D3F9"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89" w:history="1">
            <w:r w:rsidRPr="003A0A79">
              <w:rPr>
                <w:rStyle w:val="Hyperlink"/>
                <w:noProof/>
              </w:rPr>
              <w:t>Designing a Zero-Trust-Aligned Security Programme for MediTrust Analytics Ltd</w:t>
            </w:r>
            <w:r>
              <w:rPr>
                <w:noProof/>
                <w:webHidden/>
              </w:rPr>
              <w:tab/>
            </w:r>
            <w:r>
              <w:rPr>
                <w:noProof/>
                <w:webHidden/>
              </w:rPr>
              <w:fldChar w:fldCharType="begin"/>
            </w:r>
            <w:r>
              <w:rPr>
                <w:noProof/>
                <w:webHidden/>
              </w:rPr>
              <w:instrText xml:space="preserve"> PAGEREF _Toc228306989 \h </w:instrText>
            </w:r>
            <w:r>
              <w:rPr>
                <w:noProof/>
                <w:webHidden/>
              </w:rPr>
            </w:r>
            <w:r>
              <w:rPr>
                <w:noProof/>
                <w:webHidden/>
              </w:rPr>
              <w:fldChar w:fldCharType="separate"/>
            </w:r>
            <w:r>
              <w:rPr>
                <w:noProof/>
                <w:webHidden/>
              </w:rPr>
              <w:t>10</w:t>
            </w:r>
            <w:r>
              <w:rPr>
                <w:noProof/>
                <w:webHidden/>
              </w:rPr>
              <w:fldChar w:fldCharType="end"/>
            </w:r>
          </w:hyperlink>
        </w:p>
        <w:p w14:paraId="07D07DBA" w14:textId="23D57B7C"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0" w:history="1">
            <w:r w:rsidRPr="003A0A79">
              <w:rPr>
                <w:rStyle w:val="Hyperlink"/>
                <w:noProof/>
              </w:rPr>
              <w:t>Abstract</w:t>
            </w:r>
            <w:r>
              <w:rPr>
                <w:noProof/>
                <w:webHidden/>
              </w:rPr>
              <w:tab/>
            </w:r>
            <w:r>
              <w:rPr>
                <w:noProof/>
                <w:webHidden/>
              </w:rPr>
              <w:fldChar w:fldCharType="begin"/>
            </w:r>
            <w:r>
              <w:rPr>
                <w:noProof/>
                <w:webHidden/>
              </w:rPr>
              <w:instrText xml:space="preserve"> PAGEREF _Toc228306990 \h </w:instrText>
            </w:r>
            <w:r>
              <w:rPr>
                <w:noProof/>
                <w:webHidden/>
              </w:rPr>
            </w:r>
            <w:r>
              <w:rPr>
                <w:noProof/>
                <w:webHidden/>
              </w:rPr>
              <w:fldChar w:fldCharType="separate"/>
            </w:r>
            <w:r>
              <w:rPr>
                <w:noProof/>
                <w:webHidden/>
              </w:rPr>
              <w:t>10</w:t>
            </w:r>
            <w:r>
              <w:rPr>
                <w:noProof/>
                <w:webHidden/>
              </w:rPr>
              <w:fldChar w:fldCharType="end"/>
            </w:r>
          </w:hyperlink>
        </w:p>
        <w:p w14:paraId="6473F2AE" w14:textId="21FBAEEB"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1" w:history="1">
            <w:r w:rsidRPr="003A0A79">
              <w:rPr>
                <w:rStyle w:val="Hyperlink"/>
                <w:noProof/>
              </w:rPr>
              <w:t>I. Introduction</w:t>
            </w:r>
            <w:r>
              <w:rPr>
                <w:noProof/>
                <w:webHidden/>
              </w:rPr>
              <w:tab/>
            </w:r>
            <w:r>
              <w:rPr>
                <w:noProof/>
                <w:webHidden/>
              </w:rPr>
              <w:fldChar w:fldCharType="begin"/>
            </w:r>
            <w:r>
              <w:rPr>
                <w:noProof/>
                <w:webHidden/>
              </w:rPr>
              <w:instrText xml:space="preserve"> PAGEREF _Toc228306991 \h </w:instrText>
            </w:r>
            <w:r>
              <w:rPr>
                <w:noProof/>
                <w:webHidden/>
              </w:rPr>
            </w:r>
            <w:r>
              <w:rPr>
                <w:noProof/>
                <w:webHidden/>
              </w:rPr>
              <w:fldChar w:fldCharType="separate"/>
            </w:r>
            <w:r>
              <w:rPr>
                <w:noProof/>
                <w:webHidden/>
              </w:rPr>
              <w:t>10</w:t>
            </w:r>
            <w:r>
              <w:rPr>
                <w:noProof/>
                <w:webHidden/>
              </w:rPr>
              <w:fldChar w:fldCharType="end"/>
            </w:r>
          </w:hyperlink>
        </w:p>
        <w:p w14:paraId="4F31DA32" w14:textId="68ECF04B"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2" w:history="1">
            <w:r w:rsidRPr="003A0A79">
              <w:rPr>
                <w:rStyle w:val="Hyperlink"/>
                <w:noProof/>
              </w:rPr>
              <w:t>II. Strategic Objectives and Design Principles</w:t>
            </w:r>
            <w:r>
              <w:rPr>
                <w:noProof/>
                <w:webHidden/>
              </w:rPr>
              <w:tab/>
            </w:r>
            <w:r>
              <w:rPr>
                <w:noProof/>
                <w:webHidden/>
              </w:rPr>
              <w:fldChar w:fldCharType="begin"/>
            </w:r>
            <w:r>
              <w:rPr>
                <w:noProof/>
                <w:webHidden/>
              </w:rPr>
              <w:instrText xml:space="preserve"> PAGEREF _Toc228306992 \h </w:instrText>
            </w:r>
            <w:r>
              <w:rPr>
                <w:noProof/>
                <w:webHidden/>
              </w:rPr>
            </w:r>
            <w:r>
              <w:rPr>
                <w:noProof/>
                <w:webHidden/>
              </w:rPr>
              <w:fldChar w:fldCharType="separate"/>
            </w:r>
            <w:r>
              <w:rPr>
                <w:noProof/>
                <w:webHidden/>
              </w:rPr>
              <w:t>10</w:t>
            </w:r>
            <w:r>
              <w:rPr>
                <w:noProof/>
                <w:webHidden/>
              </w:rPr>
              <w:fldChar w:fldCharType="end"/>
            </w:r>
          </w:hyperlink>
        </w:p>
        <w:p w14:paraId="468C99F6" w14:textId="6A3B7192"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3" w:history="1">
            <w:r w:rsidRPr="003A0A79">
              <w:rPr>
                <w:rStyle w:val="Hyperlink"/>
                <w:noProof/>
              </w:rPr>
              <w:t>III. Organisation Structure for the New Security Unit</w:t>
            </w:r>
            <w:r>
              <w:rPr>
                <w:noProof/>
                <w:webHidden/>
              </w:rPr>
              <w:tab/>
            </w:r>
            <w:r>
              <w:rPr>
                <w:noProof/>
                <w:webHidden/>
              </w:rPr>
              <w:fldChar w:fldCharType="begin"/>
            </w:r>
            <w:r>
              <w:rPr>
                <w:noProof/>
                <w:webHidden/>
              </w:rPr>
              <w:instrText xml:space="preserve"> PAGEREF _Toc228306993 \h </w:instrText>
            </w:r>
            <w:r>
              <w:rPr>
                <w:noProof/>
                <w:webHidden/>
              </w:rPr>
            </w:r>
            <w:r>
              <w:rPr>
                <w:noProof/>
                <w:webHidden/>
              </w:rPr>
              <w:fldChar w:fldCharType="separate"/>
            </w:r>
            <w:r>
              <w:rPr>
                <w:noProof/>
                <w:webHidden/>
              </w:rPr>
              <w:t>12</w:t>
            </w:r>
            <w:r>
              <w:rPr>
                <w:noProof/>
                <w:webHidden/>
              </w:rPr>
              <w:fldChar w:fldCharType="end"/>
            </w:r>
          </w:hyperlink>
        </w:p>
        <w:p w14:paraId="1AFB5E7E" w14:textId="39CE4569"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4" w:history="1">
            <w:r w:rsidRPr="003A0A79">
              <w:rPr>
                <w:rStyle w:val="Hyperlink"/>
                <w:noProof/>
              </w:rPr>
              <w:t>IV. Policies and Procedures</w:t>
            </w:r>
            <w:r>
              <w:rPr>
                <w:noProof/>
                <w:webHidden/>
              </w:rPr>
              <w:tab/>
            </w:r>
            <w:r>
              <w:rPr>
                <w:noProof/>
                <w:webHidden/>
              </w:rPr>
              <w:fldChar w:fldCharType="begin"/>
            </w:r>
            <w:r>
              <w:rPr>
                <w:noProof/>
                <w:webHidden/>
              </w:rPr>
              <w:instrText xml:space="preserve"> PAGEREF _Toc228306994 \h </w:instrText>
            </w:r>
            <w:r>
              <w:rPr>
                <w:noProof/>
                <w:webHidden/>
              </w:rPr>
            </w:r>
            <w:r>
              <w:rPr>
                <w:noProof/>
                <w:webHidden/>
              </w:rPr>
              <w:fldChar w:fldCharType="separate"/>
            </w:r>
            <w:r>
              <w:rPr>
                <w:noProof/>
                <w:webHidden/>
              </w:rPr>
              <w:t>12</w:t>
            </w:r>
            <w:r>
              <w:rPr>
                <w:noProof/>
                <w:webHidden/>
              </w:rPr>
              <w:fldChar w:fldCharType="end"/>
            </w:r>
          </w:hyperlink>
        </w:p>
        <w:p w14:paraId="3864BF5F" w14:textId="56E04284"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5" w:history="1">
            <w:r w:rsidRPr="003A0A79">
              <w:rPr>
                <w:rStyle w:val="Hyperlink"/>
                <w:noProof/>
              </w:rPr>
              <w:t>V. Governance Model Based on NIST CSF 2.0</w:t>
            </w:r>
            <w:r>
              <w:rPr>
                <w:noProof/>
                <w:webHidden/>
              </w:rPr>
              <w:tab/>
            </w:r>
            <w:r>
              <w:rPr>
                <w:noProof/>
                <w:webHidden/>
              </w:rPr>
              <w:fldChar w:fldCharType="begin"/>
            </w:r>
            <w:r>
              <w:rPr>
                <w:noProof/>
                <w:webHidden/>
              </w:rPr>
              <w:instrText xml:space="preserve"> PAGEREF _Toc228306995 \h </w:instrText>
            </w:r>
            <w:r>
              <w:rPr>
                <w:noProof/>
                <w:webHidden/>
              </w:rPr>
            </w:r>
            <w:r>
              <w:rPr>
                <w:noProof/>
                <w:webHidden/>
              </w:rPr>
              <w:fldChar w:fldCharType="separate"/>
            </w:r>
            <w:r>
              <w:rPr>
                <w:noProof/>
                <w:webHidden/>
              </w:rPr>
              <w:t>13</w:t>
            </w:r>
            <w:r>
              <w:rPr>
                <w:noProof/>
                <w:webHidden/>
              </w:rPr>
              <w:fldChar w:fldCharType="end"/>
            </w:r>
          </w:hyperlink>
        </w:p>
        <w:p w14:paraId="0C0E70D0" w14:textId="52A28D74"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6" w:history="1">
            <w:r w:rsidRPr="003A0A79">
              <w:rPr>
                <w:rStyle w:val="Hyperlink"/>
                <w:noProof/>
              </w:rPr>
              <w:t>VI. Compliance with GDPR, DORA and NIS2</w:t>
            </w:r>
            <w:r>
              <w:rPr>
                <w:noProof/>
                <w:webHidden/>
              </w:rPr>
              <w:tab/>
            </w:r>
            <w:r>
              <w:rPr>
                <w:noProof/>
                <w:webHidden/>
              </w:rPr>
              <w:fldChar w:fldCharType="begin"/>
            </w:r>
            <w:r>
              <w:rPr>
                <w:noProof/>
                <w:webHidden/>
              </w:rPr>
              <w:instrText xml:space="preserve"> PAGEREF _Toc228306996 \h </w:instrText>
            </w:r>
            <w:r>
              <w:rPr>
                <w:noProof/>
                <w:webHidden/>
              </w:rPr>
            </w:r>
            <w:r>
              <w:rPr>
                <w:noProof/>
                <w:webHidden/>
              </w:rPr>
              <w:fldChar w:fldCharType="separate"/>
            </w:r>
            <w:r>
              <w:rPr>
                <w:noProof/>
                <w:webHidden/>
              </w:rPr>
              <w:t>14</w:t>
            </w:r>
            <w:r>
              <w:rPr>
                <w:noProof/>
                <w:webHidden/>
              </w:rPr>
              <w:fldChar w:fldCharType="end"/>
            </w:r>
          </w:hyperlink>
        </w:p>
        <w:p w14:paraId="210A921D" w14:textId="07CF1CB0"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7" w:history="1">
            <w:r w:rsidRPr="003A0A79">
              <w:rPr>
                <w:rStyle w:val="Hyperlink"/>
                <w:noProof/>
              </w:rPr>
              <w:t>VII. Risk Management Focus</w:t>
            </w:r>
            <w:r>
              <w:rPr>
                <w:noProof/>
                <w:webHidden/>
              </w:rPr>
              <w:tab/>
            </w:r>
            <w:r>
              <w:rPr>
                <w:noProof/>
                <w:webHidden/>
              </w:rPr>
              <w:fldChar w:fldCharType="begin"/>
            </w:r>
            <w:r>
              <w:rPr>
                <w:noProof/>
                <w:webHidden/>
              </w:rPr>
              <w:instrText xml:space="preserve"> PAGEREF _Toc228306997 \h </w:instrText>
            </w:r>
            <w:r>
              <w:rPr>
                <w:noProof/>
                <w:webHidden/>
              </w:rPr>
            </w:r>
            <w:r>
              <w:rPr>
                <w:noProof/>
                <w:webHidden/>
              </w:rPr>
              <w:fldChar w:fldCharType="separate"/>
            </w:r>
            <w:r>
              <w:rPr>
                <w:noProof/>
                <w:webHidden/>
              </w:rPr>
              <w:t>15</w:t>
            </w:r>
            <w:r>
              <w:rPr>
                <w:noProof/>
                <w:webHidden/>
              </w:rPr>
              <w:fldChar w:fldCharType="end"/>
            </w:r>
          </w:hyperlink>
        </w:p>
        <w:p w14:paraId="2D941F01" w14:textId="3349CD18"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8" w:history="1">
            <w:r w:rsidRPr="003A0A79">
              <w:rPr>
                <w:rStyle w:val="Hyperlink"/>
                <w:noProof/>
              </w:rPr>
              <w:t>VIII. Disaster Recovery Plan: Ransomware Attack</w:t>
            </w:r>
            <w:r>
              <w:rPr>
                <w:noProof/>
                <w:webHidden/>
              </w:rPr>
              <w:tab/>
            </w:r>
            <w:r>
              <w:rPr>
                <w:noProof/>
                <w:webHidden/>
              </w:rPr>
              <w:fldChar w:fldCharType="begin"/>
            </w:r>
            <w:r>
              <w:rPr>
                <w:noProof/>
                <w:webHidden/>
              </w:rPr>
              <w:instrText xml:space="preserve"> PAGEREF _Toc228306998 \h </w:instrText>
            </w:r>
            <w:r>
              <w:rPr>
                <w:noProof/>
                <w:webHidden/>
              </w:rPr>
            </w:r>
            <w:r>
              <w:rPr>
                <w:noProof/>
                <w:webHidden/>
              </w:rPr>
              <w:fldChar w:fldCharType="separate"/>
            </w:r>
            <w:r>
              <w:rPr>
                <w:noProof/>
                <w:webHidden/>
              </w:rPr>
              <w:t>15</w:t>
            </w:r>
            <w:r>
              <w:rPr>
                <w:noProof/>
                <w:webHidden/>
              </w:rPr>
              <w:fldChar w:fldCharType="end"/>
            </w:r>
          </w:hyperlink>
        </w:p>
        <w:p w14:paraId="2676333F" w14:textId="1313B87D"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6999" w:history="1">
            <w:r w:rsidRPr="003A0A79">
              <w:rPr>
                <w:rStyle w:val="Hyperlink"/>
                <w:noProof/>
              </w:rPr>
              <w:t>IX. Protection Mechanisms and Implementation Roadmap</w:t>
            </w:r>
            <w:r>
              <w:rPr>
                <w:noProof/>
                <w:webHidden/>
              </w:rPr>
              <w:tab/>
            </w:r>
            <w:r>
              <w:rPr>
                <w:noProof/>
                <w:webHidden/>
              </w:rPr>
              <w:fldChar w:fldCharType="begin"/>
            </w:r>
            <w:r>
              <w:rPr>
                <w:noProof/>
                <w:webHidden/>
              </w:rPr>
              <w:instrText xml:space="preserve"> PAGEREF _Toc228306999 \h </w:instrText>
            </w:r>
            <w:r>
              <w:rPr>
                <w:noProof/>
                <w:webHidden/>
              </w:rPr>
            </w:r>
            <w:r>
              <w:rPr>
                <w:noProof/>
                <w:webHidden/>
              </w:rPr>
              <w:fldChar w:fldCharType="separate"/>
            </w:r>
            <w:r>
              <w:rPr>
                <w:noProof/>
                <w:webHidden/>
              </w:rPr>
              <w:t>16</w:t>
            </w:r>
            <w:r>
              <w:rPr>
                <w:noProof/>
                <w:webHidden/>
              </w:rPr>
              <w:fldChar w:fldCharType="end"/>
            </w:r>
          </w:hyperlink>
        </w:p>
        <w:p w14:paraId="1F98AF1C" w14:textId="73F8E4D6"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7000" w:history="1">
            <w:r w:rsidRPr="003A0A79">
              <w:rPr>
                <w:rStyle w:val="Hyperlink"/>
                <w:noProof/>
              </w:rPr>
              <w:t>X. Conclusion</w:t>
            </w:r>
            <w:r>
              <w:rPr>
                <w:noProof/>
                <w:webHidden/>
              </w:rPr>
              <w:tab/>
            </w:r>
            <w:r>
              <w:rPr>
                <w:noProof/>
                <w:webHidden/>
              </w:rPr>
              <w:fldChar w:fldCharType="begin"/>
            </w:r>
            <w:r>
              <w:rPr>
                <w:noProof/>
                <w:webHidden/>
              </w:rPr>
              <w:instrText xml:space="preserve"> PAGEREF _Toc228307000 \h </w:instrText>
            </w:r>
            <w:r>
              <w:rPr>
                <w:noProof/>
                <w:webHidden/>
              </w:rPr>
            </w:r>
            <w:r>
              <w:rPr>
                <w:noProof/>
                <w:webHidden/>
              </w:rPr>
              <w:fldChar w:fldCharType="separate"/>
            </w:r>
            <w:r>
              <w:rPr>
                <w:noProof/>
                <w:webHidden/>
              </w:rPr>
              <w:t>17</w:t>
            </w:r>
            <w:r>
              <w:rPr>
                <w:noProof/>
                <w:webHidden/>
              </w:rPr>
              <w:fldChar w:fldCharType="end"/>
            </w:r>
          </w:hyperlink>
        </w:p>
        <w:p w14:paraId="3F8299FE" w14:textId="15C9C72E" w:rsidR="00EB2C11" w:rsidRDefault="00EB2C11">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28307001" w:history="1">
            <w:r w:rsidRPr="003A0A79">
              <w:rPr>
                <w:rStyle w:val="Hyperlink"/>
                <w:noProof/>
              </w:rPr>
              <w:t>References</w:t>
            </w:r>
            <w:r>
              <w:rPr>
                <w:noProof/>
                <w:webHidden/>
              </w:rPr>
              <w:tab/>
            </w:r>
            <w:r>
              <w:rPr>
                <w:noProof/>
                <w:webHidden/>
              </w:rPr>
              <w:fldChar w:fldCharType="begin"/>
            </w:r>
            <w:r>
              <w:rPr>
                <w:noProof/>
                <w:webHidden/>
              </w:rPr>
              <w:instrText xml:space="preserve"> PAGEREF _Toc228307001 \h </w:instrText>
            </w:r>
            <w:r>
              <w:rPr>
                <w:noProof/>
                <w:webHidden/>
              </w:rPr>
            </w:r>
            <w:r>
              <w:rPr>
                <w:noProof/>
                <w:webHidden/>
              </w:rPr>
              <w:fldChar w:fldCharType="separate"/>
            </w:r>
            <w:r>
              <w:rPr>
                <w:noProof/>
                <w:webHidden/>
              </w:rPr>
              <w:t>17</w:t>
            </w:r>
            <w:r>
              <w:rPr>
                <w:noProof/>
                <w:webHidden/>
              </w:rPr>
              <w:fldChar w:fldCharType="end"/>
            </w:r>
          </w:hyperlink>
        </w:p>
        <w:p w14:paraId="10181B00" w14:textId="105A706E" w:rsidR="00C84563" w:rsidRDefault="00C84563">
          <w:r>
            <w:rPr>
              <w:b/>
              <w:bCs/>
              <w:noProof/>
            </w:rPr>
            <w:fldChar w:fldCharType="end"/>
          </w:r>
        </w:p>
      </w:sdtContent>
    </w:sdt>
    <w:p w14:paraId="2F76DD0E" w14:textId="77777777" w:rsidR="00C84563" w:rsidRDefault="00C84563">
      <w:r>
        <w:br w:type="page"/>
      </w:r>
    </w:p>
    <w:p w14:paraId="3CEA451A" w14:textId="77777777" w:rsidR="005B3B94" w:rsidRDefault="005B3B94"/>
    <w:p w14:paraId="35226CDA" w14:textId="6985B812" w:rsidR="00C84563" w:rsidRDefault="00C84563" w:rsidP="00C84563">
      <w:pPr>
        <w:pStyle w:val="Heading1"/>
      </w:pPr>
      <w:bookmarkStart w:id="0" w:name="_Toc228306974"/>
      <w:r w:rsidRPr="00C84563">
        <w:t>Task 1 - Research in Data Security and Compliance</w:t>
      </w:r>
      <w:bookmarkEnd w:id="0"/>
    </w:p>
    <w:p w14:paraId="1C5E2C62" w14:textId="77777777" w:rsidR="00C84563" w:rsidRDefault="00C84563">
      <w:pPr>
        <w:jc w:val="center"/>
        <w:rPr>
          <w:b/>
          <w:color w:val="1F4E79"/>
          <w:sz w:val="32"/>
        </w:rPr>
      </w:pPr>
    </w:p>
    <w:p w14:paraId="53E96450" w14:textId="49F37862" w:rsidR="005B3B94" w:rsidRPr="00EB2C11" w:rsidRDefault="00000000" w:rsidP="00EB2C11">
      <w:pPr>
        <w:pStyle w:val="Heading1"/>
        <w:jc w:val="center"/>
        <w:rPr>
          <w:sz w:val="32"/>
          <w:szCs w:val="32"/>
        </w:rPr>
      </w:pPr>
      <w:bookmarkStart w:id="1" w:name="_Toc228306975"/>
      <w:r w:rsidRPr="00EB2C11">
        <w:rPr>
          <w:sz w:val="32"/>
          <w:szCs w:val="32"/>
        </w:rPr>
        <w:t>The Zero Trust Architecture: A Critical Analysis of Its Principles, Implementation Challenges, and Efficacy Compared to Traditional Models</w:t>
      </w:r>
      <w:bookmarkEnd w:id="1"/>
    </w:p>
    <w:p w14:paraId="6ED35FAF" w14:textId="77777777" w:rsidR="005B3B94" w:rsidRDefault="00000000">
      <w:pPr>
        <w:pStyle w:val="Heading1"/>
      </w:pPr>
      <w:bookmarkStart w:id="2" w:name="_Toc228306976"/>
      <w:r>
        <w:t>Abstract</w:t>
      </w:r>
      <w:bookmarkEnd w:id="2"/>
    </w:p>
    <w:p w14:paraId="3E0AB12A" w14:textId="77777777" w:rsidR="005B3B94" w:rsidRDefault="00000000" w:rsidP="00C84563">
      <w:pPr>
        <w:spacing w:after="120"/>
        <w:jc w:val="both"/>
      </w:pPr>
      <w:r>
        <w:t>This paper critically evaluates Zero Trust Architecture (ZTA) as a contemporary security model for organisations operating across cloud, hybrid, mobile and outsourced digital environments. It argues that traditional perimeter security, centred on firewalls, demilitarised zones and Virtual Private Networks, remains valuable but is no longer adequate as the main basis for organisational trust decisions. Modern cyber risk is increasingly identity-driven, data-centred and distributed across Software as a Service, Bring Your Own Device, third-party and multi-cloud contexts. The paper therefore examines how Zero Trust replaces implicit trust with explicit verification, least-privilege access, micro-segmentation, continuous monitoring and risk-based policy enforcement. It also considers how technologies such as Multi-Factor Authentication, Endpoint Detection and Response, Security Information and Event Management, Security Orchestration Automation and Response, Cloud Security Posture Management, Zero Trust Network Access and Secure Access Service Edge support practical implementation. The analysis concludes that Zero Trust is not a single product or a fashionable replacement for all older controls. Rather, it is a governance-led security architecture that can improve resilience, compliance and business continuity when implemented in phases, aligned with organisational risk appetite and supported by mature asset visibility.</w:t>
      </w:r>
    </w:p>
    <w:p w14:paraId="3B3B6403" w14:textId="77777777" w:rsidR="005B3B94" w:rsidRDefault="00000000">
      <w:pPr>
        <w:pStyle w:val="Heading1"/>
      </w:pPr>
      <w:bookmarkStart w:id="3" w:name="_Toc228306977"/>
      <w:r>
        <w:t>I. Introduction</w:t>
      </w:r>
      <w:bookmarkEnd w:id="3"/>
    </w:p>
    <w:p w14:paraId="70789311" w14:textId="77777777" w:rsidR="005B3B94" w:rsidRDefault="00000000" w:rsidP="00C84563">
      <w:pPr>
        <w:spacing w:after="120"/>
        <w:jc w:val="both"/>
      </w:pPr>
      <w:r>
        <w:t>The security problem facing modern organisations is no longer simply the problem of keeping unauthorised users outside a private network. Information security now has to preserve the confidentiality, integrity and availability of data while also enabling legitimate business activity across cloud platforms, remote workforces, mobile devices and third-party services [1], [14]. This distinction matters because a security design that protects the network but obstructs the organisation is not genuinely successful. Effective security must protect information assets while allowing the organisation to function reliably.</w:t>
      </w:r>
    </w:p>
    <w:p w14:paraId="5CAED40F" w14:textId="77777777" w:rsidR="005B3B94" w:rsidRDefault="00000000" w:rsidP="00C84563">
      <w:pPr>
        <w:spacing w:after="120"/>
        <w:jc w:val="both"/>
      </w:pPr>
      <w:r>
        <w:t>Traditional enterprise security was built around a comparatively stable perimeter. Firewalls, demilitarised zones (DMZs), screened subnets and Virtual Private Networks (VPNs) separated trusted internal networks from untrusted external networks [2]. That model suited an earlier environment in which users, applications and data were mostly located inside the organisation. It is less convincing in an environment where staff work remotely, applications are delivered as Software as a Service (SaaS), infrastructure is spread across cloud providers and attackers frequently exploit legitimate credentials rather than forcing their way through a firewall.</w:t>
      </w:r>
    </w:p>
    <w:p w14:paraId="3A0A180B" w14:textId="77777777" w:rsidR="005B3B94" w:rsidRDefault="00000000" w:rsidP="00C84563">
      <w:pPr>
        <w:spacing w:after="120"/>
        <w:jc w:val="both"/>
      </w:pPr>
      <w:r>
        <w:t xml:space="preserve">Zero Trust Architecture responds to this changed environment by rejecting implicit trust. No request is treated as safe merely because it originates from inside the network. Instead, access must be authenticated, authorised and continuously assessed according to identity, device posture, user behaviour, location, resource sensitivity and policy [3], [4]. This paper argues that Zero Trust is a more defensible </w:t>
      </w:r>
      <w:r>
        <w:lastRenderedPageBreak/>
        <w:t>model for contemporary organisations than traditional perimeter logic. However, its success is conditional: it depends on governance maturity, accurate asset visibility, technical integration, user awareness and realistic implementation planning.</w:t>
      </w:r>
    </w:p>
    <w:p w14:paraId="30493A9C" w14:textId="77777777" w:rsidR="005B3B94" w:rsidRDefault="00000000" w:rsidP="00C84563">
      <w:pPr>
        <w:pStyle w:val="Heading1"/>
        <w:jc w:val="both"/>
      </w:pPr>
      <w:bookmarkStart w:id="4" w:name="_Toc228306978"/>
      <w:r>
        <w:t>II. The Need for a New Security Model</w:t>
      </w:r>
      <w:bookmarkEnd w:id="4"/>
    </w:p>
    <w:p w14:paraId="045A39A2" w14:textId="77777777" w:rsidR="005B3B94" w:rsidRDefault="00000000" w:rsidP="00C84563">
      <w:pPr>
        <w:spacing w:after="120"/>
        <w:jc w:val="both"/>
      </w:pPr>
      <w:r>
        <w:t>A meaningful assessment of Zero Trust must begin with the nature of current threats. A threat is any potential cause of harm to an information asset, while an attack is an act or event that exploits a vulnerability and compromises the organisation's data, systems or services [1]. Contemporary threats are not limited to hostile external intrusions. They include phishing, ransomware, malware, insider misuse, human error, social engineering, misconfigured cloud storage, software vulnerabilities, supply-chain compromise, denial-of-service attacks, hardware failure, software failure and technological obsolescence [1], [12]-[14].</w:t>
      </w:r>
    </w:p>
    <w:p w14:paraId="1461AFDB" w14:textId="77777777" w:rsidR="005B3B94" w:rsidRDefault="00000000" w:rsidP="00C84563">
      <w:pPr>
        <w:spacing w:after="120"/>
        <w:jc w:val="both"/>
      </w:pPr>
      <w:r>
        <w:t>This range of risk exposes a central weakness in perimeter-based thinking. Many damaging incidents do not require an attacker to cross a boundary in an obvious way. A phishing email may capture valid credentials. A misconfigured cloud bucket may expose sensitive data without any firewall being breached. A contractor may retain excessive permissions after a project ends. An unpatched endpoint may be used as a foothold for lateral movement. In each case, the weakness is not simply the perimeter; it is misplaced trust in identities, devices, privileges or configurations.</w:t>
      </w:r>
    </w:p>
    <w:p w14:paraId="02A41A49" w14:textId="77777777" w:rsidR="005B3B94" w:rsidRDefault="00000000" w:rsidP="00C84563">
      <w:pPr>
        <w:spacing w:after="120"/>
        <w:jc w:val="both"/>
      </w:pPr>
      <w:r>
        <w:t>A modern security model must therefore answer a more precise question: should this specific identity, using this specific device, in this specific context, be allowed to access this specific resource at this specific time? This is the problem Zero Trust is designed to address.</w:t>
      </w:r>
    </w:p>
    <w:p w14:paraId="6C911F0F" w14:textId="77777777" w:rsidR="005B3B94" w:rsidRDefault="00000000" w:rsidP="00C84563">
      <w:pPr>
        <w:pStyle w:val="Heading1"/>
        <w:jc w:val="both"/>
      </w:pPr>
      <w:bookmarkStart w:id="5" w:name="_Toc228306979"/>
      <w:r>
        <w:t>III. Traditional Perimeter Security: Strengths and Limitations</w:t>
      </w:r>
      <w:bookmarkEnd w:id="5"/>
    </w:p>
    <w:p w14:paraId="166179AA" w14:textId="77777777" w:rsidR="005B3B94" w:rsidRDefault="00000000" w:rsidP="00C84563">
      <w:pPr>
        <w:spacing w:after="120"/>
        <w:jc w:val="both"/>
      </w:pPr>
      <w:r>
        <w:t>Traditional security architecture is often described as a castle-and-moat model. The organisation invests heavily in boundary controls, and once a user or system passes those controls, wider trust is often granted. Firewalls remain central to this design. Packet-filtering firewalls inspect source and destination addresses, ports and protocols. Stateful firewalls track active sessions. Application-layer proxies inspect higher-level traffic. Next Generation Firewalls and Unified Threat Management devices combine several of these functions [2].</w:t>
      </w:r>
    </w:p>
    <w:p w14:paraId="348538DD" w14:textId="77777777" w:rsidR="005B3B94" w:rsidRDefault="00000000" w:rsidP="00C84563">
      <w:pPr>
        <w:spacing w:after="120"/>
        <w:jc w:val="both"/>
      </w:pPr>
      <w:r>
        <w:t>Network architecture also matters. A screened subnet or DMZ can isolate public-facing services from the internal network, reducing the risk that compromise of a web server immediately exposes critical business systems [2]. VPNs add encrypted remote access by allowing users or sites to connect securely across public networks. These controls remain useful and should not be dismissed. They protect traffic, reduce exposure and provide a first layer of defence.</w:t>
      </w:r>
    </w:p>
    <w:p w14:paraId="75E34269" w14:textId="77777777" w:rsidR="005B3B94" w:rsidRDefault="00000000" w:rsidP="00C84563">
      <w:pPr>
        <w:jc w:val="both"/>
      </w:pPr>
      <w:r>
        <w:rPr>
          <w:b/>
          <w:sz w:val="20"/>
        </w:rPr>
        <w:t>Figure 1. Traditional Perimeter Security Model</w:t>
      </w:r>
    </w:p>
    <w:tbl>
      <w:tblPr>
        <w:tblW w:w="0" w:type="auto"/>
        <w:jc w:val="center"/>
        <w:tblLook w:val="04A0" w:firstRow="1" w:lastRow="0" w:firstColumn="1" w:lastColumn="0" w:noHBand="0" w:noVBand="1"/>
      </w:tblPr>
      <w:tblGrid>
        <w:gridCol w:w="9936"/>
      </w:tblGrid>
      <w:tr w:rsidR="005B3B94" w14:paraId="4B006415" w14:textId="77777777">
        <w:trPr>
          <w:jc w:val="center"/>
        </w:trPr>
        <w:tc>
          <w:tcPr>
            <w:tcW w:w="9936" w:type="dxa"/>
            <w:tcBorders>
              <w:top w:val="single" w:sz="8" w:space="0" w:color="4F81BD"/>
              <w:left w:val="single" w:sz="8" w:space="0" w:color="4F81BD"/>
              <w:bottom w:val="single" w:sz="8" w:space="0" w:color="4F81BD"/>
              <w:right w:val="single" w:sz="8" w:space="0" w:color="4F81BD"/>
            </w:tcBorders>
            <w:shd w:val="clear" w:color="auto" w:fill="F2F6FB"/>
            <w:vAlign w:val="center"/>
          </w:tcPr>
          <w:p w14:paraId="2A77A4F7" w14:textId="77777777" w:rsidR="005B3B94" w:rsidRDefault="00000000" w:rsidP="00C84563">
            <w:pPr>
              <w:jc w:val="center"/>
            </w:pPr>
            <w:r>
              <w:rPr>
                <w:rFonts w:ascii="Courier New" w:eastAsia="Courier New" w:hAnsi="Courier New"/>
                <w:sz w:val="18"/>
              </w:rPr>
              <w:t>Internet</w:t>
            </w:r>
            <w:r>
              <w:br/>
            </w:r>
            <w:r>
              <w:rPr>
                <w:rFonts w:ascii="Courier New" w:eastAsia="Courier New" w:hAnsi="Courier New"/>
                <w:sz w:val="18"/>
              </w:rPr>
              <w:t xml:space="preserve">   |</w:t>
            </w:r>
            <w:r>
              <w:br/>
            </w:r>
            <w:r>
              <w:rPr>
                <w:rFonts w:ascii="Courier New" w:eastAsia="Courier New" w:hAnsi="Courier New"/>
                <w:sz w:val="18"/>
              </w:rPr>
              <w:t>Firewall / VPN Gateway</w:t>
            </w:r>
            <w:r>
              <w:br/>
            </w:r>
            <w:r>
              <w:rPr>
                <w:rFonts w:ascii="Courier New" w:eastAsia="Courier New" w:hAnsi="Courier New"/>
                <w:sz w:val="18"/>
              </w:rPr>
              <w:t xml:space="preserve">   |</w:t>
            </w:r>
            <w:r>
              <w:br/>
            </w:r>
            <w:r>
              <w:rPr>
                <w:rFonts w:ascii="Courier New" w:eastAsia="Courier New" w:hAnsi="Courier New"/>
                <w:sz w:val="18"/>
              </w:rPr>
              <w:t>Trusted Internal Network</w:t>
            </w:r>
            <w:r>
              <w:br/>
            </w:r>
            <w:r>
              <w:rPr>
                <w:rFonts w:ascii="Courier New" w:eastAsia="Courier New" w:hAnsi="Courier New"/>
                <w:sz w:val="18"/>
              </w:rPr>
              <w:t xml:space="preserve">   |---- File Servers</w:t>
            </w:r>
            <w:r>
              <w:br/>
            </w:r>
            <w:r>
              <w:rPr>
                <w:rFonts w:ascii="Courier New" w:eastAsia="Courier New" w:hAnsi="Courier New"/>
                <w:sz w:val="18"/>
              </w:rPr>
              <w:t xml:space="preserve">   |---- Databases</w:t>
            </w:r>
            <w:r>
              <w:br/>
            </w:r>
            <w:r>
              <w:rPr>
                <w:rFonts w:ascii="Courier New" w:eastAsia="Courier New" w:hAnsi="Courier New"/>
                <w:sz w:val="18"/>
              </w:rPr>
              <w:t xml:space="preserve">   |---- Internal Applications</w:t>
            </w:r>
          </w:p>
        </w:tc>
      </w:tr>
    </w:tbl>
    <w:p w14:paraId="690C56FD" w14:textId="77777777" w:rsidR="005B3B94" w:rsidRDefault="005B3B94" w:rsidP="00C84563">
      <w:pPr>
        <w:jc w:val="both"/>
      </w:pPr>
    </w:p>
    <w:p w14:paraId="19720E31" w14:textId="77777777" w:rsidR="005B3B94" w:rsidRDefault="00000000" w:rsidP="00C84563">
      <w:pPr>
        <w:spacing w:after="120"/>
        <w:jc w:val="both"/>
      </w:pPr>
      <w:r>
        <w:lastRenderedPageBreak/>
        <w:t>The limitation is not that perimeter controls are useless, but that they often grant too much trust after initial admission. Once a VPN connection is established, the user may appear effectively internal even where only one application is required. If a device is compromised, attackers may move laterally across insufficiently segmented systems. If an insider misuses legitimate access, the perimeter offers little protection. In cloud and SaaS environments, the boundary itself is also blurred. Therefore, perimeter security remains necessary as a layer, but insufficient as a primary trust model.</w:t>
      </w:r>
    </w:p>
    <w:p w14:paraId="47971EF4" w14:textId="77777777" w:rsidR="005B3B94" w:rsidRDefault="00000000" w:rsidP="00C84563">
      <w:pPr>
        <w:pStyle w:val="Heading1"/>
        <w:jc w:val="both"/>
      </w:pPr>
      <w:bookmarkStart w:id="6" w:name="_Toc228306980"/>
      <w:r>
        <w:t>IV. Zero Trust as an Identity-Centred Architecture</w:t>
      </w:r>
      <w:bookmarkEnd w:id="6"/>
    </w:p>
    <w:p w14:paraId="0B8B567A" w14:textId="77777777" w:rsidR="005B3B94" w:rsidRDefault="00000000" w:rsidP="00C84563">
      <w:pPr>
        <w:spacing w:after="120"/>
        <w:jc w:val="both"/>
      </w:pPr>
      <w:r>
        <w:t>NIST defines Zero Trust as a set of cybersecurity paradigms that move defences away from static, network-based perimeters and towards users, assets and resources [3]. The most important shift is conceptual. Trust is not inherited from network location; it is earned through evidence and continuously reassessed. Access decisions are based on identity, device health, context, policy and the risk profile of the target resource.</w:t>
      </w:r>
    </w:p>
    <w:p w14:paraId="7B814602" w14:textId="77777777" w:rsidR="005B3B94" w:rsidRDefault="00000000" w:rsidP="00C84563">
      <w:pPr>
        <w:jc w:val="both"/>
      </w:pPr>
      <w:r>
        <w:rPr>
          <w:b/>
          <w:sz w:val="20"/>
        </w:rPr>
        <w:t>Figure 2. Zero Trust Access Decision Flow</w:t>
      </w:r>
    </w:p>
    <w:tbl>
      <w:tblPr>
        <w:tblW w:w="0" w:type="auto"/>
        <w:jc w:val="center"/>
        <w:tblLook w:val="04A0" w:firstRow="1" w:lastRow="0" w:firstColumn="1" w:lastColumn="0" w:noHBand="0" w:noVBand="1"/>
      </w:tblPr>
      <w:tblGrid>
        <w:gridCol w:w="9936"/>
      </w:tblGrid>
      <w:tr w:rsidR="005B3B94" w14:paraId="07FFF64D" w14:textId="77777777">
        <w:trPr>
          <w:jc w:val="center"/>
        </w:trPr>
        <w:tc>
          <w:tcPr>
            <w:tcW w:w="9936" w:type="dxa"/>
            <w:tcBorders>
              <w:top w:val="single" w:sz="8" w:space="0" w:color="4F81BD"/>
              <w:left w:val="single" w:sz="8" w:space="0" w:color="4F81BD"/>
              <w:bottom w:val="single" w:sz="8" w:space="0" w:color="4F81BD"/>
              <w:right w:val="single" w:sz="8" w:space="0" w:color="4F81BD"/>
            </w:tcBorders>
            <w:shd w:val="clear" w:color="auto" w:fill="F2F6FB"/>
            <w:vAlign w:val="center"/>
          </w:tcPr>
          <w:p w14:paraId="2967A3B4" w14:textId="77777777" w:rsidR="005B3B94" w:rsidRDefault="00000000" w:rsidP="00C84563">
            <w:pPr>
              <w:jc w:val="center"/>
            </w:pPr>
            <w:r>
              <w:rPr>
                <w:rFonts w:ascii="Courier New" w:eastAsia="Courier New" w:hAnsi="Courier New"/>
                <w:sz w:val="18"/>
              </w:rPr>
              <w:t>Access Request</w:t>
            </w:r>
            <w:r>
              <w:br/>
            </w:r>
            <w:r>
              <w:rPr>
                <w:rFonts w:ascii="Courier New" w:eastAsia="Courier New" w:hAnsi="Courier New"/>
                <w:sz w:val="18"/>
              </w:rPr>
              <w:t xml:space="preserve">      ↓</w:t>
            </w:r>
            <w:r>
              <w:br/>
            </w:r>
            <w:r>
              <w:rPr>
                <w:rFonts w:ascii="Courier New" w:eastAsia="Courier New" w:hAnsi="Courier New"/>
                <w:sz w:val="18"/>
              </w:rPr>
              <w:t>Identity Verification + MFA</w:t>
            </w:r>
            <w:r>
              <w:br/>
            </w:r>
            <w:r>
              <w:rPr>
                <w:rFonts w:ascii="Courier New" w:eastAsia="Courier New" w:hAnsi="Courier New"/>
                <w:sz w:val="18"/>
              </w:rPr>
              <w:t xml:space="preserve">      ↓</w:t>
            </w:r>
            <w:r>
              <w:br/>
            </w:r>
            <w:r>
              <w:rPr>
                <w:rFonts w:ascii="Courier New" w:eastAsia="Courier New" w:hAnsi="Courier New"/>
                <w:sz w:val="18"/>
              </w:rPr>
              <w:t>Device Health and Compliance Check</w:t>
            </w:r>
            <w:r>
              <w:br/>
            </w:r>
            <w:r>
              <w:rPr>
                <w:rFonts w:ascii="Courier New" w:eastAsia="Courier New" w:hAnsi="Courier New"/>
                <w:sz w:val="18"/>
              </w:rPr>
              <w:t xml:space="preserve">      ↓</w:t>
            </w:r>
            <w:r>
              <w:br/>
            </w:r>
            <w:r>
              <w:rPr>
                <w:rFonts w:ascii="Courier New" w:eastAsia="Courier New" w:hAnsi="Courier New"/>
                <w:sz w:val="18"/>
              </w:rPr>
              <w:t>Context and Risk Assessment</w:t>
            </w:r>
            <w:r>
              <w:br/>
            </w:r>
            <w:r>
              <w:rPr>
                <w:rFonts w:ascii="Courier New" w:eastAsia="Courier New" w:hAnsi="Courier New"/>
                <w:sz w:val="18"/>
              </w:rPr>
              <w:t xml:space="preserve">      ↓</w:t>
            </w:r>
            <w:r>
              <w:br/>
            </w:r>
            <w:r>
              <w:rPr>
                <w:rFonts w:ascii="Courier New" w:eastAsia="Courier New" w:hAnsi="Courier New"/>
                <w:sz w:val="18"/>
              </w:rPr>
              <w:t>Policy Decision Engine</w:t>
            </w:r>
            <w:r>
              <w:br/>
            </w:r>
            <w:r>
              <w:rPr>
                <w:rFonts w:ascii="Courier New" w:eastAsia="Courier New" w:hAnsi="Courier New"/>
                <w:sz w:val="18"/>
              </w:rPr>
              <w:t xml:space="preserve">      ↓</w:t>
            </w:r>
            <w:r>
              <w:br/>
            </w:r>
            <w:r>
              <w:rPr>
                <w:rFonts w:ascii="Courier New" w:eastAsia="Courier New" w:hAnsi="Courier New"/>
                <w:sz w:val="18"/>
              </w:rPr>
              <w:t>Least-Privilege Access</w:t>
            </w:r>
            <w:r>
              <w:br/>
            </w:r>
            <w:r>
              <w:rPr>
                <w:rFonts w:ascii="Courier New" w:eastAsia="Courier New" w:hAnsi="Courier New"/>
                <w:sz w:val="18"/>
              </w:rPr>
              <w:t xml:space="preserve">      ↓</w:t>
            </w:r>
            <w:r>
              <w:br/>
            </w:r>
            <w:r>
              <w:rPr>
                <w:rFonts w:ascii="Courier New" w:eastAsia="Courier New" w:hAnsi="Courier New"/>
                <w:sz w:val="18"/>
              </w:rPr>
              <w:t>Continuous Monitoring and Response</w:t>
            </w:r>
          </w:p>
        </w:tc>
      </w:tr>
    </w:tbl>
    <w:p w14:paraId="0198AD83" w14:textId="77777777" w:rsidR="005B3B94" w:rsidRDefault="005B3B94" w:rsidP="00C84563">
      <w:pPr>
        <w:jc w:val="both"/>
      </w:pPr>
    </w:p>
    <w:p w14:paraId="59451D48" w14:textId="77777777" w:rsidR="005B3B94" w:rsidRDefault="00000000" w:rsidP="00C84563">
      <w:pPr>
        <w:spacing w:after="120"/>
        <w:jc w:val="both"/>
      </w:pPr>
      <w:r>
        <w:t>The first principle is explicit verification. Users, devices and workloads must prove their legitimacy through strong authentication, preferably including Multi-Factor Authentication (MFA). The second principle is least privilege. Users should receive only the permissions required for a defined task, and only for as long as those permissions are justified. The third principle is to assume breach. Security design should accept that compromise may already exist somewhere in the environment and should therefore emphasise containment, segmentation and monitoring [3], [4].</w:t>
      </w:r>
    </w:p>
    <w:p w14:paraId="4B8130D1" w14:textId="77777777" w:rsidR="005B3B94" w:rsidRDefault="00000000" w:rsidP="00C84563">
      <w:pPr>
        <w:spacing w:after="120"/>
        <w:jc w:val="both"/>
      </w:pPr>
      <w:r>
        <w:t>Micro-segmentation is especially significant because it limits lateral movement. Rather than permitting broad internal access, systems are divided into smaller logical zones. A compromised account or device should not automatically allow access to unrelated databases, file stores or administrative systems. Continuous validation then ensures that trust is not permanent. A change in behaviour, location, device posture or risk level can trigger step-up authentication, session restriction or termination.</w:t>
      </w:r>
    </w:p>
    <w:p w14:paraId="363AA92E" w14:textId="77777777" w:rsidR="005B3B94" w:rsidRDefault="00000000" w:rsidP="00C84563">
      <w:pPr>
        <w:spacing w:after="120"/>
        <w:jc w:val="both"/>
      </w:pPr>
      <w:r>
        <w:t>This makes Zero Trust more aligned with modern enterprise reality. In distributed environments, the protected object is not the network in the abstract but the particular data, service or workload being requested. Security therefore becomes more precise, more contextual and more closely tied to business risk.</w:t>
      </w:r>
    </w:p>
    <w:p w14:paraId="037908BB" w14:textId="77777777" w:rsidR="005B3B94" w:rsidRDefault="00000000" w:rsidP="00C84563">
      <w:pPr>
        <w:pStyle w:val="Heading1"/>
        <w:jc w:val="both"/>
      </w:pPr>
      <w:bookmarkStart w:id="7" w:name="_Toc228306981"/>
      <w:r>
        <w:lastRenderedPageBreak/>
        <w:t>V. Enabling Technologies and Operational Controls</w:t>
      </w:r>
      <w:bookmarkEnd w:id="7"/>
    </w:p>
    <w:p w14:paraId="55509831" w14:textId="77777777" w:rsidR="005B3B94" w:rsidRDefault="00000000" w:rsidP="00C84563">
      <w:pPr>
        <w:spacing w:after="120"/>
        <w:jc w:val="both"/>
      </w:pPr>
      <w:r>
        <w:t>Zero Trust is sometimes misunderstood as a product that can be purchased and installed. In reality, it is an architecture implemented through coordinated technologies, processes and governance. Identity and Access Management (IAM), Single Sign-On and MFA provide the foundation. Endpoint Detection and Response (EDR) monitors devices for malware, suspicious processes and privilege abuse. Mobile Device Management can enforce compliance for managed devices and reduce the risks associated with Bring Your Own Device (BYOD).</w:t>
      </w:r>
    </w:p>
    <w:p w14:paraId="0FEB7ABA" w14:textId="77777777" w:rsidR="005B3B94" w:rsidRDefault="00000000" w:rsidP="00C84563">
      <w:pPr>
        <w:spacing w:after="120"/>
        <w:jc w:val="both"/>
      </w:pPr>
      <w:r>
        <w:t>Security Information and Event Management (SIEM) aggregates logs from identity systems, endpoints, cloud platforms, network devices and applications. Security Orchestration, Automation and Response (SOAR) can then automate containment actions such as disabling an account, isolating an endpoint or forcing re-authentication. Cloud Security Posture Management (CSPM) identifies misconfigurations in cloud environments, while Data Loss Prevention (DLP) helps prevent sensitive information from being exfiltrated or mishandled. Zero Trust Network Access (ZTNA) improves upon traditional VPN models by granting application-specific access rather than broad network-level connectivity. Secure Access Service Edge (SASE) combines networking and cloud-delivered security functions for distributed users.</w:t>
      </w:r>
    </w:p>
    <w:p w14:paraId="57CFECC3" w14:textId="77777777" w:rsidR="005B3B94" w:rsidRDefault="00000000" w:rsidP="00C84563">
      <w:pPr>
        <w:jc w:val="both"/>
      </w:pPr>
      <w:r>
        <w:rPr>
          <w:b/>
          <w:sz w:val="20"/>
        </w:rPr>
        <w:t>Figure 3. Zero Trust Control Stack</w:t>
      </w:r>
    </w:p>
    <w:tbl>
      <w:tblPr>
        <w:tblW w:w="0" w:type="auto"/>
        <w:jc w:val="center"/>
        <w:tblLook w:val="04A0" w:firstRow="1" w:lastRow="0" w:firstColumn="1" w:lastColumn="0" w:noHBand="0" w:noVBand="1"/>
      </w:tblPr>
      <w:tblGrid>
        <w:gridCol w:w="9936"/>
      </w:tblGrid>
      <w:tr w:rsidR="005B3B94" w14:paraId="4271DA09" w14:textId="77777777">
        <w:trPr>
          <w:jc w:val="center"/>
        </w:trPr>
        <w:tc>
          <w:tcPr>
            <w:tcW w:w="9936" w:type="dxa"/>
            <w:tcBorders>
              <w:top w:val="single" w:sz="8" w:space="0" w:color="4F81BD"/>
              <w:left w:val="single" w:sz="8" w:space="0" w:color="4F81BD"/>
              <w:bottom w:val="single" w:sz="8" w:space="0" w:color="4F81BD"/>
              <w:right w:val="single" w:sz="8" w:space="0" w:color="4F81BD"/>
            </w:tcBorders>
            <w:shd w:val="clear" w:color="auto" w:fill="F2F6FB"/>
            <w:vAlign w:val="center"/>
          </w:tcPr>
          <w:p w14:paraId="5EBAE1B6" w14:textId="77777777" w:rsidR="005B3B94" w:rsidRDefault="00000000" w:rsidP="00553A39">
            <w:pPr>
              <w:jc w:val="center"/>
            </w:pPr>
            <w:r>
              <w:rPr>
                <w:rFonts w:ascii="Courier New" w:eastAsia="Courier New" w:hAnsi="Courier New"/>
                <w:sz w:val="18"/>
              </w:rPr>
              <w:t>Identity Layer:      IAM / SSO / MFA</w:t>
            </w:r>
            <w:r>
              <w:br/>
            </w:r>
            <w:r>
              <w:rPr>
                <w:rFonts w:ascii="Courier New" w:eastAsia="Courier New" w:hAnsi="Courier New"/>
                <w:sz w:val="18"/>
              </w:rPr>
              <w:t>Endpoint Layer:      EDR / MDM / Device Compliance</w:t>
            </w:r>
            <w:r>
              <w:br/>
            </w:r>
            <w:r>
              <w:rPr>
                <w:rFonts w:ascii="Courier New" w:eastAsia="Courier New" w:hAnsi="Courier New"/>
                <w:sz w:val="18"/>
              </w:rPr>
              <w:t>Network Layer:       ZTNA / SASE / Segmentation</w:t>
            </w:r>
            <w:r>
              <w:br/>
            </w:r>
            <w:r>
              <w:rPr>
                <w:rFonts w:ascii="Courier New" w:eastAsia="Courier New" w:hAnsi="Courier New"/>
                <w:sz w:val="18"/>
              </w:rPr>
              <w:t>Cloud Layer:         CSPM / Secure Configuration</w:t>
            </w:r>
            <w:r>
              <w:br/>
            </w:r>
            <w:r>
              <w:rPr>
                <w:rFonts w:ascii="Courier New" w:eastAsia="Courier New" w:hAnsi="Courier New"/>
                <w:sz w:val="18"/>
              </w:rPr>
              <w:t>Data Layer:          DLP / Encryption / Classification</w:t>
            </w:r>
            <w:r>
              <w:br/>
            </w:r>
            <w:r>
              <w:rPr>
                <w:rFonts w:ascii="Courier New" w:eastAsia="Courier New" w:hAnsi="Courier New"/>
                <w:sz w:val="18"/>
              </w:rPr>
              <w:t>Monitoring Layer:    SIEM / Behavioural Analytics</w:t>
            </w:r>
            <w:r>
              <w:br/>
            </w:r>
            <w:r>
              <w:rPr>
                <w:rFonts w:ascii="Courier New" w:eastAsia="Courier New" w:hAnsi="Courier New"/>
                <w:sz w:val="18"/>
              </w:rPr>
              <w:t>Response Layer:      SOAR / Incident Playbooks</w:t>
            </w:r>
          </w:p>
        </w:tc>
      </w:tr>
    </w:tbl>
    <w:p w14:paraId="24C659B9" w14:textId="77777777" w:rsidR="005B3B94" w:rsidRDefault="005B3B94" w:rsidP="00553A39">
      <w:pPr>
        <w:jc w:val="center"/>
      </w:pPr>
    </w:p>
    <w:p w14:paraId="686CC880" w14:textId="77777777" w:rsidR="005B3B94" w:rsidRDefault="00000000" w:rsidP="00C84563">
      <w:pPr>
        <w:spacing w:after="120"/>
        <w:jc w:val="both"/>
      </w:pPr>
      <w:r>
        <w:t>These technologies strengthen Zero Trust only when integrated effectively. Excessive telemetry without analysis can create alert fatigue. Automation without governance can disrupt business operations. Strong access control without user education may encourage unsafe workarounds. Therefore, the technical stack must be supported by clear policy ownership, staff training and incident-response procedures.</w:t>
      </w:r>
    </w:p>
    <w:p w14:paraId="3054BC7B" w14:textId="77777777" w:rsidR="005B3B94" w:rsidRDefault="00000000" w:rsidP="00C84563">
      <w:pPr>
        <w:pStyle w:val="Heading1"/>
        <w:jc w:val="both"/>
      </w:pPr>
      <w:bookmarkStart w:id="8" w:name="_Toc228306982"/>
      <w:r>
        <w:t>VI. Critical Comparison with Traditional Models</w:t>
      </w:r>
      <w:bookmarkEnd w:id="8"/>
    </w:p>
    <w:tbl>
      <w:tblPr>
        <w:tblStyle w:val="TableGrid"/>
        <w:tblW w:w="0" w:type="auto"/>
        <w:jc w:val="center"/>
        <w:tblLook w:val="04A0" w:firstRow="1" w:lastRow="0" w:firstColumn="1" w:lastColumn="0" w:noHBand="0" w:noVBand="1"/>
      </w:tblPr>
      <w:tblGrid>
        <w:gridCol w:w="3312"/>
        <w:gridCol w:w="3312"/>
        <w:gridCol w:w="3312"/>
      </w:tblGrid>
      <w:tr w:rsidR="005B3B94" w14:paraId="38939081" w14:textId="77777777">
        <w:trPr>
          <w:tblHeader/>
          <w:jc w:val="center"/>
        </w:trPr>
        <w:tc>
          <w:tcPr>
            <w:tcW w:w="3312"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3DCF7654" w14:textId="77777777" w:rsidR="005B3B94" w:rsidRDefault="00000000" w:rsidP="00C84563">
            <w:pPr>
              <w:jc w:val="both"/>
            </w:pPr>
            <w:r>
              <w:t>Criterion</w:t>
            </w:r>
          </w:p>
        </w:tc>
        <w:tc>
          <w:tcPr>
            <w:tcW w:w="3312"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5AFB3E78" w14:textId="77777777" w:rsidR="005B3B94" w:rsidRDefault="00000000" w:rsidP="00C84563">
            <w:pPr>
              <w:jc w:val="both"/>
            </w:pPr>
            <w:r>
              <w:t>Traditional Perimeter Model</w:t>
            </w:r>
          </w:p>
        </w:tc>
        <w:tc>
          <w:tcPr>
            <w:tcW w:w="3312"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73986625" w14:textId="77777777" w:rsidR="005B3B94" w:rsidRDefault="00000000" w:rsidP="00C84563">
            <w:pPr>
              <w:jc w:val="both"/>
            </w:pPr>
            <w:r>
              <w:t>Zero Trust Architecture</w:t>
            </w:r>
          </w:p>
        </w:tc>
      </w:tr>
      <w:tr w:rsidR="005B3B94" w14:paraId="0D6BCE98"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101B7078" w14:textId="77777777" w:rsidR="005B3B94" w:rsidRDefault="00000000" w:rsidP="00C84563">
            <w:pPr>
              <w:jc w:val="both"/>
            </w:pPr>
            <w:r>
              <w:t>Trust basis</w:t>
            </w:r>
          </w:p>
        </w:tc>
        <w:tc>
          <w:tcPr>
            <w:tcW w:w="3312" w:type="dxa"/>
            <w:tcBorders>
              <w:top w:val="single" w:sz="4" w:space="0" w:color="A6A6A6"/>
              <w:left w:val="single" w:sz="4" w:space="0" w:color="A6A6A6"/>
              <w:bottom w:val="single" w:sz="4" w:space="0" w:color="A6A6A6"/>
              <w:right w:val="single" w:sz="4" w:space="0" w:color="A6A6A6"/>
            </w:tcBorders>
          </w:tcPr>
          <w:p w14:paraId="07B669A3" w14:textId="77777777" w:rsidR="005B3B94" w:rsidRDefault="00000000" w:rsidP="00C84563">
            <w:pPr>
              <w:jc w:val="both"/>
            </w:pPr>
            <w:r>
              <w:t>Network location and initial admission</w:t>
            </w:r>
          </w:p>
        </w:tc>
        <w:tc>
          <w:tcPr>
            <w:tcW w:w="3312" w:type="dxa"/>
            <w:tcBorders>
              <w:top w:val="single" w:sz="4" w:space="0" w:color="A6A6A6"/>
              <w:left w:val="single" w:sz="4" w:space="0" w:color="A6A6A6"/>
              <w:bottom w:val="single" w:sz="4" w:space="0" w:color="A6A6A6"/>
              <w:right w:val="single" w:sz="4" w:space="0" w:color="A6A6A6"/>
            </w:tcBorders>
          </w:tcPr>
          <w:p w14:paraId="7BFF54F9" w14:textId="77777777" w:rsidR="005B3B94" w:rsidRDefault="00000000" w:rsidP="00C84563">
            <w:pPr>
              <w:jc w:val="both"/>
            </w:pPr>
            <w:r>
              <w:t>Identity, context, device posture and risk</w:t>
            </w:r>
          </w:p>
        </w:tc>
      </w:tr>
      <w:tr w:rsidR="005B3B94" w14:paraId="274726EE"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7BE153B0" w14:textId="77777777" w:rsidR="005B3B94" w:rsidRDefault="00000000" w:rsidP="00C84563">
            <w:pPr>
              <w:jc w:val="both"/>
            </w:pPr>
            <w:r>
              <w:t>Remote access</w:t>
            </w:r>
          </w:p>
        </w:tc>
        <w:tc>
          <w:tcPr>
            <w:tcW w:w="3312" w:type="dxa"/>
            <w:tcBorders>
              <w:top w:val="single" w:sz="4" w:space="0" w:color="A6A6A6"/>
              <w:left w:val="single" w:sz="4" w:space="0" w:color="A6A6A6"/>
              <w:bottom w:val="single" w:sz="4" w:space="0" w:color="A6A6A6"/>
              <w:right w:val="single" w:sz="4" w:space="0" w:color="A6A6A6"/>
            </w:tcBorders>
          </w:tcPr>
          <w:p w14:paraId="0E54892B" w14:textId="77777777" w:rsidR="005B3B94" w:rsidRDefault="00000000" w:rsidP="00C84563">
            <w:pPr>
              <w:jc w:val="both"/>
            </w:pPr>
            <w:r>
              <w:t>VPN-centric, often broad access</w:t>
            </w:r>
          </w:p>
        </w:tc>
        <w:tc>
          <w:tcPr>
            <w:tcW w:w="3312" w:type="dxa"/>
            <w:tcBorders>
              <w:top w:val="single" w:sz="4" w:space="0" w:color="A6A6A6"/>
              <w:left w:val="single" w:sz="4" w:space="0" w:color="A6A6A6"/>
              <w:bottom w:val="single" w:sz="4" w:space="0" w:color="A6A6A6"/>
              <w:right w:val="single" w:sz="4" w:space="0" w:color="A6A6A6"/>
            </w:tcBorders>
          </w:tcPr>
          <w:p w14:paraId="5C1EDE68" w14:textId="77777777" w:rsidR="005B3B94" w:rsidRDefault="00000000" w:rsidP="00C84563">
            <w:pPr>
              <w:jc w:val="both"/>
            </w:pPr>
            <w:r>
              <w:t>Application-specific ZTNA</w:t>
            </w:r>
          </w:p>
        </w:tc>
      </w:tr>
      <w:tr w:rsidR="005B3B94" w14:paraId="319244BF"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6FAD488F" w14:textId="77777777" w:rsidR="005B3B94" w:rsidRDefault="00000000" w:rsidP="00C84563">
            <w:pPr>
              <w:jc w:val="both"/>
            </w:pPr>
            <w:r>
              <w:t>Lateral movement</w:t>
            </w:r>
          </w:p>
        </w:tc>
        <w:tc>
          <w:tcPr>
            <w:tcW w:w="3312" w:type="dxa"/>
            <w:tcBorders>
              <w:top w:val="single" w:sz="4" w:space="0" w:color="A6A6A6"/>
              <w:left w:val="single" w:sz="4" w:space="0" w:color="A6A6A6"/>
              <w:bottom w:val="single" w:sz="4" w:space="0" w:color="A6A6A6"/>
              <w:right w:val="single" w:sz="4" w:space="0" w:color="A6A6A6"/>
            </w:tcBorders>
          </w:tcPr>
          <w:p w14:paraId="65C57674" w14:textId="77777777" w:rsidR="005B3B94" w:rsidRDefault="00000000" w:rsidP="00C84563">
            <w:pPr>
              <w:jc w:val="both"/>
            </w:pPr>
            <w:r>
              <w:t>Higher risk if internal network is flat</w:t>
            </w:r>
          </w:p>
        </w:tc>
        <w:tc>
          <w:tcPr>
            <w:tcW w:w="3312" w:type="dxa"/>
            <w:tcBorders>
              <w:top w:val="single" w:sz="4" w:space="0" w:color="A6A6A6"/>
              <w:left w:val="single" w:sz="4" w:space="0" w:color="A6A6A6"/>
              <w:bottom w:val="single" w:sz="4" w:space="0" w:color="A6A6A6"/>
              <w:right w:val="single" w:sz="4" w:space="0" w:color="A6A6A6"/>
            </w:tcBorders>
          </w:tcPr>
          <w:p w14:paraId="635E3E8B" w14:textId="77777777" w:rsidR="005B3B94" w:rsidRDefault="00000000" w:rsidP="00C84563">
            <w:pPr>
              <w:jc w:val="both"/>
            </w:pPr>
            <w:r>
              <w:t>Reduced through segmentation and least privilege</w:t>
            </w:r>
          </w:p>
        </w:tc>
      </w:tr>
      <w:tr w:rsidR="005B3B94" w14:paraId="5D17E0B8"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53641C97" w14:textId="77777777" w:rsidR="005B3B94" w:rsidRDefault="00000000" w:rsidP="00C84563">
            <w:pPr>
              <w:jc w:val="both"/>
            </w:pPr>
            <w:r>
              <w:t>Cloud suitability</w:t>
            </w:r>
          </w:p>
        </w:tc>
        <w:tc>
          <w:tcPr>
            <w:tcW w:w="3312" w:type="dxa"/>
            <w:tcBorders>
              <w:top w:val="single" w:sz="4" w:space="0" w:color="A6A6A6"/>
              <w:left w:val="single" w:sz="4" w:space="0" w:color="A6A6A6"/>
              <w:bottom w:val="single" w:sz="4" w:space="0" w:color="A6A6A6"/>
              <w:right w:val="single" w:sz="4" w:space="0" w:color="A6A6A6"/>
            </w:tcBorders>
          </w:tcPr>
          <w:p w14:paraId="42A9B874" w14:textId="77777777" w:rsidR="005B3B94" w:rsidRDefault="00000000" w:rsidP="00C84563">
            <w:pPr>
              <w:jc w:val="both"/>
            </w:pPr>
            <w:r>
              <w:t>Weaker where assets sit outside perimeter</w:t>
            </w:r>
          </w:p>
        </w:tc>
        <w:tc>
          <w:tcPr>
            <w:tcW w:w="3312" w:type="dxa"/>
            <w:tcBorders>
              <w:top w:val="single" w:sz="4" w:space="0" w:color="A6A6A6"/>
              <w:left w:val="single" w:sz="4" w:space="0" w:color="A6A6A6"/>
              <w:bottom w:val="single" w:sz="4" w:space="0" w:color="A6A6A6"/>
              <w:right w:val="single" w:sz="4" w:space="0" w:color="A6A6A6"/>
            </w:tcBorders>
          </w:tcPr>
          <w:p w14:paraId="04160DB1" w14:textId="77777777" w:rsidR="005B3B94" w:rsidRDefault="00000000" w:rsidP="00C84563">
            <w:pPr>
              <w:jc w:val="both"/>
            </w:pPr>
            <w:r>
              <w:t>Stronger across SaaS and multi-cloud environments</w:t>
            </w:r>
          </w:p>
        </w:tc>
      </w:tr>
      <w:tr w:rsidR="005B3B94" w14:paraId="6A84D43C"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7814CD21" w14:textId="77777777" w:rsidR="005B3B94" w:rsidRDefault="00000000" w:rsidP="00C84563">
            <w:pPr>
              <w:jc w:val="both"/>
            </w:pPr>
            <w:r>
              <w:t>Insider risk</w:t>
            </w:r>
          </w:p>
        </w:tc>
        <w:tc>
          <w:tcPr>
            <w:tcW w:w="3312" w:type="dxa"/>
            <w:tcBorders>
              <w:top w:val="single" w:sz="4" w:space="0" w:color="A6A6A6"/>
              <w:left w:val="single" w:sz="4" w:space="0" w:color="A6A6A6"/>
              <w:bottom w:val="single" w:sz="4" w:space="0" w:color="A6A6A6"/>
              <w:right w:val="single" w:sz="4" w:space="0" w:color="A6A6A6"/>
            </w:tcBorders>
          </w:tcPr>
          <w:p w14:paraId="510E6678" w14:textId="77777777" w:rsidR="005B3B94" w:rsidRDefault="00000000" w:rsidP="00C84563">
            <w:pPr>
              <w:jc w:val="both"/>
            </w:pPr>
            <w:r>
              <w:t>Limited protection after access is granted</w:t>
            </w:r>
          </w:p>
        </w:tc>
        <w:tc>
          <w:tcPr>
            <w:tcW w:w="3312" w:type="dxa"/>
            <w:tcBorders>
              <w:top w:val="single" w:sz="4" w:space="0" w:color="A6A6A6"/>
              <w:left w:val="single" w:sz="4" w:space="0" w:color="A6A6A6"/>
              <w:bottom w:val="single" w:sz="4" w:space="0" w:color="A6A6A6"/>
              <w:right w:val="single" w:sz="4" w:space="0" w:color="A6A6A6"/>
            </w:tcBorders>
          </w:tcPr>
          <w:p w14:paraId="307DF09F" w14:textId="77777777" w:rsidR="005B3B94" w:rsidRDefault="00000000" w:rsidP="00C84563">
            <w:pPr>
              <w:jc w:val="both"/>
            </w:pPr>
            <w:r>
              <w:t>Improved monitoring and access governance</w:t>
            </w:r>
          </w:p>
        </w:tc>
      </w:tr>
      <w:tr w:rsidR="005B3B94" w14:paraId="3FAD064D"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04CEDEC9" w14:textId="77777777" w:rsidR="005B3B94" w:rsidRDefault="00000000" w:rsidP="00C84563">
            <w:pPr>
              <w:jc w:val="both"/>
            </w:pPr>
            <w:r>
              <w:t>Complexity</w:t>
            </w:r>
          </w:p>
        </w:tc>
        <w:tc>
          <w:tcPr>
            <w:tcW w:w="3312" w:type="dxa"/>
            <w:tcBorders>
              <w:top w:val="single" w:sz="4" w:space="0" w:color="A6A6A6"/>
              <w:left w:val="single" w:sz="4" w:space="0" w:color="A6A6A6"/>
              <w:bottom w:val="single" w:sz="4" w:space="0" w:color="A6A6A6"/>
              <w:right w:val="single" w:sz="4" w:space="0" w:color="A6A6A6"/>
            </w:tcBorders>
          </w:tcPr>
          <w:p w14:paraId="0F458875" w14:textId="77777777" w:rsidR="005B3B94" w:rsidRDefault="00000000" w:rsidP="00C84563">
            <w:pPr>
              <w:jc w:val="both"/>
            </w:pPr>
            <w:r>
              <w:t>Simpler to understand and administer initially</w:t>
            </w:r>
          </w:p>
        </w:tc>
        <w:tc>
          <w:tcPr>
            <w:tcW w:w="3312" w:type="dxa"/>
            <w:tcBorders>
              <w:top w:val="single" w:sz="4" w:space="0" w:color="A6A6A6"/>
              <w:left w:val="single" w:sz="4" w:space="0" w:color="A6A6A6"/>
              <w:bottom w:val="single" w:sz="4" w:space="0" w:color="A6A6A6"/>
              <w:right w:val="single" w:sz="4" w:space="0" w:color="A6A6A6"/>
            </w:tcBorders>
          </w:tcPr>
          <w:p w14:paraId="7990B642" w14:textId="77777777" w:rsidR="005B3B94" w:rsidRDefault="00000000" w:rsidP="00C84563">
            <w:pPr>
              <w:jc w:val="both"/>
            </w:pPr>
            <w:r>
              <w:t>More complex, policy-intensive and maturity-dependent</w:t>
            </w:r>
          </w:p>
        </w:tc>
      </w:tr>
      <w:tr w:rsidR="005B3B94" w14:paraId="58603DB1" w14:textId="77777777">
        <w:trPr>
          <w:jc w:val="center"/>
        </w:trPr>
        <w:tc>
          <w:tcPr>
            <w:tcW w:w="3312" w:type="dxa"/>
            <w:tcBorders>
              <w:top w:val="single" w:sz="4" w:space="0" w:color="A6A6A6"/>
              <w:left w:val="single" w:sz="4" w:space="0" w:color="A6A6A6"/>
              <w:bottom w:val="single" w:sz="4" w:space="0" w:color="A6A6A6"/>
              <w:right w:val="single" w:sz="4" w:space="0" w:color="A6A6A6"/>
            </w:tcBorders>
          </w:tcPr>
          <w:p w14:paraId="6BD7896B" w14:textId="77777777" w:rsidR="005B3B94" w:rsidRDefault="00000000" w:rsidP="00C84563">
            <w:pPr>
              <w:jc w:val="both"/>
            </w:pPr>
            <w:r>
              <w:t>Strategic value</w:t>
            </w:r>
          </w:p>
        </w:tc>
        <w:tc>
          <w:tcPr>
            <w:tcW w:w="3312" w:type="dxa"/>
            <w:tcBorders>
              <w:top w:val="single" w:sz="4" w:space="0" w:color="A6A6A6"/>
              <w:left w:val="single" w:sz="4" w:space="0" w:color="A6A6A6"/>
              <w:bottom w:val="single" w:sz="4" w:space="0" w:color="A6A6A6"/>
              <w:right w:val="single" w:sz="4" w:space="0" w:color="A6A6A6"/>
            </w:tcBorders>
          </w:tcPr>
          <w:p w14:paraId="46BFB8B8" w14:textId="77777777" w:rsidR="005B3B94" w:rsidRDefault="00000000" w:rsidP="00C84563">
            <w:pPr>
              <w:jc w:val="both"/>
            </w:pPr>
            <w:r>
              <w:t>Still useful as a defensive layer</w:t>
            </w:r>
          </w:p>
        </w:tc>
        <w:tc>
          <w:tcPr>
            <w:tcW w:w="3312" w:type="dxa"/>
            <w:tcBorders>
              <w:top w:val="single" w:sz="4" w:space="0" w:color="A6A6A6"/>
              <w:left w:val="single" w:sz="4" w:space="0" w:color="A6A6A6"/>
              <w:bottom w:val="single" w:sz="4" w:space="0" w:color="A6A6A6"/>
              <w:right w:val="single" w:sz="4" w:space="0" w:color="A6A6A6"/>
            </w:tcBorders>
          </w:tcPr>
          <w:p w14:paraId="441E4595" w14:textId="77777777" w:rsidR="005B3B94" w:rsidRDefault="00000000" w:rsidP="00C84563">
            <w:pPr>
              <w:jc w:val="both"/>
            </w:pPr>
            <w:r>
              <w:t>Better suited as the primary modern trust model</w:t>
            </w:r>
          </w:p>
        </w:tc>
      </w:tr>
    </w:tbl>
    <w:p w14:paraId="7F2BA3F6" w14:textId="77777777" w:rsidR="005B3B94" w:rsidRDefault="005B3B94" w:rsidP="00C84563">
      <w:pPr>
        <w:jc w:val="both"/>
      </w:pPr>
    </w:p>
    <w:p w14:paraId="483E0D73" w14:textId="77777777" w:rsidR="005B3B94" w:rsidRDefault="00000000" w:rsidP="00C84563">
      <w:pPr>
        <w:spacing w:after="120"/>
        <w:jc w:val="both"/>
      </w:pPr>
      <w:r>
        <w:lastRenderedPageBreak/>
        <w:t>The comparison shows that Zero Trust is strategically stronger because it reflects how organisations now operate. It is better adapted to remote work, cloud platforms, SaaS, identity-based attacks and regulated data environments. However, it is not automatically superior in every operational sense. It is more complex, more dependent on high-quality asset data and potentially more expensive. Its advantage lies in the fact that it reduces implicit trust and makes access more granular, auditable and responsive to risk.</w:t>
      </w:r>
    </w:p>
    <w:p w14:paraId="0F96E300" w14:textId="77777777" w:rsidR="005B3B94" w:rsidRDefault="00000000" w:rsidP="00C84563">
      <w:pPr>
        <w:pStyle w:val="Heading1"/>
        <w:jc w:val="both"/>
      </w:pPr>
      <w:bookmarkStart w:id="9" w:name="_Toc228306983"/>
      <w:r>
        <w:t>VII. Governance, Compliance and Business Continuity</w:t>
      </w:r>
      <w:bookmarkEnd w:id="9"/>
    </w:p>
    <w:p w14:paraId="2A8F31E5" w14:textId="77777777" w:rsidR="005B3B94" w:rsidRDefault="00000000" w:rsidP="00C84563">
      <w:pPr>
        <w:spacing w:after="120"/>
        <w:jc w:val="both"/>
      </w:pPr>
      <w:r>
        <w:t>Zero Trust is most persuasive when understood as part of governance, risk management and compliance rather than as a narrow technical upgrade. NIST Cybersecurity Framework 2.0 places governance alongside identifying, protecting, detecting, responding and recovering [6]. ISO/IEC 27001:2022 similarly requires a managed Information Security Management System based on risk assessment, control selection, audit and continual improvement [11].</w:t>
      </w:r>
    </w:p>
    <w:p w14:paraId="5279EF30" w14:textId="77777777" w:rsidR="005B3B94" w:rsidRDefault="00000000" w:rsidP="00C84563">
      <w:pPr>
        <w:spacing w:after="120"/>
        <w:jc w:val="both"/>
      </w:pPr>
      <w:r>
        <w:t>The regulatory relevance is clear. UK GDPR and the Data Protection Act 2018 require appropriate technical and organisational measures to protect personal data [7], [8]. NIS2 strengthens cybersecurity and resilience obligations across essential and important sectors [9]. DORA requires financial entities to manage information and communication technology risk and demonstrate digital operational resilience [10]. Zero Trust supports these expectations by improving access governance, reducing excessive privilege, strengthening auditability and containing compromise.</w:t>
      </w:r>
    </w:p>
    <w:p w14:paraId="2AD9EBD7" w14:textId="77777777" w:rsidR="005B3B94" w:rsidRDefault="00000000" w:rsidP="00C84563">
      <w:pPr>
        <w:spacing w:after="120"/>
        <w:jc w:val="both"/>
      </w:pPr>
      <w:r>
        <w:t>However, Zero Trust does not itself equal compliance. Regulators and auditors will still require evidence: documented policies, risk assessments, access reviews, incident records, staff training, monitoring logs, supplier controls and tested recovery plans. This is where Business Continuity Planning (BCP) becomes important. Security should not only prevent incidents; it should also help the organisation continue or recover when incidents occur. A well-governed Zero Trust programme therefore supports both prevention and resilience.</w:t>
      </w:r>
    </w:p>
    <w:p w14:paraId="05396410" w14:textId="77777777" w:rsidR="005B3B94" w:rsidRDefault="00000000" w:rsidP="00C84563">
      <w:pPr>
        <w:pStyle w:val="Heading1"/>
        <w:jc w:val="both"/>
      </w:pPr>
      <w:bookmarkStart w:id="10" w:name="_Toc228306984"/>
      <w:r>
        <w:t>VIII. Implementation Challenges and Limits</w:t>
      </w:r>
      <w:bookmarkEnd w:id="10"/>
    </w:p>
    <w:p w14:paraId="05C05BD5" w14:textId="77777777" w:rsidR="005B3B94" w:rsidRDefault="00000000" w:rsidP="00C84563">
      <w:pPr>
        <w:spacing w:after="120"/>
        <w:jc w:val="both"/>
      </w:pPr>
      <w:r>
        <w:t>The most serious risk in Zero Trust adoption is oversimplification. Organisations may treat it as a branding exercise or assume that purchasing ZTNA, MFA or SASE products is equivalent to achieving Zero Trust. In practice, implementation is difficult because it requires organisational knowledge that many firms do not yet possess.</w:t>
      </w:r>
    </w:p>
    <w:p w14:paraId="3F8FBFB0" w14:textId="77777777" w:rsidR="005B3B94" w:rsidRDefault="00000000" w:rsidP="00C84563">
      <w:pPr>
        <w:spacing w:after="120"/>
        <w:jc w:val="both"/>
      </w:pPr>
      <w:r>
        <w:t>Legacy systems are a major barrier. Older applications may not support MFA, modern identity protocols or granular policy enforcement. Asset visibility is another problem. An organisation cannot enforce least privilege effectively if it does not know which devices exist, where sensitive data is stored, which accounts are active or how applications depend on each other. Poorly managed service accounts, excessive administrator rights and undocumented shadow IT can all undermine the model.</w:t>
      </w:r>
    </w:p>
    <w:p w14:paraId="08B99D74" w14:textId="77777777" w:rsidR="005B3B94" w:rsidRDefault="00000000" w:rsidP="00C84563">
      <w:pPr>
        <w:spacing w:after="120"/>
        <w:jc w:val="both"/>
      </w:pPr>
      <w:r>
        <w:t>Human factors are equally important. Security controls that are too intrusive can frustrate staff and encourage workarounds. Users may resist frequent authentication prompts, strict device policies or restricted access to tools they previously used freely. Security teams may also struggle with skills shortages, increased monitoring demands and the complexity of policy design. In this sense, Zero Trust is as much an organisational change programme as a technical architecture.</w:t>
      </w:r>
    </w:p>
    <w:p w14:paraId="53DA2ECD" w14:textId="77777777" w:rsidR="005B3B94" w:rsidRDefault="00000000" w:rsidP="00C84563">
      <w:pPr>
        <w:spacing w:after="120"/>
        <w:jc w:val="both"/>
      </w:pPr>
      <w:r>
        <w:t>Cost must also be considered. Licensing, consultancy, cloud security tooling, endpoint management, integration work and staff training can be substantial. Smaller organisations may need to prioritise the highest-risk areas first rather than attempt a complete transformation immediately.</w:t>
      </w:r>
    </w:p>
    <w:p w14:paraId="74424922" w14:textId="77777777" w:rsidR="005B3B94" w:rsidRDefault="00000000" w:rsidP="00C84563">
      <w:pPr>
        <w:pStyle w:val="Heading1"/>
        <w:jc w:val="both"/>
      </w:pPr>
      <w:bookmarkStart w:id="11" w:name="_Toc228306985"/>
      <w:r>
        <w:lastRenderedPageBreak/>
        <w:t>IX. Recommended Implementation Roadmap</w:t>
      </w:r>
      <w:bookmarkEnd w:id="11"/>
    </w:p>
    <w:p w14:paraId="2DFC9550" w14:textId="77777777" w:rsidR="005B3B94" w:rsidRDefault="00000000" w:rsidP="00C84563">
      <w:pPr>
        <w:spacing w:after="120"/>
        <w:jc w:val="both"/>
      </w:pPr>
      <w:r>
        <w:t>A realistic Zero Trust programme should be phased and risk-led. The following roadmap is recommended:</w:t>
      </w:r>
    </w:p>
    <w:p w14:paraId="4DF8F08F" w14:textId="77777777" w:rsidR="005B3B94" w:rsidRDefault="00000000" w:rsidP="00C84563">
      <w:pPr>
        <w:pStyle w:val="ListBullet"/>
        <w:spacing w:after="60"/>
        <w:jc w:val="both"/>
      </w:pPr>
      <w:r>
        <w:t>Establish a full inventory of users, devices, applications, data stores and service accounts.</w:t>
      </w:r>
    </w:p>
    <w:p w14:paraId="62317743" w14:textId="77777777" w:rsidR="005B3B94" w:rsidRDefault="00000000" w:rsidP="00C84563">
      <w:pPr>
        <w:pStyle w:val="ListBullet"/>
        <w:spacing w:after="60"/>
        <w:jc w:val="both"/>
      </w:pPr>
      <w:r>
        <w:t>Classify sensitive data and identify business-critical systems.</w:t>
      </w:r>
    </w:p>
    <w:p w14:paraId="1EB932F6" w14:textId="77777777" w:rsidR="005B3B94" w:rsidRDefault="00000000" w:rsidP="00C84563">
      <w:pPr>
        <w:pStyle w:val="ListBullet"/>
        <w:spacing w:after="60"/>
        <w:jc w:val="both"/>
      </w:pPr>
      <w:r>
        <w:t>Enforce MFA for privileged accounts first, then expand to all users.</w:t>
      </w:r>
    </w:p>
    <w:p w14:paraId="41E4D73E" w14:textId="77777777" w:rsidR="005B3B94" w:rsidRDefault="00000000" w:rsidP="00C84563">
      <w:pPr>
        <w:pStyle w:val="ListBullet"/>
        <w:spacing w:after="60"/>
        <w:jc w:val="both"/>
      </w:pPr>
      <w:r>
        <w:t>Reduce unnecessary VPN dependency and introduce ZTNA for application-specific access.</w:t>
      </w:r>
    </w:p>
    <w:p w14:paraId="03223121" w14:textId="77777777" w:rsidR="005B3B94" w:rsidRDefault="00000000" w:rsidP="00C84563">
      <w:pPr>
        <w:pStyle w:val="ListBullet"/>
        <w:spacing w:after="60"/>
        <w:jc w:val="both"/>
      </w:pPr>
      <w:r>
        <w:t>Deploy EDR and device compliance controls across managed endpoints.</w:t>
      </w:r>
    </w:p>
    <w:p w14:paraId="51C37D07" w14:textId="77777777" w:rsidR="005B3B94" w:rsidRDefault="00000000" w:rsidP="00C84563">
      <w:pPr>
        <w:pStyle w:val="ListBullet"/>
        <w:spacing w:after="60"/>
        <w:jc w:val="both"/>
      </w:pPr>
      <w:r>
        <w:t>Centralise logging through SIEM and develop SOAR playbooks for common incidents.</w:t>
      </w:r>
    </w:p>
    <w:p w14:paraId="53A05EAB" w14:textId="77777777" w:rsidR="005B3B94" w:rsidRDefault="00000000" w:rsidP="00C84563">
      <w:pPr>
        <w:pStyle w:val="ListBullet"/>
        <w:spacing w:after="60"/>
        <w:jc w:val="both"/>
      </w:pPr>
      <w:r>
        <w:t>Segment critical systems and apply least-privilege access policies.</w:t>
      </w:r>
    </w:p>
    <w:p w14:paraId="4A5CB0E5" w14:textId="77777777" w:rsidR="005B3B94" w:rsidRDefault="00000000" w:rsidP="00C84563">
      <w:pPr>
        <w:pStyle w:val="ListBullet"/>
        <w:spacing w:after="60"/>
        <w:jc w:val="both"/>
      </w:pPr>
      <w:r>
        <w:t>Use CSPM and DLP to strengthen cloud and data governance.</w:t>
      </w:r>
    </w:p>
    <w:p w14:paraId="60FB14CF" w14:textId="77777777" w:rsidR="005B3B94" w:rsidRDefault="00000000" w:rsidP="00C84563">
      <w:pPr>
        <w:pStyle w:val="ListBullet"/>
        <w:spacing w:after="60"/>
        <w:jc w:val="both"/>
      </w:pPr>
      <w:r>
        <w:t>Conduct regular access reviews, penetration testing and tabletop exercises.</w:t>
      </w:r>
    </w:p>
    <w:p w14:paraId="1B5A3E51" w14:textId="77777777" w:rsidR="005B3B94" w:rsidRDefault="00000000" w:rsidP="00C84563">
      <w:pPr>
        <w:pStyle w:val="ListBullet"/>
        <w:spacing w:after="60"/>
        <w:jc w:val="both"/>
      </w:pPr>
      <w:r>
        <w:t>Align the programme with ISO 27001, NIST CSF 2.0, incident response and BCP.</w:t>
      </w:r>
    </w:p>
    <w:p w14:paraId="7015593A" w14:textId="77777777" w:rsidR="005B3B94" w:rsidRDefault="00000000" w:rsidP="00C84563">
      <w:pPr>
        <w:spacing w:after="120"/>
        <w:jc w:val="both"/>
      </w:pPr>
      <w:r>
        <w:t>This approach recognises that Zero Trust maturity develops over time. The aim is not to remove all traditional controls but to place them inside a more disciplined security architecture where trust is continuously evaluated.</w:t>
      </w:r>
    </w:p>
    <w:p w14:paraId="7E0D01EC" w14:textId="77777777" w:rsidR="005B3B94" w:rsidRDefault="00000000" w:rsidP="00C84563">
      <w:pPr>
        <w:pStyle w:val="Heading1"/>
        <w:jc w:val="both"/>
      </w:pPr>
      <w:bookmarkStart w:id="12" w:name="_Toc228306986"/>
      <w:r>
        <w:t>X. Conclusion</w:t>
      </w:r>
      <w:bookmarkEnd w:id="12"/>
    </w:p>
    <w:p w14:paraId="540FC4AD" w14:textId="77777777" w:rsidR="005B3B94" w:rsidRDefault="00000000" w:rsidP="00C84563">
      <w:pPr>
        <w:spacing w:after="120"/>
        <w:jc w:val="both"/>
      </w:pPr>
      <w:r>
        <w:t>Zero Trust Architecture represents a necessary evolution in information security. Traditional perimeter models built around firewalls, DMZs and VPNs remain useful, but they are no longer sufficient as the main foundation for trust in cloud-dependent, hybrid and identity-driven environments. Their central weakness is the broad trust often granted after initial admission.</w:t>
      </w:r>
    </w:p>
    <w:p w14:paraId="7BF90A1E" w14:textId="77777777" w:rsidR="005B3B94" w:rsidRDefault="00000000" w:rsidP="00C84563">
      <w:pPr>
        <w:spacing w:after="120"/>
        <w:jc w:val="both"/>
      </w:pPr>
      <w:r>
        <w:t>Zero Trust provides a stronger framework because it verifies explicitly, limits privilege, assumes breach, constrains lateral movement and integrates naturally with monitoring and automated response. It is also well aligned with modern governance and compliance expectations under frameworks such as ISO 27001, NIST CSF 2.0, UK GDPR, NIS2 and DORA.</w:t>
      </w:r>
    </w:p>
    <w:p w14:paraId="1C0628F9" w14:textId="77777777" w:rsidR="005B3B94" w:rsidRDefault="00000000" w:rsidP="00C84563">
      <w:pPr>
        <w:spacing w:after="120"/>
        <w:jc w:val="both"/>
      </w:pPr>
      <w:r>
        <w:t>Its superiority, however, is conditional rather than automatic. Poorly implemented Zero Trust can be expensive, disruptive and administratively burdensome. The most defensible conclusion is therefore that Zero Trust should not be treated as a simple replacement for traditional controls. Instead, it should operate as the strategic framework within which older and newer controls are integrated. In contemporary digital environments, trust must be earned continuously, evidenced clearly and withdrawn quickly when risk changes.</w:t>
      </w:r>
    </w:p>
    <w:p w14:paraId="335E868A" w14:textId="77777777" w:rsidR="005B3B94" w:rsidRDefault="00000000" w:rsidP="00C84563">
      <w:pPr>
        <w:pStyle w:val="Heading1"/>
        <w:jc w:val="both"/>
      </w:pPr>
      <w:bookmarkStart w:id="13" w:name="_Toc228306987"/>
      <w:r>
        <w:t>References</w:t>
      </w:r>
      <w:bookmarkEnd w:id="13"/>
    </w:p>
    <w:p w14:paraId="4C5C2ACF" w14:textId="77777777" w:rsidR="005B3B94" w:rsidRDefault="00000000" w:rsidP="00C84563">
      <w:pPr>
        <w:spacing w:after="60"/>
        <w:ind w:left="360" w:hanging="360"/>
        <w:jc w:val="both"/>
      </w:pPr>
      <w:r>
        <w:t>[1] University of Wales Trinity Saint David, The Need for Security, lecture slides, 2025.</w:t>
      </w:r>
    </w:p>
    <w:p w14:paraId="06E31667" w14:textId="77777777" w:rsidR="005B3B94" w:rsidRDefault="00000000" w:rsidP="00C84563">
      <w:pPr>
        <w:spacing w:after="60"/>
        <w:ind w:left="360" w:hanging="360"/>
        <w:jc w:val="both"/>
      </w:pPr>
      <w:r>
        <w:t>[2] University of Wales Trinity Saint David, Security Technology: Firewalls and VPNs, lecture slides, 2025.</w:t>
      </w:r>
    </w:p>
    <w:p w14:paraId="50DF20AB" w14:textId="77777777" w:rsidR="005B3B94" w:rsidRDefault="00000000" w:rsidP="00C84563">
      <w:pPr>
        <w:spacing w:after="60"/>
        <w:ind w:left="360" w:hanging="360"/>
        <w:jc w:val="both"/>
      </w:pPr>
      <w:r>
        <w:t>[3] S. Rose, O. Borchert, S. Mitchell, and S. Connelly, Zero Trust Architecture, NIST Special Publication 800-207, Aug. 2020.</w:t>
      </w:r>
    </w:p>
    <w:p w14:paraId="1AF52341" w14:textId="77777777" w:rsidR="005B3B94" w:rsidRDefault="00000000" w:rsidP="00C84563">
      <w:pPr>
        <w:spacing w:after="60"/>
        <w:ind w:left="360" w:hanging="360"/>
        <w:jc w:val="both"/>
      </w:pPr>
      <w:r>
        <w:t>[4] Cybersecurity and Infrastructure Security Agency, Zero Trust Maturity Model Version 2.0, Apr. 2023.</w:t>
      </w:r>
    </w:p>
    <w:p w14:paraId="49563401" w14:textId="77777777" w:rsidR="005B3B94" w:rsidRDefault="00000000" w:rsidP="00C84563">
      <w:pPr>
        <w:spacing w:after="60"/>
        <w:ind w:left="360" w:hanging="360"/>
        <w:jc w:val="both"/>
      </w:pPr>
      <w:r>
        <w:t>[5] University of Wales Trinity Saint David, Intrusion Detection and Prevention Systems, and Other Security Tools, lecture slides, 2025.</w:t>
      </w:r>
    </w:p>
    <w:p w14:paraId="0B15D778" w14:textId="77777777" w:rsidR="005B3B94" w:rsidRDefault="00000000" w:rsidP="00C84563">
      <w:pPr>
        <w:spacing w:after="60"/>
        <w:ind w:left="360" w:hanging="360"/>
        <w:jc w:val="both"/>
      </w:pPr>
      <w:r>
        <w:t>[6] National Institute of Standards and Technology, The NIST Cybersecurity Framework (CSF) 2.0, NIST CSWP 29, Feb. 2024.</w:t>
      </w:r>
    </w:p>
    <w:p w14:paraId="5FF7C68C" w14:textId="77777777" w:rsidR="005B3B94" w:rsidRDefault="00000000" w:rsidP="00C84563">
      <w:pPr>
        <w:spacing w:after="60"/>
        <w:ind w:left="360" w:hanging="360"/>
        <w:jc w:val="both"/>
      </w:pPr>
      <w:r>
        <w:t>[7] UK Parliament, Data Protection Act 2018. London, U.K., 2018.</w:t>
      </w:r>
    </w:p>
    <w:p w14:paraId="3F88CC4A" w14:textId="77777777" w:rsidR="005B3B94" w:rsidRDefault="00000000" w:rsidP="00C84563">
      <w:pPr>
        <w:spacing w:after="60"/>
        <w:ind w:left="360" w:hanging="360"/>
        <w:jc w:val="both"/>
      </w:pPr>
      <w:r>
        <w:lastRenderedPageBreak/>
        <w:t>[8] UK Government, UK General Data Protection Regulation (UK GDPR). London, U.K., 2021.</w:t>
      </w:r>
    </w:p>
    <w:p w14:paraId="7E120E24" w14:textId="77777777" w:rsidR="005B3B94" w:rsidRDefault="00000000" w:rsidP="00C84563">
      <w:pPr>
        <w:spacing w:after="60"/>
        <w:ind w:left="360" w:hanging="360"/>
        <w:jc w:val="both"/>
      </w:pPr>
      <w:r>
        <w:t>[9] European Parliament and Council, Directive (EU) 2022/2555 on measures for a high common level of cybersecurity across the Union (NIS2), 2022.</w:t>
      </w:r>
    </w:p>
    <w:p w14:paraId="15B5846D" w14:textId="77777777" w:rsidR="005B3B94" w:rsidRDefault="00000000" w:rsidP="00C84563">
      <w:pPr>
        <w:spacing w:after="60"/>
        <w:ind w:left="360" w:hanging="360"/>
        <w:jc w:val="both"/>
      </w:pPr>
      <w:r>
        <w:t>[10] European Parliament and Council, Regulation (EU) 2022/2554 on digital operational resilience for the financial sector (DORA), 2022.</w:t>
      </w:r>
    </w:p>
    <w:p w14:paraId="6FA5FB1F" w14:textId="77777777" w:rsidR="005B3B94" w:rsidRDefault="00000000" w:rsidP="00C84563">
      <w:pPr>
        <w:spacing w:after="60"/>
        <w:ind w:left="360" w:hanging="360"/>
        <w:jc w:val="both"/>
      </w:pPr>
      <w:r>
        <w:t>[11] ISO/IEC 27001:2022, Information Security, Cybersecurity and Privacy Protection - Information Security Management Systems - Requirements. Geneva, Switzerland: International Organization for Standardization, 2022.</w:t>
      </w:r>
    </w:p>
    <w:p w14:paraId="4D9FD6F0" w14:textId="77777777" w:rsidR="005B3B94" w:rsidRDefault="00000000" w:rsidP="00C84563">
      <w:pPr>
        <w:spacing w:after="60"/>
        <w:ind w:left="360" w:hanging="360"/>
        <w:jc w:val="both"/>
      </w:pPr>
      <w:r>
        <w:t>[12] OWASP Foundation, OWASP Top 10: The Ten Most Critical Web Application Security Risks, 2021.</w:t>
      </w:r>
    </w:p>
    <w:p w14:paraId="080586A3" w14:textId="77777777" w:rsidR="005B3B94" w:rsidRDefault="00000000" w:rsidP="00C84563">
      <w:pPr>
        <w:spacing w:after="60"/>
        <w:ind w:left="360" w:hanging="360"/>
        <w:jc w:val="both"/>
      </w:pPr>
      <w:r>
        <w:t>[13] European Union Agency for Cybersecurity, ENISA Threat Landscape 2024, 2024.</w:t>
      </w:r>
    </w:p>
    <w:p w14:paraId="570ADFB3" w14:textId="77777777" w:rsidR="005B3B94" w:rsidRDefault="00000000" w:rsidP="00C84563">
      <w:pPr>
        <w:spacing w:after="60"/>
        <w:ind w:left="360" w:hanging="360"/>
        <w:jc w:val="both"/>
      </w:pPr>
      <w:r>
        <w:t>[14] M. E. Whitman and H. J. Mattord, Principles of Information Security, 7th ed. Boston, MA, USA: Cengage, 2022.</w:t>
      </w:r>
    </w:p>
    <w:p w14:paraId="5734B09D" w14:textId="77777777" w:rsidR="005B3B94" w:rsidRDefault="00000000" w:rsidP="00C84563">
      <w:pPr>
        <w:spacing w:after="60"/>
        <w:ind w:left="360" w:hanging="360"/>
        <w:jc w:val="both"/>
      </w:pPr>
      <w:r>
        <w:t>[15] R. Chandramouli and Z. Butcher, A Zero Trust Architecture Model for Access Control in Cloud-Native Applications in Multi-Cloud Environments, NIST Special Publication 800-207A, Sept. 2023.</w:t>
      </w:r>
    </w:p>
    <w:p w14:paraId="1B686808" w14:textId="77777777" w:rsidR="005B3B94" w:rsidRDefault="00000000" w:rsidP="00C84563">
      <w:pPr>
        <w:jc w:val="both"/>
      </w:pPr>
      <w:r>
        <w:br w:type="page"/>
      </w:r>
    </w:p>
    <w:p w14:paraId="3DAC74D4" w14:textId="6A05921F" w:rsidR="00C84563" w:rsidRDefault="00C84563" w:rsidP="00C84563">
      <w:pPr>
        <w:pStyle w:val="Heading1"/>
      </w:pPr>
      <w:bookmarkStart w:id="14" w:name="_Toc228306988"/>
      <w:r w:rsidRPr="00C84563">
        <w:lastRenderedPageBreak/>
        <w:t>Task 2 - Case Scenario: Data Security and Compliance</w:t>
      </w:r>
      <w:bookmarkEnd w:id="14"/>
    </w:p>
    <w:p w14:paraId="0F6BAB17" w14:textId="3ECC4629" w:rsidR="005B3B94" w:rsidRPr="00EB2C11" w:rsidRDefault="00000000" w:rsidP="00EB2C11">
      <w:pPr>
        <w:pStyle w:val="Heading1"/>
        <w:jc w:val="center"/>
        <w:rPr>
          <w:sz w:val="32"/>
          <w:szCs w:val="32"/>
        </w:rPr>
      </w:pPr>
      <w:bookmarkStart w:id="15" w:name="_Toc228306989"/>
      <w:r w:rsidRPr="00EB2C11">
        <w:rPr>
          <w:sz w:val="32"/>
          <w:szCs w:val="32"/>
        </w:rPr>
        <w:t>Designing a Zero-Trust-Aligned Security Programme for MediTrust Analytics Ltd</w:t>
      </w:r>
      <w:bookmarkEnd w:id="15"/>
    </w:p>
    <w:p w14:paraId="02229EA2" w14:textId="77777777" w:rsidR="005B3B94" w:rsidRDefault="00000000" w:rsidP="00C84563">
      <w:pPr>
        <w:pStyle w:val="Heading1"/>
        <w:jc w:val="both"/>
      </w:pPr>
      <w:bookmarkStart w:id="16" w:name="_Toc228306990"/>
      <w:r>
        <w:t>Abstract</w:t>
      </w:r>
      <w:bookmarkEnd w:id="16"/>
    </w:p>
    <w:p w14:paraId="052C6A99" w14:textId="77777777" w:rsidR="005B3B94" w:rsidRDefault="00000000" w:rsidP="00C84563">
      <w:pPr>
        <w:jc w:val="both"/>
      </w:pPr>
      <w:r>
        <w:t>MediTrust Analytics Ltd is a growing HealthTech software company whose products process clinical records, diagnostic imaging, real-time patient-monitoring data and proprietary artificial intelligence (AI) models. Its planned expansion into the European healthcare market creates a security problem that is simultaneously technical, regulatory and strategic. A conventional perimeter model is inadequate because the organisation operates through a hybrid workforce, multi-cloud platforms, SaaS services, third-party research partners and software supply-chain dependencies. This report designs a Zero-Trust-aligned security programme for MediTrust's new information security unit. It proposes a governance structure, policies for AI usage, secure SaaS configuration and BYOD, a NIST Cybersecurity Framework 2.0 operating model, a targeted risk assessment, a ransomware disaster recovery plan and modern protection mechanisms. The central argument is that Zero Trust should not be treated as a single product or narrow access-control project. For MediTrust, it should operate as a governance-led security programme that protects patient data, safeguards intellectual property, supports GDPR, DORA and NIS2 obligations, and enables sustainable commercial growth in a regulated healthcare market.</w:t>
      </w:r>
    </w:p>
    <w:p w14:paraId="1402167A" w14:textId="77777777" w:rsidR="005B3B94" w:rsidRDefault="00000000" w:rsidP="00C84563">
      <w:pPr>
        <w:pStyle w:val="Heading1"/>
        <w:jc w:val="both"/>
      </w:pPr>
      <w:bookmarkStart w:id="17" w:name="_Toc228306991"/>
      <w:r>
        <w:t>I. Introduction</w:t>
      </w:r>
      <w:bookmarkEnd w:id="17"/>
    </w:p>
    <w:p w14:paraId="2F24F4D8" w14:textId="77777777" w:rsidR="005B3B94" w:rsidRDefault="00000000" w:rsidP="00C84563">
      <w:pPr>
        <w:jc w:val="both"/>
      </w:pPr>
      <w:r>
        <w:t>MediTrust's risk profile is unusually demanding because it combines three sensitive domains: healthcare, AI and cloud-based software delivery. The company processes special category medical data, diagnostic images and IoT monitoring streams that may affect clinical decision-making. A breach would therefore be more than a privacy incident; it could undermine clinical trust, disrupt hospital operations and damage patient safety. Expansion into the EU also brings strict expectations under GDPR, NIS2 and DORA-style operational resilience principles [7]-[10].</w:t>
      </w:r>
    </w:p>
    <w:p w14:paraId="37D1C558" w14:textId="77777777" w:rsidR="005B3B94" w:rsidRDefault="00000000" w:rsidP="00C84563">
      <w:pPr>
        <w:jc w:val="both"/>
      </w:pPr>
      <w:r>
        <w:t>The proposed programme is built around Zero Trust Architecture (ZTA), which assumes that no user, device, workload or third-party connection should be trusted automatically [3]. Access must instead be verified explicitly, limited to the minimum necessary privilege and monitored continuously. This is appropriate for MediTrust because its assets are no longer located behind one stable network boundary. Developers, analysts and research partners access resources from different locations, while AI pipelines and production systems operate across multiple cloud environments.</w:t>
      </w:r>
    </w:p>
    <w:p w14:paraId="058C8C03" w14:textId="77777777" w:rsidR="005B3B94" w:rsidRDefault="00000000" w:rsidP="00C84563">
      <w:pPr>
        <w:jc w:val="both"/>
      </w:pPr>
      <w:r>
        <w:t>The objective is not to replace all traditional controls. Firewalls, encryption, secure network zones and backups remain necessary. However, they must operate inside a broader Zero Trust model that links security controls to business goals: safe EU market entry, regulatory assurance, protection of AI intellectual property, dependable clinical service delivery and trust with hospitals, clinicians and patients.</w:t>
      </w:r>
    </w:p>
    <w:p w14:paraId="7BE4125F" w14:textId="77777777" w:rsidR="005B3B94" w:rsidRDefault="00000000" w:rsidP="00C84563">
      <w:pPr>
        <w:pStyle w:val="Heading1"/>
        <w:jc w:val="both"/>
      </w:pPr>
      <w:bookmarkStart w:id="18" w:name="_Toc228306992"/>
      <w:r>
        <w:t>II. Strategic Objectives and Design Principles</w:t>
      </w:r>
      <w:bookmarkEnd w:id="18"/>
    </w:p>
    <w:p w14:paraId="77A1CB0F" w14:textId="77777777" w:rsidR="005B3B94" w:rsidRDefault="00000000" w:rsidP="00C84563">
      <w:pPr>
        <w:jc w:val="both"/>
      </w:pPr>
      <w:r>
        <w:t xml:space="preserve">The new security unit should be designed as a business-enabling function, not simply a defensive technical team. Its strategic objectives should be to protect patient confidentiality, preserve the integrity of </w:t>
      </w:r>
      <w:r>
        <w:lastRenderedPageBreak/>
        <w:t>AI models and training data, maintain service availability, reduce supply-chain exposure, evidence regulatory compliance and support trustworthy growth in the EU healthcare market.</w:t>
      </w:r>
    </w:p>
    <w:p w14:paraId="14F7E4BB" w14:textId="77777777" w:rsidR="005B3B94" w:rsidRDefault="00000000" w:rsidP="00C84563">
      <w:pPr>
        <w:jc w:val="both"/>
      </w:pPr>
      <w:r>
        <w:t>The programme should follow five design principles. First, identity becomes the primary control plane: all staff, contractors, researchers, service accounts and workloads must be strongly authenticated. Secondly, access must be conditional and least-privileged, so that developers do not receive routine access to production patient data and researchers use approved pseudonymised datasets only. Thirdly, environments must be segmented into development, testing, production, AI training and sensitive clinical data zones. Fourthly, telemetry from cloud platforms, endpoints, SaaS applications and code repositories must feed a central monitoring capability. Finally, resilience must be designed in from the start through immutable backups, recovery testing and clear incident decision rights.</w:t>
      </w:r>
    </w:p>
    <w:p w14:paraId="050E8B2A" w14:textId="77777777" w:rsidR="005B3B94" w:rsidRDefault="00000000" w:rsidP="00C84563">
      <w:pPr>
        <w:jc w:val="both"/>
      </w:pPr>
      <w:r>
        <w:br w:type="page"/>
      </w:r>
    </w:p>
    <w:p w14:paraId="19FD8AB3" w14:textId="77777777" w:rsidR="005B3B94" w:rsidRDefault="00000000" w:rsidP="00C84563">
      <w:pPr>
        <w:pStyle w:val="Caption"/>
        <w:jc w:val="both"/>
      </w:pPr>
      <w:r>
        <w:lastRenderedPageBreak/>
        <w:t>Figure 1. Proposed information security operating model for MediTrust.</w:t>
      </w:r>
    </w:p>
    <w:tbl>
      <w:tblPr>
        <w:tblStyle w:val="TableGrid"/>
        <w:tblW w:w="0" w:type="auto"/>
        <w:jc w:val="center"/>
        <w:tblLook w:val="04A0" w:firstRow="1" w:lastRow="0" w:firstColumn="1" w:lastColumn="0" w:noHBand="0" w:noVBand="1"/>
      </w:tblPr>
      <w:tblGrid>
        <w:gridCol w:w="10152"/>
      </w:tblGrid>
      <w:tr w:rsidR="005B3B94" w14:paraId="6489A091" w14:textId="77777777">
        <w:trPr>
          <w:jc w:val="center"/>
        </w:trPr>
        <w:tc>
          <w:tcPr>
            <w:tcW w:w="10656" w:type="dxa"/>
            <w:shd w:val="clear" w:color="auto" w:fill="F2F2F2"/>
          </w:tcPr>
          <w:p w14:paraId="2EBEB099" w14:textId="77777777" w:rsidR="005B3B94" w:rsidRDefault="00000000" w:rsidP="00C84563">
            <w:pPr>
              <w:jc w:val="both"/>
            </w:pPr>
            <w:r>
              <w:rPr>
                <w:rFonts w:ascii="Consolas" w:hAnsi="Consolas"/>
                <w:sz w:val="16"/>
              </w:rPr>
              <w:t>Board Risk and Audit Committee</w:t>
            </w:r>
          </w:p>
        </w:tc>
      </w:tr>
      <w:tr w:rsidR="005B3B94" w14:paraId="06102406" w14:textId="77777777">
        <w:trPr>
          <w:jc w:val="center"/>
        </w:trPr>
        <w:tc>
          <w:tcPr>
            <w:tcW w:w="10656" w:type="dxa"/>
            <w:shd w:val="clear" w:color="auto" w:fill="FFFFFF"/>
          </w:tcPr>
          <w:p w14:paraId="0EE1C35B" w14:textId="77777777" w:rsidR="005B3B94" w:rsidRDefault="00000000" w:rsidP="00C84563">
            <w:pPr>
              <w:jc w:val="both"/>
            </w:pPr>
            <w:r>
              <w:rPr>
                <w:rFonts w:ascii="Consolas" w:hAnsi="Consolas"/>
                <w:sz w:val="16"/>
              </w:rPr>
              <w:t>↓</w:t>
            </w:r>
          </w:p>
        </w:tc>
      </w:tr>
      <w:tr w:rsidR="005B3B94" w14:paraId="7B6EEA53" w14:textId="77777777">
        <w:trPr>
          <w:jc w:val="center"/>
        </w:trPr>
        <w:tc>
          <w:tcPr>
            <w:tcW w:w="10656" w:type="dxa"/>
            <w:shd w:val="clear" w:color="auto" w:fill="F2F2F2"/>
          </w:tcPr>
          <w:p w14:paraId="3442A2DE" w14:textId="77777777" w:rsidR="005B3B94" w:rsidRDefault="00000000" w:rsidP="00C84563">
            <w:pPr>
              <w:jc w:val="both"/>
            </w:pPr>
            <w:r>
              <w:rPr>
                <w:rFonts w:ascii="Consolas" w:hAnsi="Consolas"/>
                <w:sz w:val="16"/>
              </w:rPr>
              <w:t>Chief Information Security Officer (CISO)</w:t>
            </w:r>
          </w:p>
        </w:tc>
      </w:tr>
      <w:tr w:rsidR="005B3B94" w14:paraId="19B0C2C3" w14:textId="77777777">
        <w:trPr>
          <w:jc w:val="center"/>
        </w:trPr>
        <w:tc>
          <w:tcPr>
            <w:tcW w:w="10656" w:type="dxa"/>
            <w:shd w:val="clear" w:color="auto" w:fill="FFFFFF"/>
          </w:tcPr>
          <w:p w14:paraId="69205D86" w14:textId="77777777" w:rsidR="005B3B94" w:rsidRDefault="00000000" w:rsidP="00C84563">
            <w:pPr>
              <w:jc w:val="both"/>
            </w:pPr>
            <w:r>
              <w:rPr>
                <w:rFonts w:ascii="Consolas" w:hAnsi="Consolas"/>
                <w:sz w:val="16"/>
              </w:rPr>
              <w:t>↓</w:t>
            </w:r>
          </w:p>
        </w:tc>
      </w:tr>
      <w:tr w:rsidR="005B3B94" w14:paraId="1B8EE0E7" w14:textId="77777777">
        <w:trPr>
          <w:jc w:val="center"/>
        </w:trPr>
        <w:tc>
          <w:tcPr>
            <w:tcW w:w="10656" w:type="dxa"/>
            <w:shd w:val="clear" w:color="auto" w:fill="F2F2F2"/>
          </w:tcPr>
          <w:p w14:paraId="2D2C6797" w14:textId="77777777" w:rsidR="005B3B94" w:rsidRDefault="00000000" w:rsidP="00C84563">
            <w:pPr>
              <w:jc w:val="both"/>
            </w:pPr>
            <w:r>
              <w:rPr>
                <w:rFonts w:ascii="Consolas" w:hAnsi="Consolas"/>
                <w:sz w:val="16"/>
              </w:rPr>
              <w:t>Governance &amp; Risk Manager | Data Protection Officer | SOC Lead | Engineering Security Lead</w:t>
            </w:r>
          </w:p>
        </w:tc>
      </w:tr>
      <w:tr w:rsidR="005B3B94" w14:paraId="40CED6A1" w14:textId="77777777">
        <w:trPr>
          <w:jc w:val="center"/>
        </w:trPr>
        <w:tc>
          <w:tcPr>
            <w:tcW w:w="10656" w:type="dxa"/>
            <w:shd w:val="clear" w:color="auto" w:fill="FFFFFF"/>
          </w:tcPr>
          <w:p w14:paraId="5356B79D" w14:textId="77777777" w:rsidR="005B3B94" w:rsidRDefault="00000000" w:rsidP="00C84563">
            <w:pPr>
              <w:jc w:val="both"/>
            </w:pPr>
            <w:r>
              <w:rPr>
                <w:rFonts w:ascii="Consolas" w:hAnsi="Consolas"/>
                <w:sz w:val="16"/>
              </w:rPr>
              <w:t>↓</w:t>
            </w:r>
          </w:p>
        </w:tc>
      </w:tr>
      <w:tr w:rsidR="005B3B94" w14:paraId="35729B67" w14:textId="77777777">
        <w:trPr>
          <w:jc w:val="center"/>
        </w:trPr>
        <w:tc>
          <w:tcPr>
            <w:tcW w:w="10656" w:type="dxa"/>
            <w:shd w:val="clear" w:color="auto" w:fill="F2F2F2"/>
          </w:tcPr>
          <w:p w14:paraId="5A0CBB19" w14:textId="77777777" w:rsidR="005B3B94" w:rsidRDefault="00000000" w:rsidP="00C84563">
            <w:pPr>
              <w:jc w:val="both"/>
            </w:pPr>
            <w:r>
              <w:rPr>
                <w:rFonts w:ascii="Consolas" w:hAnsi="Consolas"/>
                <w:sz w:val="16"/>
              </w:rPr>
              <w:t>Cloud Security Architect | DevSecOps Lead | Third-Party Risk Manager | AI Security &amp; Model Assurance Analyst</w:t>
            </w:r>
          </w:p>
        </w:tc>
      </w:tr>
    </w:tbl>
    <w:p w14:paraId="08C098C9" w14:textId="77777777" w:rsidR="005B3B94" w:rsidRDefault="00000000" w:rsidP="00C84563">
      <w:pPr>
        <w:pStyle w:val="Heading1"/>
        <w:jc w:val="both"/>
      </w:pPr>
      <w:bookmarkStart w:id="19" w:name="_Toc228306993"/>
      <w:r>
        <w:t>III. Organisation Structure for the New Security Unit</w:t>
      </w:r>
      <w:bookmarkEnd w:id="19"/>
    </w:p>
    <w:p w14:paraId="5FB20CBE" w14:textId="77777777" w:rsidR="005B3B94" w:rsidRDefault="00000000" w:rsidP="00C84563">
      <w:pPr>
        <w:jc w:val="both"/>
      </w:pPr>
      <w:r>
        <w:t>The security unit should combine governance, cloud engineering, DevSecOps and compliance rather than separating these areas into isolated teams. The CISO should report cyber risk to the board risk committee, ensuring accountability at senior level. This is important because NIST CSF 2.0 places the Govern function at the centre of cyber risk management [6].</w:t>
      </w:r>
    </w:p>
    <w:p w14:paraId="4C9FB7EE" w14:textId="77777777" w:rsidR="005B3B94" w:rsidRDefault="00000000" w:rsidP="00C84563">
      <w:pPr>
        <w:jc w:val="both"/>
      </w:pPr>
      <w:r>
        <w:t>Two roles are essential. The Cloud Security Architect should design the secure multi-cloud landing zones, identity architecture, encryption patterns, network segmentation, CSPM controls and backup strategy. This role prevents insecure cloud growth and ensures that Azure, AWS or Google Cloud services are configured consistently. The DevSecOps Lead should embed security into the software development lifecycle through secure coding standards, CI/CD controls, dependency scanning, container image scanning, secrets management and Software Bill of Materials (SBOM) production.</w:t>
      </w:r>
    </w:p>
    <w:p w14:paraId="265FF64F" w14:textId="77777777" w:rsidR="005B3B94" w:rsidRDefault="00000000" w:rsidP="00C84563">
      <w:pPr>
        <w:jc w:val="both"/>
      </w:pPr>
      <w:r>
        <w:t>MediTrust should also appoint a DPO to oversee GDPR compliance, a SOC Lead for detection and response, a Third-Party Risk Manager for cloud and research-partner assurance, and an AI Security and Model Assurance Analyst to govern dataset provenance, model integrity and AI misuse risks. This structure is proportionate to a growing HealthTech provider because it supports both operational delivery and regulatory evidence.</w:t>
      </w:r>
    </w:p>
    <w:p w14:paraId="4A790E2A" w14:textId="77777777" w:rsidR="005B3B94" w:rsidRDefault="00000000" w:rsidP="00C84563">
      <w:pPr>
        <w:pStyle w:val="Caption"/>
        <w:jc w:val="both"/>
      </w:pPr>
      <w:r>
        <w:t>Figure 2. Zero Trust access flow for users, devices and workloads.</w:t>
      </w:r>
    </w:p>
    <w:tbl>
      <w:tblPr>
        <w:tblStyle w:val="TableGrid"/>
        <w:tblW w:w="0" w:type="auto"/>
        <w:jc w:val="center"/>
        <w:tblLook w:val="04A0" w:firstRow="1" w:lastRow="0" w:firstColumn="1" w:lastColumn="0" w:noHBand="0" w:noVBand="1"/>
      </w:tblPr>
      <w:tblGrid>
        <w:gridCol w:w="10152"/>
      </w:tblGrid>
      <w:tr w:rsidR="005B3B94" w14:paraId="1232C7C6" w14:textId="77777777">
        <w:trPr>
          <w:jc w:val="center"/>
        </w:trPr>
        <w:tc>
          <w:tcPr>
            <w:tcW w:w="10656" w:type="dxa"/>
            <w:shd w:val="clear" w:color="auto" w:fill="F2F2F2"/>
          </w:tcPr>
          <w:p w14:paraId="21213674" w14:textId="77777777" w:rsidR="005B3B94" w:rsidRDefault="00000000" w:rsidP="00C84563">
            <w:pPr>
              <w:jc w:val="both"/>
            </w:pPr>
            <w:r>
              <w:rPr>
                <w:rFonts w:ascii="Consolas" w:hAnsi="Consolas"/>
                <w:sz w:val="16"/>
              </w:rPr>
              <w:t>Access Request: user, API, device or workload</w:t>
            </w:r>
          </w:p>
        </w:tc>
      </w:tr>
      <w:tr w:rsidR="005B3B94" w14:paraId="071E7E85" w14:textId="77777777">
        <w:trPr>
          <w:jc w:val="center"/>
        </w:trPr>
        <w:tc>
          <w:tcPr>
            <w:tcW w:w="10656" w:type="dxa"/>
            <w:shd w:val="clear" w:color="auto" w:fill="FFFFFF"/>
          </w:tcPr>
          <w:p w14:paraId="4126C348" w14:textId="77777777" w:rsidR="005B3B94" w:rsidRDefault="00000000" w:rsidP="00C84563">
            <w:pPr>
              <w:jc w:val="both"/>
            </w:pPr>
            <w:r>
              <w:rPr>
                <w:rFonts w:ascii="Consolas" w:hAnsi="Consolas"/>
                <w:sz w:val="16"/>
              </w:rPr>
              <w:t>↓</w:t>
            </w:r>
          </w:p>
        </w:tc>
      </w:tr>
      <w:tr w:rsidR="005B3B94" w14:paraId="6BBFD2F3" w14:textId="77777777">
        <w:trPr>
          <w:jc w:val="center"/>
        </w:trPr>
        <w:tc>
          <w:tcPr>
            <w:tcW w:w="10656" w:type="dxa"/>
            <w:shd w:val="clear" w:color="auto" w:fill="F2F2F2"/>
          </w:tcPr>
          <w:p w14:paraId="37E8743B" w14:textId="77777777" w:rsidR="005B3B94" w:rsidRDefault="00000000" w:rsidP="00C84563">
            <w:pPr>
              <w:jc w:val="both"/>
            </w:pPr>
            <w:r>
              <w:rPr>
                <w:rFonts w:ascii="Consolas" w:hAnsi="Consolas"/>
                <w:sz w:val="16"/>
              </w:rPr>
              <w:t>Phishing-resistant MFA + workload identity verification</w:t>
            </w:r>
          </w:p>
        </w:tc>
      </w:tr>
      <w:tr w:rsidR="005B3B94" w14:paraId="329ADC4D" w14:textId="77777777">
        <w:trPr>
          <w:jc w:val="center"/>
        </w:trPr>
        <w:tc>
          <w:tcPr>
            <w:tcW w:w="10656" w:type="dxa"/>
            <w:shd w:val="clear" w:color="auto" w:fill="FFFFFF"/>
          </w:tcPr>
          <w:p w14:paraId="390C941D" w14:textId="77777777" w:rsidR="005B3B94" w:rsidRDefault="00000000" w:rsidP="00C84563">
            <w:pPr>
              <w:jc w:val="both"/>
            </w:pPr>
            <w:r>
              <w:rPr>
                <w:rFonts w:ascii="Consolas" w:hAnsi="Consolas"/>
                <w:sz w:val="16"/>
              </w:rPr>
              <w:t>↓</w:t>
            </w:r>
          </w:p>
        </w:tc>
      </w:tr>
      <w:tr w:rsidR="005B3B94" w14:paraId="434CEC4C" w14:textId="77777777">
        <w:trPr>
          <w:jc w:val="center"/>
        </w:trPr>
        <w:tc>
          <w:tcPr>
            <w:tcW w:w="10656" w:type="dxa"/>
            <w:shd w:val="clear" w:color="auto" w:fill="F2F2F2"/>
          </w:tcPr>
          <w:p w14:paraId="7A023F8D" w14:textId="77777777" w:rsidR="005B3B94" w:rsidRDefault="00000000" w:rsidP="00C84563">
            <w:pPr>
              <w:jc w:val="both"/>
            </w:pPr>
            <w:r>
              <w:rPr>
                <w:rFonts w:ascii="Consolas" w:hAnsi="Consolas"/>
                <w:sz w:val="16"/>
              </w:rPr>
              <w:t>Device posture, location, behaviour and data sensitivity assessed</w:t>
            </w:r>
          </w:p>
        </w:tc>
      </w:tr>
      <w:tr w:rsidR="005B3B94" w14:paraId="43562E88" w14:textId="77777777">
        <w:trPr>
          <w:jc w:val="center"/>
        </w:trPr>
        <w:tc>
          <w:tcPr>
            <w:tcW w:w="10656" w:type="dxa"/>
            <w:shd w:val="clear" w:color="auto" w:fill="FFFFFF"/>
          </w:tcPr>
          <w:p w14:paraId="791204FC" w14:textId="77777777" w:rsidR="005B3B94" w:rsidRDefault="00000000" w:rsidP="00C84563">
            <w:pPr>
              <w:jc w:val="both"/>
            </w:pPr>
            <w:r>
              <w:rPr>
                <w:rFonts w:ascii="Consolas" w:hAnsi="Consolas"/>
                <w:sz w:val="16"/>
              </w:rPr>
              <w:t>↓</w:t>
            </w:r>
          </w:p>
        </w:tc>
      </w:tr>
      <w:tr w:rsidR="005B3B94" w14:paraId="381A3213" w14:textId="77777777">
        <w:trPr>
          <w:jc w:val="center"/>
        </w:trPr>
        <w:tc>
          <w:tcPr>
            <w:tcW w:w="10656" w:type="dxa"/>
            <w:shd w:val="clear" w:color="auto" w:fill="F2F2F2"/>
          </w:tcPr>
          <w:p w14:paraId="5C440254" w14:textId="77777777" w:rsidR="005B3B94" w:rsidRDefault="00000000" w:rsidP="00C84563">
            <w:pPr>
              <w:jc w:val="both"/>
            </w:pPr>
            <w:r>
              <w:rPr>
                <w:rFonts w:ascii="Consolas" w:hAnsi="Consolas"/>
                <w:sz w:val="16"/>
              </w:rPr>
              <w:t>Policy Decision Point evaluates least-privilege access</w:t>
            </w:r>
          </w:p>
        </w:tc>
      </w:tr>
      <w:tr w:rsidR="005B3B94" w14:paraId="72DE980F" w14:textId="77777777">
        <w:trPr>
          <w:jc w:val="center"/>
        </w:trPr>
        <w:tc>
          <w:tcPr>
            <w:tcW w:w="10656" w:type="dxa"/>
            <w:shd w:val="clear" w:color="auto" w:fill="FFFFFF"/>
          </w:tcPr>
          <w:p w14:paraId="5FFFC969" w14:textId="77777777" w:rsidR="005B3B94" w:rsidRDefault="00000000" w:rsidP="00C84563">
            <w:pPr>
              <w:jc w:val="both"/>
            </w:pPr>
            <w:r>
              <w:rPr>
                <w:rFonts w:ascii="Consolas" w:hAnsi="Consolas"/>
                <w:sz w:val="16"/>
              </w:rPr>
              <w:t>↓</w:t>
            </w:r>
          </w:p>
        </w:tc>
      </w:tr>
      <w:tr w:rsidR="005B3B94" w14:paraId="20522713" w14:textId="77777777">
        <w:trPr>
          <w:jc w:val="center"/>
        </w:trPr>
        <w:tc>
          <w:tcPr>
            <w:tcW w:w="10656" w:type="dxa"/>
            <w:shd w:val="clear" w:color="auto" w:fill="F2F2F2"/>
          </w:tcPr>
          <w:p w14:paraId="607C6C43" w14:textId="77777777" w:rsidR="005B3B94" w:rsidRDefault="00000000" w:rsidP="00C84563">
            <w:pPr>
              <w:jc w:val="both"/>
            </w:pPr>
            <w:r>
              <w:rPr>
                <w:rFonts w:ascii="Consolas" w:hAnsi="Consolas"/>
                <w:sz w:val="16"/>
              </w:rPr>
              <w:t>Application-specific access via ZTNA; no broad network trust</w:t>
            </w:r>
          </w:p>
        </w:tc>
      </w:tr>
      <w:tr w:rsidR="005B3B94" w14:paraId="61B1D4EE" w14:textId="77777777">
        <w:trPr>
          <w:jc w:val="center"/>
        </w:trPr>
        <w:tc>
          <w:tcPr>
            <w:tcW w:w="10656" w:type="dxa"/>
            <w:shd w:val="clear" w:color="auto" w:fill="FFFFFF"/>
          </w:tcPr>
          <w:p w14:paraId="0AB1CA7D" w14:textId="77777777" w:rsidR="005B3B94" w:rsidRDefault="00000000" w:rsidP="00C84563">
            <w:pPr>
              <w:jc w:val="both"/>
            </w:pPr>
            <w:r>
              <w:rPr>
                <w:rFonts w:ascii="Consolas" w:hAnsi="Consolas"/>
                <w:sz w:val="16"/>
              </w:rPr>
              <w:t>↓</w:t>
            </w:r>
          </w:p>
        </w:tc>
      </w:tr>
      <w:tr w:rsidR="005B3B94" w14:paraId="5CE07C33" w14:textId="77777777">
        <w:trPr>
          <w:jc w:val="center"/>
        </w:trPr>
        <w:tc>
          <w:tcPr>
            <w:tcW w:w="10656" w:type="dxa"/>
            <w:shd w:val="clear" w:color="auto" w:fill="F2F2F2"/>
          </w:tcPr>
          <w:p w14:paraId="7E429F26" w14:textId="77777777" w:rsidR="005B3B94" w:rsidRDefault="00000000" w:rsidP="00C84563">
            <w:pPr>
              <w:jc w:val="both"/>
            </w:pPr>
            <w:r>
              <w:rPr>
                <w:rFonts w:ascii="Consolas" w:hAnsi="Consolas"/>
                <w:sz w:val="16"/>
              </w:rPr>
              <w:t>Continuous logging to SIEM; EDR/SOAR response if risk changes</w:t>
            </w:r>
          </w:p>
        </w:tc>
      </w:tr>
    </w:tbl>
    <w:p w14:paraId="2B09930F" w14:textId="77777777" w:rsidR="005B3B94" w:rsidRDefault="00000000" w:rsidP="00C84563">
      <w:pPr>
        <w:pStyle w:val="Heading1"/>
        <w:jc w:val="both"/>
      </w:pPr>
      <w:bookmarkStart w:id="20" w:name="_Toc228306994"/>
      <w:r>
        <w:t>IV. Policies and Procedures</w:t>
      </w:r>
      <w:bookmarkEnd w:id="20"/>
    </w:p>
    <w:p w14:paraId="295B7AD2" w14:textId="77777777" w:rsidR="005B3B94" w:rsidRDefault="00000000" w:rsidP="00C84563">
      <w:pPr>
        <w:jc w:val="both"/>
      </w:pPr>
      <w:r>
        <w:t>Policies translate architecture into repeatable behaviour. For MediTrust, the three priority policies should cover AI usage, secure SaaS configuration and BYOD because these are the areas where sensitive data, hybrid work and external platforms intersect.</w:t>
      </w:r>
    </w:p>
    <w:tbl>
      <w:tblPr>
        <w:tblStyle w:val="TableGrid"/>
        <w:tblW w:w="0" w:type="auto"/>
        <w:jc w:val="center"/>
        <w:tblLook w:val="04A0" w:firstRow="1" w:lastRow="0" w:firstColumn="1" w:lastColumn="0" w:noHBand="0" w:noVBand="1"/>
      </w:tblPr>
      <w:tblGrid>
        <w:gridCol w:w="3371"/>
        <w:gridCol w:w="3385"/>
        <w:gridCol w:w="3396"/>
      </w:tblGrid>
      <w:tr w:rsidR="005B3B94" w14:paraId="6F08672C" w14:textId="77777777">
        <w:trPr>
          <w:jc w:val="center"/>
        </w:trPr>
        <w:tc>
          <w:tcPr>
            <w:tcW w:w="3552" w:type="dxa"/>
            <w:shd w:val="clear" w:color="auto" w:fill="1F4E79"/>
            <w:vAlign w:val="center"/>
          </w:tcPr>
          <w:p w14:paraId="358391FF" w14:textId="77777777" w:rsidR="005B3B94" w:rsidRDefault="00000000" w:rsidP="00C84563">
            <w:pPr>
              <w:jc w:val="both"/>
            </w:pPr>
            <w:r>
              <w:rPr>
                <w:b/>
                <w:color w:val="FFFFFF"/>
              </w:rPr>
              <w:t>Policy</w:t>
            </w:r>
          </w:p>
        </w:tc>
        <w:tc>
          <w:tcPr>
            <w:tcW w:w="3552" w:type="dxa"/>
            <w:shd w:val="clear" w:color="auto" w:fill="1F4E79"/>
            <w:vAlign w:val="center"/>
          </w:tcPr>
          <w:p w14:paraId="1384B6F6" w14:textId="77777777" w:rsidR="005B3B94" w:rsidRDefault="00000000" w:rsidP="00C84563">
            <w:pPr>
              <w:jc w:val="both"/>
            </w:pPr>
            <w:r>
              <w:rPr>
                <w:b/>
                <w:color w:val="FFFFFF"/>
              </w:rPr>
              <w:t>Core Requirements</w:t>
            </w:r>
          </w:p>
        </w:tc>
        <w:tc>
          <w:tcPr>
            <w:tcW w:w="3552" w:type="dxa"/>
            <w:shd w:val="clear" w:color="auto" w:fill="1F4E79"/>
            <w:vAlign w:val="center"/>
          </w:tcPr>
          <w:p w14:paraId="656BAE3E" w14:textId="77777777" w:rsidR="005B3B94" w:rsidRDefault="00000000" w:rsidP="00C84563">
            <w:pPr>
              <w:jc w:val="both"/>
            </w:pPr>
            <w:r>
              <w:rPr>
                <w:b/>
                <w:color w:val="FFFFFF"/>
              </w:rPr>
              <w:t>Justification</w:t>
            </w:r>
          </w:p>
        </w:tc>
      </w:tr>
      <w:tr w:rsidR="005B3B94" w14:paraId="3057C59D" w14:textId="77777777">
        <w:trPr>
          <w:jc w:val="center"/>
        </w:trPr>
        <w:tc>
          <w:tcPr>
            <w:tcW w:w="3552" w:type="dxa"/>
          </w:tcPr>
          <w:p w14:paraId="306AFD58" w14:textId="77777777" w:rsidR="005B3B94" w:rsidRDefault="00000000" w:rsidP="00C84563">
            <w:pPr>
              <w:jc w:val="both"/>
            </w:pPr>
            <w:r>
              <w:t>AI Usage Policy</w:t>
            </w:r>
          </w:p>
        </w:tc>
        <w:tc>
          <w:tcPr>
            <w:tcW w:w="3552" w:type="dxa"/>
          </w:tcPr>
          <w:p w14:paraId="1385E446" w14:textId="77777777" w:rsidR="005B3B94" w:rsidRDefault="00000000" w:rsidP="00C84563">
            <w:pPr>
              <w:jc w:val="both"/>
            </w:pPr>
            <w:r>
              <w:t xml:space="preserve">Approved datasets only; provenance records; DPIA for high-risk processing; human clinical oversight; model change logging; no patient-identifiable data in public AI tools; adversarial </w:t>
            </w:r>
            <w:r>
              <w:lastRenderedPageBreak/>
              <w:t>testing before release.</w:t>
            </w:r>
          </w:p>
        </w:tc>
        <w:tc>
          <w:tcPr>
            <w:tcW w:w="3552" w:type="dxa"/>
          </w:tcPr>
          <w:p w14:paraId="129319F7" w14:textId="77777777" w:rsidR="005B3B94" w:rsidRDefault="00000000" w:rsidP="00C84563">
            <w:pPr>
              <w:jc w:val="both"/>
            </w:pPr>
            <w:r>
              <w:lastRenderedPageBreak/>
              <w:t>Protects special category data, reduces model poisoning risk and supports explainable, accountable clinical AI.</w:t>
            </w:r>
          </w:p>
        </w:tc>
      </w:tr>
      <w:tr w:rsidR="005B3B94" w14:paraId="3D01507F" w14:textId="77777777">
        <w:trPr>
          <w:jc w:val="center"/>
        </w:trPr>
        <w:tc>
          <w:tcPr>
            <w:tcW w:w="3552" w:type="dxa"/>
          </w:tcPr>
          <w:p w14:paraId="3244EA4F" w14:textId="77777777" w:rsidR="005B3B94" w:rsidRDefault="00000000" w:rsidP="00C84563">
            <w:pPr>
              <w:jc w:val="both"/>
            </w:pPr>
            <w:r>
              <w:t>Secure SaaS Configuration Policy</w:t>
            </w:r>
          </w:p>
        </w:tc>
        <w:tc>
          <w:tcPr>
            <w:tcW w:w="3552" w:type="dxa"/>
          </w:tcPr>
          <w:p w14:paraId="18DD9D1D" w14:textId="77777777" w:rsidR="005B3B94" w:rsidRDefault="00000000" w:rsidP="00C84563">
            <w:pPr>
              <w:jc w:val="both"/>
            </w:pPr>
            <w:r>
              <w:t>SSO and MFA required; anonymous sharing disabled; encryption enabled; central logging; quarterly access reviews; baseline configuration standards; approval process for new SaaS.</w:t>
            </w:r>
          </w:p>
        </w:tc>
        <w:tc>
          <w:tcPr>
            <w:tcW w:w="3552" w:type="dxa"/>
          </w:tcPr>
          <w:p w14:paraId="08E10ECC" w14:textId="77777777" w:rsidR="005B3B94" w:rsidRDefault="00000000" w:rsidP="00C84563">
            <w:pPr>
              <w:jc w:val="both"/>
            </w:pPr>
            <w:r>
              <w:t>Reduces data leakage and misconfiguration risk across collaboration, analytics and development platforms.</w:t>
            </w:r>
          </w:p>
        </w:tc>
      </w:tr>
      <w:tr w:rsidR="005B3B94" w14:paraId="730FCB6A" w14:textId="77777777">
        <w:trPr>
          <w:jc w:val="center"/>
        </w:trPr>
        <w:tc>
          <w:tcPr>
            <w:tcW w:w="3552" w:type="dxa"/>
          </w:tcPr>
          <w:p w14:paraId="7679EE4D" w14:textId="77777777" w:rsidR="005B3B94" w:rsidRDefault="00000000" w:rsidP="00C84563">
            <w:pPr>
              <w:jc w:val="both"/>
            </w:pPr>
            <w:r>
              <w:t>BYOD and Hybrid Workforce Policy</w:t>
            </w:r>
          </w:p>
        </w:tc>
        <w:tc>
          <w:tcPr>
            <w:tcW w:w="3552" w:type="dxa"/>
          </w:tcPr>
          <w:p w14:paraId="3EB7FBD4" w14:textId="77777777" w:rsidR="005B3B94" w:rsidRDefault="00000000" w:rsidP="00C84563">
            <w:pPr>
              <w:jc w:val="both"/>
            </w:pPr>
            <w:r>
              <w:t>Only enrolled devices permitted; MDM required; encryption, patching and screen lock enforced; local patient-data storage prohibited; remote wipe enabled; access only through ZTNA.</w:t>
            </w:r>
          </w:p>
        </w:tc>
        <w:tc>
          <w:tcPr>
            <w:tcW w:w="3552" w:type="dxa"/>
          </w:tcPr>
          <w:p w14:paraId="3344D799" w14:textId="77777777" w:rsidR="005B3B94" w:rsidRDefault="00000000" w:rsidP="00C84563">
            <w:pPr>
              <w:jc w:val="both"/>
            </w:pPr>
            <w:r>
              <w:t>Controls endpoint risk while allowing flexible hybrid work without granting broad network trust.</w:t>
            </w:r>
          </w:p>
        </w:tc>
      </w:tr>
    </w:tbl>
    <w:p w14:paraId="3FFBA29C" w14:textId="77777777" w:rsidR="005B3B94" w:rsidRDefault="00000000" w:rsidP="00C84563">
      <w:pPr>
        <w:jc w:val="both"/>
      </w:pPr>
      <w:r>
        <w:t>The AI Usage Policy is particularly important because the integrity of training data is a security and safety issue. A poisoned dataset or unauthorised model change could cause unreliable outputs while appearing technically legitimate. The policy must therefore govern the full AI lifecycle: acquisition of data, preprocessing, model training, validation, deployment, monitoring and retirement.</w:t>
      </w:r>
    </w:p>
    <w:p w14:paraId="339A1350" w14:textId="77777777" w:rsidR="005B3B94" w:rsidRDefault="00000000" w:rsidP="00C84563">
      <w:pPr>
        <w:jc w:val="both"/>
      </w:pPr>
      <w:r>
        <w:t>The SaaS and BYOD policies should be enforced technically rather than left as paper controls. Conditional access, MDM, device compliance checks, SaaS security posture management and DLP rules should prevent unsafe activity by default. This is consistent with Zero Trust because trust is based on verified evidence, not employee intention.</w:t>
      </w:r>
    </w:p>
    <w:p w14:paraId="38E3B955" w14:textId="77777777" w:rsidR="005B3B94" w:rsidRDefault="00000000" w:rsidP="00C84563">
      <w:pPr>
        <w:pStyle w:val="Heading1"/>
        <w:jc w:val="both"/>
      </w:pPr>
      <w:bookmarkStart w:id="21" w:name="_Toc228306995"/>
      <w:r>
        <w:t>V. Governance Model Based on NIST CSF 2.0</w:t>
      </w:r>
      <w:bookmarkEnd w:id="21"/>
    </w:p>
    <w:p w14:paraId="1349C07B" w14:textId="77777777" w:rsidR="005B3B94" w:rsidRDefault="00000000" w:rsidP="00C84563">
      <w:pPr>
        <w:jc w:val="both"/>
      </w:pPr>
      <w:r>
        <w:t>NIST CSF 2.0 is a suitable governance model because it provides a structured way to connect cyber risk to organisational objectives [6]. For MediTrust, the framework should be implemented as an operating model with board-level metrics, risk ownership and measurable control maturity.</w:t>
      </w:r>
    </w:p>
    <w:tbl>
      <w:tblPr>
        <w:tblStyle w:val="TableGrid"/>
        <w:tblW w:w="0" w:type="auto"/>
        <w:jc w:val="center"/>
        <w:tblLook w:val="04A0" w:firstRow="1" w:lastRow="0" w:firstColumn="1" w:lastColumn="0" w:noHBand="0" w:noVBand="1"/>
      </w:tblPr>
      <w:tblGrid>
        <w:gridCol w:w="3345"/>
        <w:gridCol w:w="3403"/>
        <w:gridCol w:w="3404"/>
      </w:tblGrid>
      <w:tr w:rsidR="005B3B94" w14:paraId="414C76B8" w14:textId="77777777">
        <w:trPr>
          <w:jc w:val="center"/>
        </w:trPr>
        <w:tc>
          <w:tcPr>
            <w:tcW w:w="3552" w:type="dxa"/>
            <w:shd w:val="clear" w:color="auto" w:fill="1F4E79"/>
            <w:vAlign w:val="center"/>
          </w:tcPr>
          <w:p w14:paraId="0F69F6EB" w14:textId="77777777" w:rsidR="005B3B94" w:rsidRDefault="00000000" w:rsidP="00EB2C11">
            <w:pPr>
              <w:jc w:val="center"/>
            </w:pPr>
            <w:r>
              <w:rPr>
                <w:b/>
                <w:color w:val="FFFFFF"/>
              </w:rPr>
              <w:t>CSF Function</w:t>
            </w:r>
          </w:p>
        </w:tc>
        <w:tc>
          <w:tcPr>
            <w:tcW w:w="3552" w:type="dxa"/>
            <w:shd w:val="clear" w:color="auto" w:fill="1F4E79"/>
            <w:vAlign w:val="center"/>
          </w:tcPr>
          <w:p w14:paraId="6F324CBE" w14:textId="77777777" w:rsidR="005B3B94" w:rsidRDefault="00000000" w:rsidP="00EB2C11">
            <w:pPr>
              <w:jc w:val="center"/>
            </w:pPr>
            <w:r>
              <w:rPr>
                <w:b/>
                <w:color w:val="FFFFFF"/>
              </w:rPr>
              <w:t>MediTrust Implementation</w:t>
            </w:r>
          </w:p>
        </w:tc>
        <w:tc>
          <w:tcPr>
            <w:tcW w:w="3552" w:type="dxa"/>
            <w:shd w:val="clear" w:color="auto" w:fill="1F4E79"/>
            <w:vAlign w:val="center"/>
          </w:tcPr>
          <w:p w14:paraId="77B6F7C7" w14:textId="77777777" w:rsidR="005B3B94" w:rsidRDefault="00000000" w:rsidP="00EB2C11">
            <w:pPr>
              <w:jc w:val="center"/>
            </w:pPr>
            <w:r>
              <w:rPr>
                <w:b/>
                <w:color w:val="FFFFFF"/>
              </w:rPr>
              <w:t>Business Link</w:t>
            </w:r>
          </w:p>
        </w:tc>
      </w:tr>
      <w:tr w:rsidR="005B3B94" w14:paraId="386E7C69" w14:textId="77777777">
        <w:trPr>
          <w:jc w:val="center"/>
        </w:trPr>
        <w:tc>
          <w:tcPr>
            <w:tcW w:w="3552" w:type="dxa"/>
          </w:tcPr>
          <w:p w14:paraId="2D733A33" w14:textId="77777777" w:rsidR="005B3B94" w:rsidRDefault="00000000" w:rsidP="00EB2C11">
            <w:pPr>
              <w:jc w:val="center"/>
            </w:pPr>
            <w:r>
              <w:t>Govern</w:t>
            </w:r>
          </w:p>
        </w:tc>
        <w:tc>
          <w:tcPr>
            <w:tcW w:w="3552" w:type="dxa"/>
          </w:tcPr>
          <w:p w14:paraId="388C89B3" w14:textId="77777777" w:rsidR="005B3B94" w:rsidRDefault="00000000" w:rsidP="00EB2C11">
            <w:pPr>
              <w:jc w:val="center"/>
            </w:pPr>
            <w:r>
              <w:t>Board risk reporting, policies, risk appetite, supplier accountability, regulatory evidence.</w:t>
            </w:r>
          </w:p>
        </w:tc>
        <w:tc>
          <w:tcPr>
            <w:tcW w:w="3552" w:type="dxa"/>
          </w:tcPr>
          <w:p w14:paraId="028B6356" w14:textId="77777777" w:rsidR="005B3B94" w:rsidRDefault="00000000" w:rsidP="00EB2C11">
            <w:pPr>
              <w:jc w:val="center"/>
            </w:pPr>
            <w:r>
              <w:t>Demonstrates mature assurance to hospitals, regulators and investors.</w:t>
            </w:r>
          </w:p>
        </w:tc>
      </w:tr>
      <w:tr w:rsidR="005B3B94" w14:paraId="43E9BB9D" w14:textId="77777777">
        <w:trPr>
          <w:jc w:val="center"/>
        </w:trPr>
        <w:tc>
          <w:tcPr>
            <w:tcW w:w="3552" w:type="dxa"/>
          </w:tcPr>
          <w:p w14:paraId="01A79B65" w14:textId="77777777" w:rsidR="005B3B94" w:rsidRDefault="00000000" w:rsidP="00EB2C11">
            <w:pPr>
              <w:jc w:val="center"/>
            </w:pPr>
            <w:r>
              <w:t>Identify</w:t>
            </w:r>
          </w:p>
        </w:tc>
        <w:tc>
          <w:tcPr>
            <w:tcW w:w="3552" w:type="dxa"/>
          </w:tcPr>
          <w:p w14:paraId="1601349B" w14:textId="77777777" w:rsidR="005B3B94" w:rsidRDefault="00000000" w:rsidP="00EB2C11">
            <w:pPr>
              <w:jc w:val="center"/>
            </w:pPr>
            <w:r>
              <w:t>Asset inventory, data mapping, AI model register, supplier register, cloud dependency map.</w:t>
            </w:r>
          </w:p>
        </w:tc>
        <w:tc>
          <w:tcPr>
            <w:tcW w:w="3552" w:type="dxa"/>
          </w:tcPr>
          <w:p w14:paraId="474BD9A7" w14:textId="77777777" w:rsidR="005B3B94" w:rsidRDefault="00000000" w:rsidP="00EB2C11">
            <w:pPr>
              <w:jc w:val="center"/>
            </w:pPr>
            <w:r>
              <w:t>Enables accurate prioritisation of clinical and commercial assets.</w:t>
            </w:r>
          </w:p>
        </w:tc>
      </w:tr>
      <w:tr w:rsidR="005B3B94" w14:paraId="19466461" w14:textId="77777777">
        <w:trPr>
          <w:jc w:val="center"/>
        </w:trPr>
        <w:tc>
          <w:tcPr>
            <w:tcW w:w="3552" w:type="dxa"/>
          </w:tcPr>
          <w:p w14:paraId="78CF5365" w14:textId="77777777" w:rsidR="005B3B94" w:rsidRDefault="00000000" w:rsidP="00EB2C11">
            <w:pPr>
              <w:jc w:val="center"/>
            </w:pPr>
            <w:r>
              <w:t>Protect</w:t>
            </w:r>
          </w:p>
        </w:tc>
        <w:tc>
          <w:tcPr>
            <w:tcW w:w="3552" w:type="dxa"/>
          </w:tcPr>
          <w:p w14:paraId="44BF2FF8" w14:textId="77777777" w:rsidR="005B3B94" w:rsidRDefault="00000000" w:rsidP="00EB2C11">
            <w:pPr>
              <w:jc w:val="center"/>
            </w:pPr>
            <w:r>
              <w:t>MFA, ZTNA, encryption, DLP, PAM, secure SDLC and segmentation.</w:t>
            </w:r>
          </w:p>
        </w:tc>
        <w:tc>
          <w:tcPr>
            <w:tcW w:w="3552" w:type="dxa"/>
          </w:tcPr>
          <w:p w14:paraId="75A014AF" w14:textId="77777777" w:rsidR="005B3B94" w:rsidRDefault="00000000" w:rsidP="00EB2C11">
            <w:pPr>
              <w:jc w:val="center"/>
            </w:pPr>
            <w:r>
              <w:t>Prevents unnecessary exposure of patient data and source code.</w:t>
            </w:r>
          </w:p>
        </w:tc>
      </w:tr>
      <w:tr w:rsidR="005B3B94" w14:paraId="1CDEDD27" w14:textId="77777777">
        <w:trPr>
          <w:jc w:val="center"/>
        </w:trPr>
        <w:tc>
          <w:tcPr>
            <w:tcW w:w="3552" w:type="dxa"/>
          </w:tcPr>
          <w:p w14:paraId="3C8598CF" w14:textId="77777777" w:rsidR="005B3B94" w:rsidRDefault="00000000" w:rsidP="00EB2C11">
            <w:pPr>
              <w:jc w:val="center"/>
            </w:pPr>
            <w:r>
              <w:t>Detect</w:t>
            </w:r>
          </w:p>
        </w:tc>
        <w:tc>
          <w:tcPr>
            <w:tcW w:w="3552" w:type="dxa"/>
          </w:tcPr>
          <w:p w14:paraId="6C44002F" w14:textId="77777777" w:rsidR="005B3B94" w:rsidRDefault="00000000" w:rsidP="00EB2C11">
            <w:pPr>
              <w:jc w:val="center"/>
            </w:pPr>
            <w:r>
              <w:t>SIEM, EDR, CSPM alerts, UEBA and threat intelligence.</w:t>
            </w:r>
          </w:p>
        </w:tc>
        <w:tc>
          <w:tcPr>
            <w:tcW w:w="3552" w:type="dxa"/>
          </w:tcPr>
          <w:p w14:paraId="07C7F3C1" w14:textId="77777777" w:rsidR="005B3B94" w:rsidRDefault="00000000" w:rsidP="00EB2C11">
            <w:pPr>
              <w:jc w:val="center"/>
            </w:pPr>
            <w:r>
              <w:t>Improves early discovery of compromise and misconfiguration.</w:t>
            </w:r>
          </w:p>
        </w:tc>
      </w:tr>
      <w:tr w:rsidR="005B3B94" w14:paraId="644B507B" w14:textId="77777777">
        <w:trPr>
          <w:jc w:val="center"/>
        </w:trPr>
        <w:tc>
          <w:tcPr>
            <w:tcW w:w="3552" w:type="dxa"/>
          </w:tcPr>
          <w:p w14:paraId="2CD6D0D3" w14:textId="77777777" w:rsidR="005B3B94" w:rsidRDefault="00000000" w:rsidP="00EB2C11">
            <w:pPr>
              <w:jc w:val="center"/>
            </w:pPr>
            <w:r>
              <w:t>Respond</w:t>
            </w:r>
          </w:p>
        </w:tc>
        <w:tc>
          <w:tcPr>
            <w:tcW w:w="3552" w:type="dxa"/>
          </w:tcPr>
          <w:p w14:paraId="4815F635" w14:textId="77777777" w:rsidR="005B3B94" w:rsidRDefault="00000000" w:rsidP="00EB2C11">
            <w:pPr>
              <w:jc w:val="center"/>
            </w:pPr>
            <w:r>
              <w:t>Incident playbooks, SOAR actions, legal escalation and communications.</w:t>
            </w:r>
          </w:p>
        </w:tc>
        <w:tc>
          <w:tcPr>
            <w:tcW w:w="3552" w:type="dxa"/>
          </w:tcPr>
          <w:p w14:paraId="0D933B01" w14:textId="77777777" w:rsidR="005B3B94" w:rsidRDefault="00000000" w:rsidP="00EB2C11">
            <w:pPr>
              <w:jc w:val="center"/>
            </w:pPr>
            <w:r>
              <w:t>Reduces regulatory and operational impact after incidents.</w:t>
            </w:r>
          </w:p>
        </w:tc>
      </w:tr>
      <w:tr w:rsidR="005B3B94" w14:paraId="1E8F16DD" w14:textId="77777777">
        <w:trPr>
          <w:jc w:val="center"/>
        </w:trPr>
        <w:tc>
          <w:tcPr>
            <w:tcW w:w="3552" w:type="dxa"/>
          </w:tcPr>
          <w:p w14:paraId="385B6496" w14:textId="77777777" w:rsidR="005B3B94" w:rsidRDefault="00000000" w:rsidP="00EB2C11">
            <w:pPr>
              <w:jc w:val="center"/>
            </w:pPr>
            <w:r>
              <w:t>Recover</w:t>
            </w:r>
          </w:p>
        </w:tc>
        <w:tc>
          <w:tcPr>
            <w:tcW w:w="3552" w:type="dxa"/>
          </w:tcPr>
          <w:p w14:paraId="252EA988" w14:textId="77777777" w:rsidR="005B3B94" w:rsidRDefault="00000000" w:rsidP="00EB2C11">
            <w:pPr>
              <w:jc w:val="center"/>
            </w:pPr>
            <w:r>
              <w:t>Immutable backups, tested DR, clean rebuilds and post-incident review.</w:t>
            </w:r>
          </w:p>
        </w:tc>
        <w:tc>
          <w:tcPr>
            <w:tcW w:w="3552" w:type="dxa"/>
          </w:tcPr>
          <w:p w14:paraId="0A2A947C" w14:textId="77777777" w:rsidR="005B3B94" w:rsidRDefault="00000000" w:rsidP="00EB2C11">
            <w:pPr>
              <w:jc w:val="center"/>
            </w:pPr>
            <w:r>
              <w:t>Maintains continuity of clinical platforms and AI services.</w:t>
            </w:r>
          </w:p>
        </w:tc>
      </w:tr>
    </w:tbl>
    <w:p w14:paraId="726CF080" w14:textId="77777777" w:rsidR="005B3B94" w:rsidRDefault="00000000" w:rsidP="00C84563">
      <w:pPr>
        <w:jc w:val="both"/>
      </w:pPr>
      <w:r>
        <w:t>The key strength of this model is that it avoids treating compliance as a separate administrative activity. Governance, technical control and business resilience are brought into one cycle of identification, protection, detection, response and recovery.</w:t>
      </w:r>
    </w:p>
    <w:p w14:paraId="585364FF" w14:textId="77777777" w:rsidR="005B3B94" w:rsidRDefault="00000000" w:rsidP="00C84563">
      <w:pPr>
        <w:pStyle w:val="Heading1"/>
        <w:jc w:val="both"/>
      </w:pPr>
      <w:bookmarkStart w:id="22" w:name="_Toc228306996"/>
      <w:r>
        <w:lastRenderedPageBreak/>
        <w:t>VI. Compliance with GDPR, DORA and NIS2</w:t>
      </w:r>
      <w:bookmarkEnd w:id="22"/>
    </w:p>
    <w:p w14:paraId="12566647" w14:textId="77777777" w:rsidR="005B3B94" w:rsidRDefault="00000000" w:rsidP="00C84563">
      <w:pPr>
        <w:jc w:val="both"/>
      </w:pPr>
      <w:r>
        <w:t>GDPR is central because MediTrust processes health data, which is special category personal data. Controls should include privacy by design, data minimisation, encryption, pseudonymisation, access logging, DPIAs for AI systems, processor contracts and breach notification procedures [7], [8]. Developers should use synthetic or anonymised datasets where possible, and access to identifiable clinical data should require explicit approval and monitoring.</w:t>
      </w:r>
    </w:p>
    <w:p w14:paraId="179E6AE4" w14:textId="77777777" w:rsidR="005B3B94" w:rsidRDefault="00000000" w:rsidP="00C84563">
      <w:pPr>
        <w:jc w:val="both"/>
      </w:pPr>
      <w:r>
        <w:t>DORA is formally directed at financial entities, but the scenario requires MediTrust to address DORA-style operational resilience. The relevant design lessons are clear: classify ICT incidents, test resilience, manage cloud providers as critical third parties, maintain business continuity plans and prove that systems can recover after disruption [10]. MediTrust should adopt these practices because healthcare clients will expect evidence that clinical platforms are dependable.</w:t>
      </w:r>
    </w:p>
    <w:p w14:paraId="3377700A" w14:textId="77777777" w:rsidR="005B3B94" w:rsidRDefault="00000000" w:rsidP="00C84563">
      <w:pPr>
        <w:jc w:val="both"/>
      </w:pPr>
      <w:r>
        <w:t>NIS2 is also relevant because healthcare is a critical sector and suppliers to healthcare ecosystems may face heightened cybersecurity expectations [9]. MediTrust should therefore maintain incident reporting procedures, supply-chain assurance, vulnerability management, executive accountability and continuity planning. Incident reporting workflows should include legal review, DPO input, customer communication and regulator notification within required timelines where applicable.</w:t>
      </w:r>
    </w:p>
    <w:p w14:paraId="081206DA" w14:textId="77777777" w:rsidR="005B3B94" w:rsidRDefault="00000000" w:rsidP="00C84563">
      <w:pPr>
        <w:jc w:val="both"/>
      </w:pPr>
      <w:r>
        <w:br w:type="page"/>
      </w:r>
    </w:p>
    <w:p w14:paraId="369D9D28" w14:textId="77777777" w:rsidR="005B3B94" w:rsidRDefault="00000000" w:rsidP="00C84563">
      <w:pPr>
        <w:pStyle w:val="Caption"/>
        <w:jc w:val="both"/>
      </w:pPr>
      <w:r>
        <w:lastRenderedPageBreak/>
        <w:t>Table 1. High-level risk assessment for MediTrust.</w:t>
      </w:r>
    </w:p>
    <w:tbl>
      <w:tblPr>
        <w:tblStyle w:val="TableGrid"/>
        <w:tblW w:w="0" w:type="auto"/>
        <w:jc w:val="center"/>
        <w:tblLook w:val="04A0" w:firstRow="1" w:lastRow="0" w:firstColumn="1" w:lastColumn="0" w:noHBand="0" w:noVBand="1"/>
      </w:tblPr>
      <w:tblGrid>
        <w:gridCol w:w="2086"/>
        <w:gridCol w:w="2030"/>
        <w:gridCol w:w="1995"/>
        <w:gridCol w:w="1993"/>
        <w:gridCol w:w="2048"/>
      </w:tblGrid>
      <w:tr w:rsidR="005B3B94" w14:paraId="6EB2A705" w14:textId="77777777">
        <w:trPr>
          <w:jc w:val="center"/>
        </w:trPr>
        <w:tc>
          <w:tcPr>
            <w:tcW w:w="2131" w:type="dxa"/>
            <w:shd w:val="clear" w:color="auto" w:fill="1F4E79"/>
            <w:vAlign w:val="center"/>
          </w:tcPr>
          <w:p w14:paraId="57A2D7B4" w14:textId="77777777" w:rsidR="005B3B94" w:rsidRDefault="00000000" w:rsidP="00EB2C11">
            <w:pPr>
              <w:jc w:val="center"/>
            </w:pPr>
            <w:r>
              <w:rPr>
                <w:b/>
                <w:color w:val="FFFFFF"/>
              </w:rPr>
              <w:t>Risk</w:t>
            </w:r>
          </w:p>
        </w:tc>
        <w:tc>
          <w:tcPr>
            <w:tcW w:w="2131" w:type="dxa"/>
            <w:shd w:val="clear" w:color="auto" w:fill="1F4E79"/>
            <w:vAlign w:val="center"/>
          </w:tcPr>
          <w:p w14:paraId="1D39FBDE" w14:textId="77777777" w:rsidR="005B3B94" w:rsidRDefault="00000000" w:rsidP="00EB2C11">
            <w:pPr>
              <w:jc w:val="center"/>
            </w:pPr>
            <w:r>
              <w:rPr>
                <w:b/>
                <w:color w:val="FFFFFF"/>
              </w:rPr>
              <w:t>Likelihood</w:t>
            </w:r>
          </w:p>
        </w:tc>
        <w:tc>
          <w:tcPr>
            <w:tcW w:w="2131" w:type="dxa"/>
            <w:shd w:val="clear" w:color="auto" w:fill="1F4E79"/>
            <w:vAlign w:val="center"/>
          </w:tcPr>
          <w:p w14:paraId="54804791" w14:textId="77777777" w:rsidR="005B3B94" w:rsidRDefault="00000000" w:rsidP="00EB2C11">
            <w:pPr>
              <w:jc w:val="center"/>
            </w:pPr>
            <w:r>
              <w:rPr>
                <w:b/>
                <w:color w:val="FFFFFF"/>
              </w:rPr>
              <w:t>Impact</w:t>
            </w:r>
          </w:p>
        </w:tc>
        <w:tc>
          <w:tcPr>
            <w:tcW w:w="2131" w:type="dxa"/>
            <w:shd w:val="clear" w:color="auto" w:fill="1F4E79"/>
            <w:vAlign w:val="center"/>
          </w:tcPr>
          <w:p w14:paraId="5846704C" w14:textId="77777777" w:rsidR="005B3B94" w:rsidRDefault="00000000" w:rsidP="00EB2C11">
            <w:pPr>
              <w:jc w:val="center"/>
            </w:pPr>
            <w:r>
              <w:rPr>
                <w:b/>
                <w:color w:val="FFFFFF"/>
              </w:rPr>
              <w:t>Priority</w:t>
            </w:r>
          </w:p>
        </w:tc>
        <w:tc>
          <w:tcPr>
            <w:tcW w:w="2131" w:type="dxa"/>
            <w:shd w:val="clear" w:color="auto" w:fill="1F4E79"/>
            <w:vAlign w:val="center"/>
          </w:tcPr>
          <w:p w14:paraId="214EFFA8" w14:textId="77777777" w:rsidR="005B3B94" w:rsidRDefault="00000000" w:rsidP="00EB2C11">
            <w:pPr>
              <w:jc w:val="center"/>
            </w:pPr>
            <w:r>
              <w:rPr>
                <w:b/>
                <w:color w:val="FFFFFF"/>
              </w:rPr>
              <w:t>Principal Treatment</w:t>
            </w:r>
          </w:p>
        </w:tc>
      </w:tr>
      <w:tr w:rsidR="005B3B94" w14:paraId="55114927" w14:textId="77777777">
        <w:trPr>
          <w:jc w:val="center"/>
        </w:trPr>
        <w:tc>
          <w:tcPr>
            <w:tcW w:w="2131" w:type="dxa"/>
          </w:tcPr>
          <w:p w14:paraId="56BE6699" w14:textId="77777777" w:rsidR="005B3B94" w:rsidRDefault="00000000" w:rsidP="00EB2C11">
            <w:pPr>
              <w:jc w:val="center"/>
            </w:pPr>
            <w:r>
              <w:t>Poisoned AI training data</w:t>
            </w:r>
          </w:p>
        </w:tc>
        <w:tc>
          <w:tcPr>
            <w:tcW w:w="2131" w:type="dxa"/>
          </w:tcPr>
          <w:p w14:paraId="6172D81E" w14:textId="77777777" w:rsidR="005B3B94" w:rsidRDefault="00000000" w:rsidP="00EB2C11">
            <w:pPr>
              <w:jc w:val="center"/>
            </w:pPr>
            <w:r>
              <w:t>Medium</w:t>
            </w:r>
          </w:p>
        </w:tc>
        <w:tc>
          <w:tcPr>
            <w:tcW w:w="2131" w:type="dxa"/>
          </w:tcPr>
          <w:p w14:paraId="0DD9DD41" w14:textId="77777777" w:rsidR="005B3B94" w:rsidRDefault="00000000" w:rsidP="00EB2C11">
            <w:pPr>
              <w:jc w:val="center"/>
            </w:pPr>
            <w:r>
              <w:t>High</w:t>
            </w:r>
          </w:p>
        </w:tc>
        <w:tc>
          <w:tcPr>
            <w:tcW w:w="2131" w:type="dxa"/>
          </w:tcPr>
          <w:p w14:paraId="7A09BEBB" w14:textId="77777777" w:rsidR="005B3B94" w:rsidRDefault="00000000" w:rsidP="00EB2C11">
            <w:pPr>
              <w:jc w:val="center"/>
            </w:pPr>
            <w:r>
              <w:t>High</w:t>
            </w:r>
          </w:p>
        </w:tc>
        <w:tc>
          <w:tcPr>
            <w:tcW w:w="2131" w:type="dxa"/>
          </w:tcPr>
          <w:p w14:paraId="62E70E02" w14:textId="77777777" w:rsidR="005B3B94" w:rsidRDefault="00000000" w:rsidP="00EB2C11">
            <w:pPr>
              <w:jc w:val="center"/>
            </w:pPr>
            <w:r>
              <w:t>Dataset provenance, signed datasets, validation pipelines and model monitoring.</w:t>
            </w:r>
          </w:p>
        </w:tc>
      </w:tr>
      <w:tr w:rsidR="005B3B94" w14:paraId="44AADC5B" w14:textId="77777777">
        <w:trPr>
          <w:jc w:val="center"/>
        </w:trPr>
        <w:tc>
          <w:tcPr>
            <w:tcW w:w="2131" w:type="dxa"/>
          </w:tcPr>
          <w:p w14:paraId="133042A0" w14:textId="77777777" w:rsidR="005B3B94" w:rsidRDefault="00000000" w:rsidP="00EB2C11">
            <w:pPr>
              <w:jc w:val="center"/>
            </w:pPr>
            <w:r>
              <w:t>Vulnerable open-source dependency</w:t>
            </w:r>
          </w:p>
        </w:tc>
        <w:tc>
          <w:tcPr>
            <w:tcW w:w="2131" w:type="dxa"/>
          </w:tcPr>
          <w:p w14:paraId="3D78A55A" w14:textId="77777777" w:rsidR="005B3B94" w:rsidRDefault="00000000" w:rsidP="00EB2C11">
            <w:pPr>
              <w:jc w:val="center"/>
            </w:pPr>
            <w:r>
              <w:t>High</w:t>
            </w:r>
          </w:p>
        </w:tc>
        <w:tc>
          <w:tcPr>
            <w:tcW w:w="2131" w:type="dxa"/>
          </w:tcPr>
          <w:p w14:paraId="586C547F" w14:textId="77777777" w:rsidR="005B3B94" w:rsidRDefault="00000000" w:rsidP="00EB2C11">
            <w:pPr>
              <w:jc w:val="center"/>
            </w:pPr>
            <w:r>
              <w:t>High</w:t>
            </w:r>
          </w:p>
        </w:tc>
        <w:tc>
          <w:tcPr>
            <w:tcW w:w="2131" w:type="dxa"/>
          </w:tcPr>
          <w:p w14:paraId="4EF26E11" w14:textId="77777777" w:rsidR="005B3B94" w:rsidRDefault="00000000" w:rsidP="00EB2C11">
            <w:pPr>
              <w:jc w:val="center"/>
            </w:pPr>
            <w:r>
              <w:t>Critical</w:t>
            </w:r>
          </w:p>
        </w:tc>
        <w:tc>
          <w:tcPr>
            <w:tcW w:w="2131" w:type="dxa"/>
          </w:tcPr>
          <w:p w14:paraId="45756B86" w14:textId="77777777" w:rsidR="005B3B94" w:rsidRDefault="00000000" w:rsidP="00EB2C11">
            <w:pPr>
              <w:jc w:val="center"/>
            </w:pPr>
            <w:r>
              <w:t>SCA, SBOMs, dependency pinning and automated patch SLAs.</w:t>
            </w:r>
          </w:p>
        </w:tc>
      </w:tr>
      <w:tr w:rsidR="005B3B94" w14:paraId="1BA2C8D2" w14:textId="77777777">
        <w:trPr>
          <w:jc w:val="center"/>
        </w:trPr>
        <w:tc>
          <w:tcPr>
            <w:tcW w:w="2131" w:type="dxa"/>
          </w:tcPr>
          <w:p w14:paraId="69D45F61" w14:textId="77777777" w:rsidR="005B3B94" w:rsidRDefault="00000000" w:rsidP="00EB2C11">
            <w:pPr>
              <w:jc w:val="center"/>
            </w:pPr>
            <w:r>
              <w:t>Cloud misconfiguration</w:t>
            </w:r>
          </w:p>
        </w:tc>
        <w:tc>
          <w:tcPr>
            <w:tcW w:w="2131" w:type="dxa"/>
          </w:tcPr>
          <w:p w14:paraId="135C01A7" w14:textId="77777777" w:rsidR="005B3B94" w:rsidRDefault="00000000" w:rsidP="00EB2C11">
            <w:pPr>
              <w:jc w:val="center"/>
            </w:pPr>
            <w:r>
              <w:t>High</w:t>
            </w:r>
          </w:p>
        </w:tc>
        <w:tc>
          <w:tcPr>
            <w:tcW w:w="2131" w:type="dxa"/>
          </w:tcPr>
          <w:p w14:paraId="4BB82F58" w14:textId="77777777" w:rsidR="005B3B94" w:rsidRDefault="00000000" w:rsidP="00EB2C11">
            <w:pPr>
              <w:jc w:val="center"/>
            </w:pPr>
            <w:r>
              <w:t>High</w:t>
            </w:r>
          </w:p>
        </w:tc>
        <w:tc>
          <w:tcPr>
            <w:tcW w:w="2131" w:type="dxa"/>
          </w:tcPr>
          <w:p w14:paraId="73FD2E57" w14:textId="77777777" w:rsidR="005B3B94" w:rsidRDefault="00000000" w:rsidP="00EB2C11">
            <w:pPr>
              <w:jc w:val="center"/>
            </w:pPr>
            <w:r>
              <w:t>Critical</w:t>
            </w:r>
          </w:p>
        </w:tc>
        <w:tc>
          <w:tcPr>
            <w:tcW w:w="2131" w:type="dxa"/>
          </w:tcPr>
          <w:p w14:paraId="52E7A49C" w14:textId="77777777" w:rsidR="005B3B94" w:rsidRDefault="00000000" w:rsidP="00EB2C11">
            <w:pPr>
              <w:jc w:val="center"/>
            </w:pPr>
            <w:r>
              <w:t>CSPM, IaC scanning, least-privilege IAM and configuration baselines.</w:t>
            </w:r>
          </w:p>
        </w:tc>
      </w:tr>
      <w:tr w:rsidR="005B3B94" w14:paraId="4A6C772C" w14:textId="77777777">
        <w:trPr>
          <w:jc w:val="center"/>
        </w:trPr>
        <w:tc>
          <w:tcPr>
            <w:tcW w:w="2131" w:type="dxa"/>
          </w:tcPr>
          <w:p w14:paraId="4EFED317" w14:textId="77777777" w:rsidR="005B3B94" w:rsidRDefault="00000000" w:rsidP="00EB2C11">
            <w:pPr>
              <w:jc w:val="center"/>
            </w:pPr>
            <w:r>
              <w:t>Credential phishing</w:t>
            </w:r>
          </w:p>
        </w:tc>
        <w:tc>
          <w:tcPr>
            <w:tcW w:w="2131" w:type="dxa"/>
          </w:tcPr>
          <w:p w14:paraId="20F4F90B" w14:textId="77777777" w:rsidR="005B3B94" w:rsidRDefault="00000000" w:rsidP="00EB2C11">
            <w:pPr>
              <w:jc w:val="center"/>
            </w:pPr>
            <w:r>
              <w:t>High</w:t>
            </w:r>
          </w:p>
        </w:tc>
        <w:tc>
          <w:tcPr>
            <w:tcW w:w="2131" w:type="dxa"/>
          </w:tcPr>
          <w:p w14:paraId="7102CCBF" w14:textId="77777777" w:rsidR="005B3B94" w:rsidRDefault="00000000" w:rsidP="00EB2C11">
            <w:pPr>
              <w:jc w:val="center"/>
            </w:pPr>
            <w:r>
              <w:t>Medium</w:t>
            </w:r>
          </w:p>
        </w:tc>
        <w:tc>
          <w:tcPr>
            <w:tcW w:w="2131" w:type="dxa"/>
          </w:tcPr>
          <w:p w14:paraId="1375AC9B" w14:textId="77777777" w:rsidR="005B3B94" w:rsidRDefault="00000000" w:rsidP="00EB2C11">
            <w:pPr>
              <w:jc w:val="center"/>
            </w:pPr>
            <w:r>
              <w:t>High</w:t>
            </w:r>
          </w:p>
        </w:tc>
        <w:tc>
          <w:tcPr>
            <w:tcW w:w="2131" w:type="dxa"/>
          </w:tcPr>
          <w:p w14:paraId="246B7B78" w14:textId="77777777" w:rsidR="005B3B94" w:rsidRDefault="00000000" w:rsidP="00EB2C11">
            <w:pPr>
              <w:jc w:val="center"/>
            </w:pPr>
            <w:r>
              <w:t>FIDO2 MFA, conditional access and phishing simulation.</w:t>
            </w:r>
          </w:p>
        </w:tc>
      </w:tr>
      <w:tr w:rsidR="005B3B94" w14:paraId="44584BBF" w14:textId="77777777">
        <w:trPr>
          <w:jc w:val="center"/>
        </w:trPr>
        <w:tc>
          <w:tcPr>
            <w:tcW w:w="2131" w:type="dxa"/>
          </w:tcPr>
          <w:p w14:paraId="3E249EE3" w14:textId="77777777" w:rsidR="005B3B94" w:rsidRDefault="00000000" w:rsidP="00EB2C11">
            <w:pPr>
              <w:jc w:val="center"/>
            </w:pPr>
            <w:r>
              <w:t>Ransomware affecting source code and data</w:t>
            </w:r>
          </w:p>
        </w:tc>
        <w:tc>
          <w:tcPr>
            <w:tcW w:w="2131" w:type="dxa"/>
          </w:tcPr>
          <w:p w14:paraId="1DF04462" w14:textId="77777777" w:rsidR="005B3B94" w:rsidRDefault="00000000" w:rsidP="00EB2C11">
            <w:pPr>
              <w:jc w:val="center"/>
            </w:pPr>
            <w:r>
              <w:t>Medium</w:t>
            </w:r>
          </w:p>
        </w:tc>
        <w:tc>
          <w:tcPr>
            <w:tcW w:w="2131" w:type="dxa"/>
          </w:tcPr>
          <w:p w14:paraId="257C15E1" w14:textId="77777777" w:rsidR="005B3B94" w:rsidRDefault="00000000" w:rsidP="00EB2C11">
            <w:pPr>
              <w:jc w:val="center"/>
            </w:pPr>
            <w:r>
              <w:t>Critical</w:t>
            </w:r>
          </w:p>
        </w:tc>
        <w:tc>
          <w:tcPr>
            <w:tcW w:w="2131" w:type="dxa"/>
          </w:tcPr>
          <w:p w14:paraId="24602E02" w14:textId="77777777" w:rsidR="005B3B94" w:rsidRDefault="00000000" w:rsidP="00EB2C11">
            <w:pPr>
              <w:jc w:val="center"/>
            </w:pPr>
            <w:r>
              <w:t>Critical</w:t>
            </w:r>
          </w:p>
        </w:tc>
        <w:tc>
          <w:tcPr>
            <w:tcW w:w="2131" w:type="dxa"/>
          </w:tcPr>
          <w:p w14:paraId="18D1D154" w14:textId="77777777" w:rsidR="005B3B94" w:rsidRDefault="00000000" w:rsidP="00EB2C11">
            <w:pPr>
              <w:jc w:val="center"/>
            </w:pPr>
            <w:r>
              <w:t>EDR auto-isolation, immutable backups and tested DR.</w:t>
            </w:r>
          </w:p>
        </w:tc>
      </w:tr>
      <w:tr w:rsidR="005B3B94" w14:paraId="1ACF1BBA" w14:textId="77777777">
        <w:trPr>
          <w:jc w:val="center"/>
        </w:trPr>
        <w:tc>
          <w:tcPr>
            <w:tcW w:w="2131" w:type="dxa"/>
          </w:tcPr>
          <w:p w14:paraId="0A5EBC20" w14:textId="77777777" w:rsidR="005B3B94" w:rsidRDefault="00000000" w:rsidP="00EB2C11">
            <w:pPr>
              <w:jc w:val="center"/>
            </w:pPr>
            <w:r>
              <w:t>Insider misuse of patient data</w:t>
            </w:r>
          </w:p>
        </w:tc>
        <w:tc>
          <w:tcPr>
            <w:tcW w:w="2131" w:type="dxa"/>
          </w:tcPr>
          <w:p w14:paraId="6F63D404" w14:textId="77777777" w:rsidR="005B3B94" w:rsidRDefault="00000000" w:rsidP="00EB2C11">
            <w:pPr>
              <w:jc w:val="center"/>
            </w:pPr>
            <w:r>
              <w:t>Medium</w:t>
            </w:r>
          </w:p>
        </w:tc>
        <w:tc>
          <w:tcPr>
            <w:tcW w:w="2131" w:type="dxa"/>
          </w:tcPr>
          <w:p w14:paraId="63C986BA" w14:textId="77777777" w:rsidR="005B3B94" w:rsidRDefault="00000000" w:rsidP="00EB2C11">
            <w:pPr>
              <w:jc w:val="center"/>
            </w:pPr>
            <w:r>
              <w:t>High</w:t>
            </w:r>
          </w:p>
        </w:tc>
        <w:tc>
          <w:tcPr>
            <w:tcW w:w="2131" w:type="dxa"/>
          </w:tcPr>
          <w:p w14:paraId="45426F5A" w14:textId="77777777" w:rsidR="005B3B94" w:rsidRDefault="00000000" w:rsidP="00EB2C11">
            <w:pPr>
              <w:jc w:val="center"/>
            </w:pPr>
            <w:r>
              <w:t>High</w:t>
            </w:r>
          </w:p>
        </w:tc>
        <w:tc>
          <w:tcPr>
            <w:tcW w:w="2131" w:type="dxa"/>
          </w:tcPr>
          <w:p w14:paraId="20B6AB1C" w14:textId="77777777" w:rsidR="005B3B94" w:rsidRDefault="00000000" w:rsidP="00EB2C11">
            <w:pPr>
              <w:jc w:val="center"/>
            </w:pPr>
            <w:r>
              <w:t>PAM, DLP, access reviews and behavioural analytics.</w:t>
            </w:r>
          </w:p>
        </w:tc>
      </w:tr>
    </w:tbl>
    <w:p w14:paraId="16677E26" w14:textId="77777777" w:rsidR="005B3B94" w:rsidRDefault="00000000" w:rsidP="00C84563">
      <w:pPr>
        <w:pStyle w:val="Heading1"/>
        <w:jc w:val="both"/>
      </w:pPr>
      <w:bookmarkStart w:id="23" w:name="_Toc228306997"/>
      <w:r>
        <w:t>VII. Risk Management Focus</w:t>
      </w:r>
      <w:bookmarkEnd w:id="23"/>
    </w:p>
    <w:p w14:paraId="1B5F2789" w14:textId="77777777" w:rsidR="005B3B94" w:rsidRDefault="00000000" w:rsidP="00C84563">
      <w:pPr>
        <w:jc w:val="both"/>
      </w:pPr>
      <w:r>
        <w:t>The highest-priority risks are cloud misconfiguration, vulnerable dependencies and ransomware because each can scale across many customers. Cloud misconfiguration may expose storage buckets, model artefacts or patient records. Software supply-chain compromise may introduce malicious code into clinical products. Ransomware may damage availability and integrity simultaneously by encrypting datasets, repositories and build systems.</w:t>
      </w:r>
    </w:p>
    <w:p w14:paraId="2C7C814C" w14:textId="77777777" w:rsidR="005B3B94" w:rsidRDefault="00000000" w:rsidP="00C84563">
      <w:pPr>
        <w:jc w:val="both"/>
      </w:pPr>
      <w:r>
        <w:t>Risk management should therefore be continuous rather than annual. The DevSecOps Lead should make SAST, DAST, software composition analysis and container scanning mandatory in CI/CD pipelines. The Cloud Security Architect should enforce infrastructure-as-code templates, policy-as-code controls and CSPM monitoring. The CISO should receive monthly risk dashboards showing unresolved critical vulnerabilities, privileged account counts, backup test results, third-party assurance status and incident response performance.</w:t>
      </w:r>
    </w:p>
    <w:p w14:paraId="3F7901DF" w14:textId="77777777" w:rsidR="005B3B94" w:rsidRDefault="00000000" w:rsidP="00C84563">
      <w:pPr>
        <w:pStyle w:val="Heading1"/>
        <w:jc w:val="both"/>
      </w:pPr>
      <w:bookmarkStart w:id="24" w:name="_Toc228306998"/>
      <w:r>
        <w:t>VIII. Disaster Recovery Plan: Ransomware Attack</w:t>
      </w:r>
      <w:bookmarkEnd w:id="24"/>
    </w:p>
    <w:p w14:paraId="2049A9DF" w14:textId="77777777" w:rsidR="005B3B94" w:rsidRDefault="00000000" w:rsidP="00C84563">
      <w:pPr>
        <w:jc w:val="both"/>
      </w:pPr>
      <w:r>
        <w:t>The contingency scenario is a ransomware attack that encrypts AI training data and source-code repositories. The plan should be rehearsed through tabletop exercises and technical recovery tests, not merely documented.</w:t>
      </w:r>
    </w:p>
    <w:tbl>
      <w:tblPr>
        <w:tblStyle w:val="TableGrid"/>
        <w:tblW w:w="0" w:type="auto"/>
        <w:jc w:val="center"/>
        <w:tblLook w:val="04A0" w:firstRow="1" w:lastRow="0" w:firstColumn="1" w:lastColumn="0" w:noHBand="0" w:noVBand="1"/>
      </w:tblPr>
      <w:tblGrid>
        <w:gridCol w:w="3364"/>
        <w:gridCol w:w="3400"/>
        <w:gridCol w:w="3388"/>
      </w:tblGrid>
      <w:tr w:rsidR="005B3B94" w14:paraId="7A0A2C27" w14:textId="77777777">
        <w:trPr>
          <w:jc w:val="center"/>
        </w:trPr>
        <w:tc>
          <w:tcPr>
            <w:tcW w:w="3552" w:type="dxa"/>
            <w:shd w:val="clear" w:color="auto" w:fill="1F4E79"/>
            <w:vAlign w:val="center"/>
          </w:tcPr>
          <w:p w14:paraId="45068C08" w14:textId="77777777" w:rsidR="005B3B94" w:rsidRDefault="00000000" w:rsidP="00EB2C11">
            <w:pPr>
              <w:jc w:val="center"/>
            </w:pPr>
            <w:r>
              <w:rPr>
                <w:b/>
                <w:color w:val="FFFFFF"/>
              </w:rPr>
              <w:lastRenderedPageBreak/>
              <w:t>Stage</w:t>
            </w:r>
          </w:p>
        </w:tc>
        <w:tc>
          <w:tcPr>
            <w:tcW w:w="3552" w:type="dxa"/>
            <w:shd w:val="clear" w:color="auto" w:fill="1F4E79"/>
            <w:vAlign w:val="center"/>
          </w:tcPr>
          <w:p w14:paraId="2736D557" w14:textId="77777777" w:rsidR="005B3B94" w:rsidRDefault="00000000" w:rsidP="00EB2C11">
            <w:pPr>
              <w:jc w:val="center"/>
            </w:pPr>
            <w:r>
              <w:rPr>
                <w:b/>
                <w:color w:val="FFFFFF"/>
              </w:rPr>
              <w:t>Actions</w:t>
            </w:r>
          </w:p>
        </w:tc>
        <w:tc>
          <w:tcPr>
            <w:tcW w:w="3552" w:type="dxa"/>
            <w:shd w:val="clear" w:color="auto" w:fill="1F4E79"/>
            <w:vAlign w:val="center"/>
          </w:tcPr>
          <w:p w14:paraId="7DA33A8D" w14:textId="77777777" w:rsidR="005B3B94" w:rsidRDefault="00000000" w:rsidP="00EB2C11">
            <w:pPr>
              <w:jc w:val="center"/>
            </w:pPr>
            <w:r>
              <w:rPr>
                <w:b/>
                <w:color w:val="FFFFFF"/>
              </w:rPr>
              <w:t>Target Outcome</w:t>
            </w:r>
          </w:p>
        </w:tc>
      </w:tr>
      <w:tr w:rsidR="005B3B94" w14:paraId="2B697510" w14:textId="77777777">
        <w:trPr>
          <w:jc w:val="center"/>
        </w:trPr>
        <w:tc>
          <w:tcPr>
            <w:tcW w:w="3552" w:type="dxa"/>
          </w:tcPr>
          <w:p w14:paraId="734CDAF6" w14:textId="77777777" w:rsidR="005B3B94" w:rsidRDefault="00000000" w:rsidP="00EB2C11">
            <w:pPr>
              <w:jc w:val="center"/>
            </w:pPr>
            <w:r>
              <w:t>0-4 hours: Contain</w:t>
            </w:r>
          </w:p>
        </w:tc>
        <w:tc>
          <w:tcPr>
            <w:tcW w:w="3552" w:type="dxa"/>
          </w:tcPr>
          <w:p w14:paraId="667906E0" w14:textId="77777777" w:rsidR="005B3B94" w:rsidRDefault="00000000" w:rsidP="00EB2C11">
            <w:pPr>
              <w:jc w:val="center"/>
            </w:pPr>
            <w:r>
              <w:t>Isolate affected endpoints; disable compromised accounts; suspend suspicious tokens; preserve evidence; activate crisis team.</w:t>
            </w:r>
          </w:p>
        </w:tc>
        <w:tc>
          <w:tcPr>
            <w:tcW w:w="3552" w:type="dxa"/>
          </w:tcPr>
          <w:p w14:paraId="4C09B4CA" w14:textId="77777777" w:rsidR="005B3B94" w:rsidRDefault="00000000" w:rsidP="00EB2C11">
            <w:pPr>
              <w:jc w:val="center"/>
            </w:pPr>
            <w:r>
              <w:t>Stop spread and establish incident command.</w:t>
            </w:r>
          </w:p>
        </w:tc>
      </w:tr>
      <w:tr w:rsidR="005B3B94" w14:paraId="7C255E90" w14:textId="77777777">
        <w:trPr>
          <w:jc w:val="center"/>
        </w:trPr>
        <w:tc>
          <w:tcPr>
            <w:tcW w:w="3552" w:type="dxa"/>
          </w:tcPr>
          <w:p w14:paraId="07BCABD3" w14:textId="77777777" w:rsidR="005B3B94" w:rsidRDefault="00000000" w:rsidP="00EB2C11">
            <w:pPr>
              <w:jc w:val="center"/>
            </w:pPr>
            <w:r>
              <w:t>4-24 hours: Stabilise</w:t>
            </w:r>
          </w:p>
        </w:tc>
        <w:tc>
          <w:tcPr>
            <w:tcW w:w="3552" w:type="dxa"/>
          </w:tcPr>
          <w:p w14:paraId="6C187C4A" w14:textId="77777777" w:rsidR="005B3B94" w:rsidRDefault="00000000" w:rsidP="00EB2C11">
            <w:pPr>
              <w:jc w:val="center"/>
            </w:pPr>
            <w:r>
              <w:t>Restore critical repositories from immutable backup; rebuild clean developer environment; rotate secrets and keys.</w:t>
            </w:r>
          </w:p>
        </w:tc>
        <w:tc>
          <w:tcPr>
            <w:tcW w:w="3552" w:type="dxa"/>
          </w:tcPr>
          <w:p w14:paraId="02651D65" w14:textId="77777777" w:rsidR="005B3B94" w:rsidRDefault="00000000" w:rsidP="00EB2C11">
            <w:pPr>
              <w:jc w:val="center"/>
            </w:pPr>
            <w:r>
              <w:t>Recover engineering capability safely.</w:t>
            </w:r>
          </w:p>
        </w:tc>
      </w:tr>
      <w:tr w:rsidR="005B3B94" w14:paraId="7EB1F92C" w14:textId="77777777">
        <w:trPr>
          <w:jc w:val="center"/>
        </w:trPr>
        <w:tc>
          <w:tcPr>
            <w:tcW w:w="3552" w:type="dxa"/>
          </w:tcPr>
          <w:p w14:paraId="40A9C755" w14:textId="77777777" w:rsidR="005B3B94" w:rsidRDefault="00000000" w:rsidP="00EB2C11">
            <w:pPr>
              <w:jc w:val="center"/>
            </w:pPr>
            <w:r>
              <w:t>24-72 hours: Recover</w:t>
            </w:r>
          </w:p>
        </w:tc>
        <w:tc>
          <w:tcPr>
            <w:tcW w:w="3552" w:type="dxa"/>
          </w:tcPr>
          <w:p w14:paraId="4C50CC96" w14:textId="77777777" w:rsidR="005B3B94" w:rsidRDefault="00000000" w:rsidP="00EB2C11">
            <w:pPr>
              <w:jc w:val="center"/>
            </w:pPr>
            <w:r>
              <w:t>Restore AI datasets from offline copies; validate integrity; prioritise production clinical services; notify clients and regulators if required.</w:t>
            </w:r>
          </w:p>
        </w:tc>
        <w:tc>
          <w:tcPr>
            <w:tcW w:w="3552" w:type="dxa"/>
          </w:tcPr>
          <w:p w14:paraId="52C585FC" w14:textId="77777777" w:rsidR="005B3B94" w:rsidRDefault="00000000" w:rsidP="00EB2C11">
            <w:pPr>
              <w:jc w:val="center"/>
            </w:pPr>
            <w:r>
              <w:t>Resume trusted operations with legal compliance.</w:t>
            </w:r>
          </w:p>
        </w:tc>
      </w:tr>
      <w:tr w:rsidR="005B3B94" w14:paraId="0367BB98" w14:textId="77777777">
        <w:trPr>
          <w:jc w:val="center"/>
        </w:trPr>
        <w:tc>
          <w:tcPr>
            <w:tcW w:w="3552" w:type="dxa"/>
          </w:tcPr>
          <w:p w14:paraId="0CB10B04" w14:textId="77777777" w:rsidR="005B3B94" w:rsidRDefault="00000000" w:rsidP="00EB2C11">
            <w:pPr>
              <w:jc w:val="center"/>
            </w:pPr>
            <w:r>
              <w:t>Post-incident</w:t>
            </w:r>
          </w:p>
        </w:tc>
        <w:tc>
          <w:tcPr>
            <w:tcW w:w="3552" w:type="dxa"/>
          </w:tcPr>
          <w:p w14:paraId="7F006002" w14:textId="77777777" w:rsidR="005B3B94" w:rsidRDefault="00000000" w:rsidP="00EB2C11">
            <w:pPr>
              <w:jc w:val="center"/>
            </w:pPr>
            <w:r>
              <w:t>Root-cause analysis; lessons learned; control improvement; board report; supplier review.</w:t>
            </w:r>
          </w:p>
        </w:tc>
        <w:tc>
          <w:tcPr>
            <w:tcW w:w="3552" w:type="dxa"/>
          </w:tcPr>
          <w:p w14:paraId="4C701879" w14:textId="77777777" w:rsidR="005B3B94" w:rsidRDefault="00000000" w:rsidP="00EB2C11">
            <w:pPr>
              <w:jc w:val="center"/>
            </w:pPr>
            <w:r>
              <w:t>Reduce recurrence and evidence governance maturity.</w:t>
            </w:r>
          </w:p>
        </w:tc>
      </w:tr>
    </w:tbl>
    <w:p w14:paraId="3D945D55" w14:textId="77777777" w:rsidR="005B3B94" w:rsidRDefault="00000000" w:rsidP="00C84563">
      <w:pPr>
        <w:jc w:val="both"/>
      </w:pPr>
      <w:r>
        <w:t>Suggested recovery targets are an RTO of under 12 hours for critical clinical services, an RPO of under 1 hour for source-code repositories and an RPO of under 24 hours for AI training datasets. These targets are ambitious but appropriate for a company supplying healthcare platforms.</w:t>
      </w:r>
    </w:p>
    <w:p w14:paraId="7FCD58AC" w14:textId="77777777" w:rsidR="005B3B94" w:rsidRDefault="00000000" w:rsidP="00C84563">
      <w:pPr>
        <w:pStyle w:val="Heading1"/>
        <w:jc w:val="both"/>
      </w:pPr>
      <w:bookmarkStart w:id="25" w:name="_Toc228306999"/>
      <w:r>
        <w:t>IX. Protection Mechanisms and Implementation Roadmap</w:t>
      </w:r>
      <w:bookmarkEnd w:id="25"/>
    </w:p>
    <w:p w14:paraId="03CFB3AD" w14:textId="77777777" w:rsidR="005B3B94" w:rsidRDefault="00000000" w:rsidP="00C84563">
      <w:pPr>
        <w:pStyle w:val="Caption"/>
        <w:jc w:val="both"/>
      </w:pPr>
      <w:r>
        <w:t>Figure 3. Recommended Zero Trust protection stack.</w:t>
      </w:r>
    </w:p>
    <w:tbl>
      <w:tblPr>
        <w:tblStyle w:val="TableGrid"/>
        <w:tblW w:w="0" w:type="auto"/>
        <w:jc w:val="center"/>
        <w:tblLook w:val="04A0" w:firstRow="1" w:lastRow="0" w:firstColumn="1" w:lastColumn="0" w:noHBand="0" w:noVBand="1"/>
      </w:tblPr>
      <w:tblGrid>
        <w:gridCol w:w="10152"/>
      </w:tblGrid>
      <w:tr w:rsidR="005B3B94" w14:paraId="169A6723" w14:textId="77777777">
        <w:trPr>
          <w:jc w:val="center"/>
        </w:trPr>
        <w:tc>
          <w:tcPr>
            <w:tcW w:w="10656" w:type="dxa"/>
            <w:shd w:val="clear" w:color="auto" w:fill="F2F2F2"/>
          </w:tcPr>
          <w:p w14:paraId="522CAA9F" w14:textId="77777777" w:rsidR="005B3B94" w:rsidRDefault="00000000" w:rsidP="00C84563">
            <w:pPr>
              <w:jc w:val="both"/>
            </w:pPr>
            <w:r>
              <w:rPr>
                <w:rFonts w:ascii="Consolas" w:hAnsi="Consolas"/>
                <w:sz w:val="16"/>
              </w:rPr>
              <w:t>Identity: FIDO2 phishing-resistant MFA, IAM, PAM and conditional access</w:t>
            </w:r>
          </w:p>
        </w:tc>
      </w:tr>
      <w:tr w:rsidR="005B3B94" w14:paraId="324C2125" w14:textId="77777777">
        <w:trPr>
          <w:jc w:val="center"/>
        </w:trPr>
        <w:tc>
          <w:tcPr>
            <w:tcW w:w="10656" w:type="dxa"/>
            <w:shd w:val="clear" w:color="auto" w:fill="FFFFFF"/>
          </w:tcPr>
          <w:p w14:paraId="3C73673B" w14:textId="77777777" w:rsidR="005B3B94" w:rsidRDefault="00000000" w:rsidP="00C84563">
            <w:pPr>
              <w:jc w:val="both"/>
            </w:pPr>
            <w:r>
              <w:rPr>
                <w:rFonts w:ascii="Consolas" w:hAnsi="Consolas"/>
                <w:sz w:val="16"/>
              </w:rPr>
              <w:t>Endpoint: EDR, MDM, encryption, patching and automated isolation</w:t>
            </w:r>
          </w:p>
        </w:tc>
      </w:tr>
      <w:tr w:rsidR="005B3B94" w14:paraId="7A9150BA" w14:textId="77777777">
        <w:trPr>
          <w:jc w:val="center"/>
        </w:trPr>
        <w:tc>
          <w:tcPr>
            <w:tcW w:w="10656" w:type="dxa"/>
            <w:shd w:val="clear" w:color="auto" w:fill="F2F2F2"/>
          </w:tcPr>
          <w:p w14:paraId="2DA052B2" w14:textId="77777777" w:rsidR="005B3B94" w:rsidRDefault="00000000" w:rsidP="00C84563">
            <w:pPr>
              <w:jc w:val="both"/>
            </w:pPr>
            <w:r>
              <w:rPr>
                <w:rFonts w:ascii="Consolas" w:hAnsi="Consolas"/>
                <w:sz w:val="16"/>
              </w:rPr>
              <w:t>Cloud: CSPM, CWPP, IaC scanning and least-privilege IAM</w:t>
            </w:r>
          </w:p>
        </w:tc>
      </w:tr>
      <w:tr w:rsidR="005B3B94" w14:paraId="3A6E3CE8" w14:textId="77777777">
        <w:trPr>
          <w:jc w:val="center"/>
        </w:trPr>
        <w:tc>
          <w:tcPr>
            <w:tcW w:w="10656" w:type="dxa"/>
            <w:shd w:val="clear" w:color="auto" w:fill="FFFFFF"/>
          </w:tcPr>
          <w:p w14:paraId="33D2D626" w14:textId="77777777" w:rsidR="005B3B94" w:rsidRDefault="00000000" w:rsidP="00C84563">
            <w:pPr>
              <w:jc w:val="both"/>
            </w:pPr>
            <w:r>
              <w:rPr>
                <w:rFonts w:ascii="Consolas" w:hAnsi="Consolas"/>
                <w:sz w:val="16"/>
              </w:rPr>
              <w:t>Network: ZTNA, SASE, micro-segmentation and encrypted traffic</w:t>
            </w:r>
          </w:p>
        </w:tc>
      </w:tr>
      <w:tr w:rsidR="005B3B94" w14:paraId="1323DF04" w14:textId="77777777">
        <w:trPr>
          <w:jc w:val="center"/>
        </w:trPr>
        <w:tc>
          <w:tcPr>
            <w:tcW w:w="10656" w:type="dxa"/>
            <w:shd w:val="clear" w:color="auto" w:fill="F2F2F2"/>
          </w:tcPr>
          <w:p w14:paraId="3223669A" w14:textId="77777777" w:rsidR="005B3B94" w:rsidRDefault="00000000" w:rsidP="00C84563">
            <w:pPr>
              <w:jc w:val="both"/>
            </w:pPr>
            <w:r>
              <w:rPr>
                <w:rFonts w:ascii="Consolas" w:hAnsi="Consolas"/>
                <w:sz w:val="16"/>
              </w:rPr>
              <w:t>Data: DLP, encryption, tokenisation, pseudonymisation and backup immutability</w:t>
            </w:r>
          </w:p>
        </w:tc>
      </w:tr>
      <w:tr w:rsidR="005B3B94" w14:paraId="4C50CCAD" w14:textId="77777777">
        <w:trPr>
          <w:jc w:val="center"/>
        </w:trPr>
        <w:tc>
          <w:tcPr>
            <w:tcW w:w="10656" w:type="dxa"/>
            <w:shd w:val="clear" w:color="auto" w:fill="FFFFFF"/>
          </w:tcPr>
          <w:p w14:paraId="622F515A" w14:textId="77777777" w:rsidR="005B3B94" w:rsidRDefault="00000000" w:rsidP="00C84563">
            <w:pPr>
              <w:jc w:val="both"/>
            </w:pPr>
            <w:r>
              <w:rPr>
                <w:rFonts w:ascii="Consolas" w:hAnsi="Consolas"/>
                <w:sz w:val="16"/>
              </w:rPr>
              <w:t>DevSecOps: SAST, DAST, SCA, SBOM, secrets scanning and signed builds</w:t>
            </w:r>
          </w:p>
        </w:tc>
      </w:tr>
      <w:tr w:rsidR="005B3B94" w14:paraId="7F5FAF19" w14:textId="77777777">
        <w:trPr>
          <w:jc w:val="center"/>
        </w:trPr>
        <w:tc>
          <w:tcPr>
            <w:tcW w:w="10656" w:type="dxa"/>
            <w:shd w:val="clear" w:color="auto" w:fill="F2F2F2"/>
          </w:tcPr>
          <w:p w14:paraId="52C8E0AA" w14:textId="77777777" w:rsidR="005B3B94" w:rsidRDefault="00000000" w:rsidP="00C84563">
            <w:pPr>
              <w:jc w:val="both"/>
            </w:pPr>
            <w:r>
              <w:rPr>
                <w:rFonts w:ascii="Consolas" w:hAnsi="Consolas"/>
                <w:sz w:val="16"/>
              </w:rPr>
              <w:t>Operations: SIEM, SOAR, UEBA, threat intelligence and incident playbooks</w:t>
            </w:r>
          </w:p>
        </w:tc>
      </w:tr>
    </w:tbl>
    <w:p w14:paraId="541ECD32" w14:textId="77777777" w:rsidR="00C84563" w:rsidRDefault="00C84563" w:rsidP="00C84563">
      <w:pPr>
        <w:jc w:val="both"/>
      </w:pPr>
    </w:p>
    <w:p w14:paraId="14CD4E04" w14:textId="29BD0969" w:rsidR="005B3B94" w:rsidRDefault="00000000" w:rsidP="00C84563">
      <w:pPr>
        <w:jc w:val="both"/>
      </w:pPr>
      <w:r>
        <w:t>The most urgent control is phishing-resistant MFA, preferably FIDO2 security keys, because credential theft is a common route into cloud and SaaS environments. EDR with automated isolation should be deployed to laptops, servers and build agents. CSPM should continuously check for exposed storage, excessive permissions, missing encryption and insecure network rules. SIEM and SOAR should reduce response time by correlating alerts and automating high-confidence containment actions.</w:t>
      </w:r>
    </w:p>
    <w:p w14:paraId="2336B3B7" w14:textId="77777777" w:rsidR="005B3B94" w:rsidRDefault="00000000" w:rsidP="00C84563">
      <w:pPr>
        <w:jc w:val="both"/>
      </w:pPr>
      <w:r>
        <w:t>For software supply-chain assurance, MediTrust should require SBOMs, dependency scanning, signed commits, protected branches, peer review and secrets scanning. For AI security, datasets and models should be versioned, signed and monitored for drift, tampering and abnormal performance.</w:t>
      </w:r>
    </w:p>
    <w:p w14:paraId="0499392B" w14:textId="77777777" w:rsidR="005B3B94" w:rsidRDefault="00000000" w:rsidP="00C84563">
      <w:pPr>
        <w:jc w:val="both"/>
      </w:pPr>
      <w:r>
        <w:br w:type="page"/>
      </w:r>
    </w:p>
    <w:p w14:paraId="0532D741" w14:textId="77777777" w:rsidR="005B3B94" w:rsidRDefault="00000000" w:rsidP="00C84563">
      <w:pPr>
        <w:pStyle w:val="Caption"/>
        <w:jc w:val="both"/>
      </w:pPr>
      <w:r>
        <w:lastRenderedPageBreak/>
        <w:t>Table 2. Twelve-month implementation roadmap.</w:t>
      </w:r>
    </w:p>
    <w:tbl>
      <w:tblPr>
        <w:tblStyle w:val="TableGrid"/>
        <w:tblW w:w="0" w:type="auto"/>
        <w:jc w:val="center"/>
        <w:tblLook w:val="04A0" w:firstRow="1" w:lastRow="0" w:firstColumn="1" w:lastColumn="0" w:noHBand="0" w:noVBand="1"/>
      </w:tblPr>
      <w:tblGrid>
        <w:gridCol w:w="3365"/>
        <w:gridCol w:w="3380"/>
        <w:gridCol w:w="3407"/>
      </w:tblGrid>
      <w:tr w:rsidR="005B3B94" w14:paraId="00587417" w14:textId="77777777">
        <w:trPr>
          <w:jc w:val="center"/>
        </w:trPr>
        <w:tc>
          <w:tcPr>
            <w:tcW w:w="3552" w:type="dxa"/>
            <w:shd w:val="clear" w:color="auto" w:fill="1F4E79"/>
            <w:vAlign w:val="center"/>
          </w:tcPr>
          <w:p w14:paraId="0A7887AC" w14:textId="77777777" w:rsidR="005B3B94" w:rsidRDefault="00000000" w:rsidP="00EB2C11">
            <w:pPr>
              <w:jc w:val="center"/>
            </w:pPr>
            <w:r>
              <w:rPr>
                <w:b/>
                <w:color w:val="FFFFFF"/>
              </w:rPr>
              <w:t>Phase</w:t>
            </w:r>
          </w:p>
        </w:tc>
        <w:tc>
          <w:tcPr>
            <w:tcW w:w="3552" w:type="dxa"/>
            <w:shd w:val="clear" w:color="auto" w:fill="1F4E79"/>
            <w:vAlign w:val="center"/>
          </w:tcPr>
          <w:p w14:paraId="4CF987A8" w14:textId="77777777" w:rsidR="005B3B94" w:rsidRDefault="00000000" w:rsidP="00EB2C11">
            <w:pPr>
              <w:jc w:val="center"/>
            </w:pPr>
            <w:r>
              <w:rPr>
                <w:b/>
                <w:color w:val="FFFFFF"/>
              </w:rPr>
              <w:t>Timeline</w:t>
            </w:r>
          </w:p>
        </w:tc>
        <w:tc>
          <w:tcPr>
            <w:tcW w:w="3552" w:type="dxa"/>
            <w:shd w:val="clear" w:color="auto" w:fill="1F4E79"/>
            <w:vAlign w:val="center"/>
          </w:tcPr>
          <w:p w14:paraId="1BD61E63" w14:textId="77777777" w:rsidR="005B3B94" w:rsidRDefault="00000000" w:rsidP="00EB2C11">
            <w:pPr>
              <w:jc w:val="center"/>
            </w:pPr>
            <w:r>
              <w:rPr>
                <w:b/>
                <w:color w:val="FFFFFF"/>
              </w:rPr>
              <w:t>Key Deliverables</w:t>
            </w:r>
          </w:p>
        </w:tc>
      </w:tr>
      <w:tr w:rsidR="005B3B94" w14:paraId="5919D126" w14:textId="77777777">
        <w:trPr>
          <w:jc w:val="center"/>
        </w:trPr>
        <w:tc>
          <w:tcPr>
            <w:tcW w:w="3552" w:type="dxa"/>
          </w:tcPr>
          <w:p w14:paraId="5C6A4BB4" w14:textId="77777777" w:rsidR="005B3B94" w:rsidRDefault="00000000" w:rsidP="00EB2C11">
            <w:pPr>
              <w:jc w:val="center"/>
            </w:pPr>
            <w:r>
              <w:t>Phase 1</w:t>
            </w:r>
          </w:p>
        </w:tc>
        <w:tc>
          <w:tcPr>
            <w:tcW w:w="3552" w:type="dxa"/>
          </w:tcPr>
          <w:p w14:paraId="74E71ED1" w14:textId="77777777" w:rsidR="005B3B94" w:rsidRDefault="00000000" w:rsidP="00EB2C11">
            <w:pPr>
              <w:jc w:val="center"/>
            </w:pPr>
            <w:r>
              <w:t>Months 1-3</w:t>
            </w:r>
          </w:p>
        </w:tc>
        <w:tc>
          <w:tcPr>
            <w:tcW w:w="3552" w:type="dxa"/>
          </w:tcPr>
          <w:p w14:paraId="61962BC3" w14:textId="77777777" w:rsidR="005B3B94" w:rsidRDefault="00000000" w:rsidP="00EB2C11">
            <w:pPr>
              <w:jc w:val="center"/>
            </w:pPr>
            <w:r>
              <w:t>CISO governance, asset inventory, data mapping, MFA, risk register and priority policies.</w:t>
            </w:r>
          </w:p>
        </w:tc>
      </w:tr>
      <w:tr w:rsidR="005B3B94" w14:paraId="716CB6BA" w14:textId="77777777">
        <w:trPr>
          <w:jc w:val="center"/>
        </w:trPr>
        <w:tc>
          <w:tcPr>
            <w:tcW w:w="3552" w:type="dxa"/>
          </w:tcPr>
          <w:p w14:paraId="4E797B91" w14:textId="77777777" w:rsidR="005B3B94" w:rsidRDefault="00000000" w:rsidP="00EB2C11">
            <w:pPr>
              <w:jc w:val="center"/>
            </w:pPr>
            <w:r>
              <w:t>Phase 2</w:t>
            </w:r>
          </w:p>
        </w:tc>
        <w:tc>
          <w:tcPr>
            <w:tcW w:w="3552" w:type="dxa"/>
          </w:tcPr>
          <w:p w14:paraId="25863E92" w14:textId="77777777" w:rsidR="005B3B94" w:rsidRDefault="00000000" w:rsidP="00EB2C11">
            <w:pPr>
              <w:jc w:val="center"/>
            </w:pPr>
            <w:r>
              <w:t>Months 4-6</w:t>
            </w:r>
          </w:p>
        </w:tc>
        <w:tc>
          <w:tcPr>
            <w:tcW w:w="3552" w:type="dxa"/>
          </w:tcPr>
          <w:p w14:paraId="2A1B392A" w14:textId="77777777" w:rsidR="005B3B94" w:rsidRDefault="00000000" w:rsidP="00EB2C11">
            <w:pPr>
              <w:jc w:val="center"/>
            </w:pPr>
            <w:r>
              <w:t>ZTNA, EDR, SIEM onboarding, access reviews and secure SaaS baselines.</w:t>
            </w:r>
          </w:p>
        </w:tc>
      </w:tr>
      <w:tr w:rsidR="005B3B94" w14:paraId="51950998" w14:textId="77777777">
        <w:trPr>
          <w:jc w:val="center"/>
        </w:trPr>
        <w:tc>
          <w:tcPr>
            <w:tcW w:w="3552" w:type="dxa"/>
          </w:tcPr>
          <w:p w14:paraId="72AAFFCB" w14:textId="77777777" w:rsidR="005B3B94" w:rsidRDefault="00000000" w:rsidP="00EB2C11">
            <w:pPr>
              <w:jc w:val="center"/>
            </w:pPr>
            <w:r>
              <w:t>Phase 3</w:t>
            </w:r>
          </w:p>
        </w:tc>
        <w:tc>
          <w:tcPr>
            <w:tcW w:w="3552" w:type="dxa"/>
          </w:tcPr>
          <w:p w14:paraId="25240343" w14:textId="77777777" w:rsidR="005B3B94" w:rsidRDefault="00000000" w:rsidP="00EB2C11">
            <w:pPr>
              <w:jc w:val="center"/>
            </w:pPr>
            <w:r>
              <w:t>Months 7-9</w:t>
            </w:r>
          </w:p>
        </w:tc>
        <w:tc>
          <w:tcPr>
            <w:tcW w:w="3552" w:type="dxa"/>
          </w:tcPr>
          <w:p w14:paraId="719DE632" w14:textId="77777777" w:rsidR="005B3B94" w:rsidRDefault="00000000" w:rsidP="00EB2C11">
            <w:pPr>
              <w:jc w:val="center"/>
            </w:pPr>
            <w:r>
              <w:t>CSPM, DevSecOps scanning, SBOM process, supplier assurance and AI dataset controls.</w:t>
            </w:r>
          </w:p>
        </w:tc>
      </w:tr>
      <w:tr w:rsidR="005B3B94" w14:paraId="4F16B931" w14:textId="77777777">
        <w:trPr>
          <w:jc w:val="center"/>
        </w:trPr>
        <w:tc>
          <w:tcPr>
            <w:tcW w:w="3552" w:type="dxa"/>
          </w:tcPr>
          <w:p w14:paraId="5D9DE8C1" w14:textId="77777777" w:rsidR="005B3B94" w:rsidRDefault="00000000" w:rsidP="00EB2C11">
            <w:pPr>
              <w:jc w:val="center"/>
            </w:pPr>
            <w:r>
              <w:t>Phase 4</w:t>
            </w:r>
          </w:p>
        </w:tc>
        <w:tc>
          <w:tcPr>
            <w:tcW w:w="3552" w:type="dxa"/>
          </w:tcPr>
          <w:p w14:paraId="0DF71A78" w14:textId="77777777" w:rsidR="005B3B94" w:rsidRDefault="00000000" w:rsidP="00EB2C11">
            <w:pPr>
              <w:jc w:val="center"/>
            </w:pPr>
            <w:r>
              <w:t>Months 10-12</w:t>
            </w:r>
          </w:p>
        </w:tc>
        <w:tc>
          <w:tcPr>
            <w:tcW w:w="3552" w:type="dxa"/>
          </w:tcPr>
          <w:p w14:paraId="5BBF25B7" w14:textId="77777777" w:rsidR="005B3B94" w:rsidRDefault="00000000" w:rsidP="00EB2C11">
            <w:pPr>
              <w:jc w:val="center"/>
            </w:pPr>
            <w:r>
              <w:t>SOAR playbooks, DR test, red-team exercise, NIS2/DORA evidence pack and maturity review.</w:t>
            </w:r>
          </w:p>
        </w:tc>
      </w:tr>
    </w:tbl>
    <w:p w14:paraId="35CB733B" w14:textId="77777777" w:rsidR="005B3B94" w:rsidRDefault="00000000" w:rsidP="00C84563">
      <w:pPr>
        <w:pStyle w:val="Heading1"/>
        <w:jc w:val="both"/>
      </w:pPr>
      <w:bookmarkStart w:id="26" w:name="_Toc228307000"/>
      <w:r>
        <w:t>X. Conclusion</w:t>
      </w:r>
      <w:bookmarkEnd w:id="26"/>
    </w:p>
    <w:p w14:paraId="59105D86" w14:textId="77777777" w:rsidR="005B3B94" w:rsidRDefault="00000000" w:rsidP="00C84563">
      <w:pPr>
        <w:jc w:val="both"/>
      </w:pPr>
      <w:r>
        <w:t>MediTrust's expansion into the EU healthcare market requires a security programme that is strategic, evidence-based and resilient. The organisation's dependence on AI, multi-cloud platforms, hybrid work and third-party research partners means that perimeter-based trust is no longer adequate. Zero Trust is the most suitable architectural model because it verifies access continuously, limits privilege, segments sensitive environments and assumes that compromise may occur.</w:t>
      </w:r>
    </w:p>
    <w:p w14:paraId="63E0B545" w14:textId="77777777" w:rsidR="005B3B94" w:rsidRDefault="00000000" w:rsidP="00C84563">
      <w:pPr>
        <w:jc w:val="both"/>
      </w:pPr>
      <w:r>
        <w:t>The proposed programme combines organisational design, policy controls, NIST CSF 2.0 governance, regulatory alignment, targeted risk management, disaster recovery planning and modern technical controls. Its value is not simply that it reduces technical risk. It also strengthens hospital procurement confidence, protects patient data, safeguards AI intellectual property and supports operational resilience. The strongest conclusion is therefore that cybersecurity should be treated as a core condition of MediTrust's growth strategy, not an afterthought to product development.</w:t>
      </w:r>
    </w:p>
    <w:p w14:paraId="3E96FEDE" w14:textId="77777777" w:rsidR="005B3B94" w:rsidRDefault="00000000" w:rsidP="00C84563">
      <w:pPr>
        <w:pStyle w:val="Heading1"/>
        <w:jc w:val="both"/>
      </w:pPr>
      <w:bookmarkStart w:id="27" w:name="_Toc228307001"/>
      <w:r>
        <w:t>References</w:t>
      </w:r>
      <w:bookmarkEnd w:id="27"/>
    </w:p>
    <w:p w14:paraId="41BC6C94" w14:textId="77777777" w:rsidR="005B3B94" w:rsidRDefault="00000000" w:rsidP="00C84563">
      <w:pPr>
        <w:spacing w:after="60"/>
        <w:ind w:left="288" w:hanging="288"/>
        <w:jc w:val="both"/>
      </w:pPr>
      <w:r>
        <w:t>[1] University of Wales Trinity Saint David, The Need for Security, lecture slides, 2025.</w:t>
      </w:r>
    </w:p>
    <w:p w14:paraId="749E531D" w14:textId="77777777" w:rsidR="005B3B94" w:rsidRDefault="00000000" w:rsidP="00C84563">
      <w:pPr>
        <w:spacing w:after="60"/>
        <w:ind w:left="288" w:hanging="288"/>
        <w:jc w:val="both"/>
      </w:pPr>
      <w:r>
        <w:t>[2] University of Wales Trinity Saint David, Security Technology: Firewalls and VPNs, lecture slides, 2025.</w:t>
      </w:r>
    </w:p>
    <w:p w14:paraId="78E76835" w14:textId="77777777" w:rsidR="005B3B94" w:rsidRDefault="00000000" w:rsidP="00C84563">
      <w:pPr>
        <w:spacing w:after="60"/>
        <w:ind w:left="288" w:hanging="288"/>
        <w:jc w:val="both"/>
      </w:pPr>
      <w:r>
        <w:t>[3] S. Rose, O. Borchert, S. Mitchell, and S. Connelly, Zero Trust Architecture, NIST Special Publication 800-207, Aug. 2020.</w:t>
      </w:r>
    </w:p>
    <w:p w14:paraId="6095B003" w14:textId="77777777" w:rsidR="005B3B94" w:rsidRDefault="00000000" w:rsidP="00C84563">
      <w:pPr>
        <w:spacing w:after="60"/>
        <w:ind w:left="288" w:hanging="288"/>
        <w:jc w:val="both"/>
      </w:pPr>
      <w:r>
        <w:t>[4] Cybersecurity and Infrastructure Security Agency, Zero Trust Maturity Model Version 2.0, Apr. 2023.</w:t>
      </w:r>
    </w:p>
    <w:p w14:paraId="698E5F8B" w14:textId="77777777" w:rsidR="005B3B94" w:rsidRDefault="00000000" w:rsidP="00C84563">
      <w:pPr>
        <w:spacing w:after="60"/>
        <w:ind w:left="288" w:hanging="288"/>
        <w:jc w:val="both"/>
      </w:pPr>
      <w:r>
        <w:t>[5] University of Wales Trinity Saint David, Intrusion Detection and Prevention Systems, and Other Security Tools, lecture slides, 2025.</w:t>
      </w:r>
    </w:p>
    <w:p w14:paraId="15F44C63" w14:textId="77777777" w:rsidR="005B3B94" w:rsidRDefault="00000000" w:rsidP="00C84563">
      <w:pPr>
        <w:spacing w:after="60"/>
        <w:ind w:left="288" w:hanging="288"/>
        <w:jc w:val="both"/>
      </w:pPr>
      <w:r>
        <w:t>[6] National Institute of Standards and Technology, The NIST Cybersecurity Framework (CSF) 2.0, NIST CSWP 29, Feb. 2024.</w:t>
      </w:r>
    </w:p>
    <w:p w14:paraId="5823333A" w14:textId="77777777" w:rsidR="005B3B94" w:rsidRDefault="00000000" w:rsidP="00C84563">
      <w:pPr>
        <w:spacing w:after="60"/>
        <w:ind w:left="288" w:hanging="288"/>
        <w:jc w:val="both"/>
      </w:pPr>
      <w:r>
        <w:t>[7] UK Parliament, Data Protection Act 2018. London, U.K., 2018.</w:t>
      </w:r>
    </w:p>
    <w:p w14:paraId="597119ED" w14:textId="77777777" w:rsidR="005B3B94" w:rsidRDefault="00000000" w:rsidP="00C84563">
      <w:pPr>
        <w:spacing w:after="60"/>
        <w:ind w:left="288" w:hanging="288"/>
        <w:jc w:val="both"/>
      </w:pPr>
      <w:r>
        <w:t>[8] UK Government, UK General Data Protection Regulation (UK GDPR). London, U.K., 2021.</w:t>
      </w:r>
    </w:p>
    <w:p w14:paraId="62FC7B7A" w14:textId="77777777" w:rsidR="005B3B94" w:rsidRDefault="00000000" w:rsidP="00C84563">
      <w:pPr>
        <w:spacing w:after="60"/>
        <w:ind w:left="288" w:hanging="288"/>
        <w:jc w:val="both"/>
      </w:pPr>
      <w:r>
        <w:t>[9] European Parliament and Council, Directive (EU) 2022/2555 on measures for a high common level of cybersecurity across the Union (NIS2), 2022.</w:t>
      </w:r>
    </w:p>
    <w:p w14:paraId="0B19E41F" w14:textId="77777777" w:rsidR="005B3B94" w:rsidRDefault="00000000" w:rsidP="00C84563">
      <w:pPr>
        <w:spacing w:after="60"/>
        <w:ind w:left="288" w:hanging="288"/>
        <w:jc w:val="both"/>
      </w:pPr>
      <w:r>
        <w:lastRenderedPageBreak/>
        <w:t>[10] European Parliament and Council, Regulation (EU) 2022/2554 on digital operational resilience for the financial sector (DORA), 2022.</w:t>
      </w:r>
    </w:p>
    <w:p w14:paraId="7B5122D8" w14:textId="77777777" w:rsidR="005B3B94" w:rsidRDefault="00000000" w:rsidP="00C84563">
      <w:pPr>
        <w:spacing w:after="60"/>
        <w:ind w:left="288" w:hanging="288"/>
        <w:jc w:val="both"/>
      </w:pPr>
      <w:r>
        <w:t>[11] ISO/IEC 27001:2022, Information Security, Cybersecurity and Privacy Protection - Information Security Management Systems - Requirements. Geneva, Switzerland: International Organization for Standardization, 2022.</w:t>
      </w:r>
    </w:p>
    <w:p w14:paraId="72B2B166" w14:textId="77777777" w:rsidR="005B3B94" w:rsidRDefault="00000000" w:rsidP="00C84563">
      <w:pPr>
        <w:spacing w:after="60"/>
        <w:ind w:left="288" w:hanging="288"/>
        <w:jc w:val="both"/>
      </w:pPr>
      <w:r>
        <w:t>[12] OWASP Foundation, OWASP Top 10: The Ten Most Critical Web Application Security Risks, 2021.</w:t>
      </w:r>
    </w:p>
    <w:p w14:paraId="4C4C9CDA" w14:textId="77777777" w:rsidR="005B3B94" w:rsidRDefault="00000000" w:rsidP="00C84563">
      <w:pPr>
        <w:spacing w:after="60"/>
        <w:ind w:left="288" w:hanging="288"/>
        <w:jc w:val="both"/>
      </w:pPr>
      <w:r>
        <w:t>[13] European Union Agency for Cybersecurity, ENISA Threat Landscape 2024, 2024.</w:t>
      </w:r>
    </w:p>
    <w:p w14:paraId="322A2858" w14:textId="77777777" w:rsidR="005B3B94" w:rsidRDefault="00000000" w:rsidP="00C84563">
      <w:pPr>
        <w:spacing w:after="60"/>
        <w:ind w:left="288" w:hanging="288"/>
        <w:jc w:val="both"/>
      </w:pPr>
      <w:r>
        <w:t>[14] M. E. Whitman and H. J. Mattord, Principles of Information Security, 7th ed. Boston, MA, USA: Cengage, 2022.</w:t>
      </w:r>
    </w:p>
    <w:p w14:paraId="165A86F2" w14:textId="77777777" w:rsidR="005B3B94" w:rsidRDefault="00000000" w:rsidP="00C84563">
      <w:pPr>
        <w:spacing w:after="60"/>
        <w:ind w:left="288" w:hanging="288"/>
        <w:jc w:val="both"/>
      </w:pPr>
      <w:r>
        <w:t>[15] R. Chandramouli and Z. Butcher, A Zero Trust Architecture Model for Access Control in Cloud-Native Applications in Multi-Cloud Environments, NIST Special Publication 800-207A, Sept. 2023.</w:t>
      </w:r>
    </w:p>
    <w:sectPr w:rsidR="005B3B94" w:rsidSect="00553A39">
      <w:headerReference w:type="default" r:id="rId10"/>
      <w:footerReference w:type="default" r:id="rId11"/>
      <w:pgSz w:w="12240" w:h="15840"/>
      <w:pgMar w:top="1080" w:right="1152" w:bottom="1080" w:left="115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D657B" w14:textId="77777777" w:rsidR="00B95E33" w:rsidRDefault="00B95E33">
      <w:pPr>
        <w:spacing w:after="0" w:line="240" w:lineRule="auto"/>
      </w:pPr>
      <w:r>
        <w:separator/>
      </w:r>
    </w:p>
  </w:endnote>
  <w:endnote w:type="continuationSeparator" w:id="0">
    <w:p w14:paraId="7789DDEF" w14:textId="77777777" w:rsidR="00B95E33" w:rsidRDefault="00B95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F4D25" w14:textId="77777777" w:rsidR="005B3B94" w:rsidRDefault="00000000">
    <w:pPr>
      <w:pStyle w:val="Footer"/>
      <w:jc w:val="center"/>
    </w:pPr>
    <w:r>
      <w:t xml:space="preserve">Page </w:t>
    </w:r>
    <w:r>
      <w:fldChar w:fldCharType="begin"/>
    </w:r>
    <w:r>
      <w:instrText>PAGE</w:instrText>
    </w:r>
    <w:r w:rsidR="00C84563">
      <w:fldChar w:fldCharType="separate"/>
    </w:r>
    <w:r w:rsidR="00C8456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E35F3" w14:textId="77777777" w:rsidR="00B95E33" w:rsidRDefault="00B95E33">
      <w:pPr>
        <w:spacing w:after="0" w:line="240" w:lineRule="auto"/>
      </w:pPr>
      <w:r>
        <w:separator/>
      </w:r>
    </w:p>
  </w:footnote>
  <w:footnote w:type="continuationSeparator" w:id="0">
    <w:p w14:paraId="224ADE9D" w14:textId="77777777" w:rsidR="00B95E33" w:rsidRDefault="00B95E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95BD" w14:textId="77777777" w:rsidR="005B3B94" w:rsidRDefault="00000000">
    <w:pPr>
      <w:pStyle w:val="Header"/>
      <w:jc w:val="right"/>
    </w:pPr>
    <w:r>
      <w:rPr>
        <w:sz w:val="16"/>
      </w:rPr>
      <w:t>Data Security and Compliance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8474079">
    <w:abstractNumId w:val="8"/>
  </w:num>
  <w:num w:numId="2" w16cid:durableId="1724451946">
    <w:abstractNumId w:val="6"/>
  </w:num>
  <w:num w:numId="3" w16cid:durableId="403112149">
    <w:abstractNumId w:val="5"/>
  </w:num>
  <w:num w:numId="4" w16cid:durableId="68967704">
    <w:abstractNumId w:val="4"/>
  </w:num>
  <w:num w:numId="5" w16cid:durableId="1778015212">
    <w:abstractNumId w:val="7"/>
  </w:num>
  <w:num w:numId="6" w16cid:durableId="945846603">
    <w:abstractNumId w:val="3"/>
  </w:num>
  <w:num w:numId="7" w16cid:durableId="642581274">
    <w:abstractNumId w:val="2"/>
  </w:num>
  <w:num w:numId="8" w16cid:durableId="545262067">
    <w:abstractNumId w:val="1"/>
  </w:num>
  <w:num w:numId="9" w16cid:durableId="967512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75648"/>
    <w:rsid w:val="0029639D"/>
    <w:rsid w:val="00326F90"/>
    <w:rsid w:val="004C7D3B"/>
    <w:rsid w:val="00553A39"/>
    <w:rsid w:val="005B3B94"/>
    <w:rsid w:val="00AA1D8D"/>
    <w:rsid w:val="00B47730"/>
    <w:rsid w:val="00B95E33"/>
    <w:rsid w:val="00C84563"/>
    <w:rsid w:val="00CB0664"/>
    <w:rsid w:val="00EB2C1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90E2AC"/>
  <w14:defaultImageDpi w14:val="300"/>
  <w15:docId w15:val="{3B986781-153A-4ED8-B43E-99C6FCBAE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C84563"/>
    <w:pPr>
      <w:spacing w:after="100"/>
    </w:pPr>
  </w:style>
  <w:style w:type="character" w:styleId="Hyperlink">
    <w:name w:val="Hyperlink"/>
    <w:basedOn w:val="DefaultParagraphFont"/>
    <w:uiPriority w:val="99"/>
    <w:unhideWhenUsed/>
    <w:rsid w:val="00C84563"/>
    <w:rPr>
      <w:color w:val="0000FF" w:themeColor="hyperlink"/>
      <w:u w:val="single"/>
    </w:rPr>
  </w:style>
  <w:style w:type="paragraph" w:styleId="TOC2">
    <w:name w:val="toc 2"/>
    <w:basedOn w:val="Normal"/>
    <w:next w:val="Normal"/>
    <w:autoRedefine/>
    <w:uiPriority w:val="39"/>
    <w:unhideWhenUsed/>
    <w:rsid w:val="00553A39"/>
    <w:pPr>
      <w:spacing w:after="100"/>
      <w:ind w:left="210"/>
    </w:pPr>
  </w:style>
  <w:style w:type="character" w:customStyle="1" w:styleId="NoSpacingChar">
    <w:name w:val="No Spacing Char"/>
    <w:basedOn w:val="DefaultParagraphFont"/>
    <w:link w:val="NoSpacing"/>
    <w:uiPriority w:val="1"/>
    <w:rsid w:val="00553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6134</Words>
  <Characters>36381</Characters>
  <Application>Microsoft Office Word</Application>
  <DocSecurity>0</DocSecurity>
  <Lines>826</Lines>
  <Paragraphs>345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42170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Zero Trust Architecture</dc:title>
  <dc:subject/>
  <dc:creator>Ralph Saramaduo-Hart (2411210)</dc:creator>
  <cp:keywords/>
  <dc:description>generated by python-docx</dc:description>
  <cp:lastModifiedBy>Ralph Saramaduo-Hart (2411210)</cp:lastModifiedBy>
  <cp:revision>2</cp:revision>
  <dcterms:created xsi:type="dcterms:W3CDTF">2026-04-28T21:20:00Z</dcterms:created>
  <dcterms:modified xsi:type="dcterms:W3CDTF">2026-04-28T21:20:00Z</dcterms:modified>
  <cp:category/>
</cp:coreProperties>
</file>