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Pr="00385F58" w:rsidRDefault="00C558B0" w:rsidP="00C558B0">
      <w:pPr>
        <w:spacing w:line="360" w:lineRule="auto"/>
        <w:rPr>
          <w:rFonts w:ascii="Arial" w:hAnsi="Arial" w:cs="Arial"/>
          <w:sz w:val="22"/>
        </w:rPr>
      </w:pPr>
    </w:p>
    <w:p w14:paraId="4CFA099C" w14:textId="77777777" w:rsidR="00C558B0" w:rsidRPr="00385F58" w:rsidRDefault="00C558B0" w:rsidP="00C558B0">
      <w:pPr>
        <w:tabs>
          <w:tab w:val="left" w:pos="6540"/>
        </w:tabs>
        <w:spacing w:line="360" w:lineRule="auto"/>
        <w:rPr>
          <w:rFonts w:ascii="Arial" w:hAnsi="Arial" w:cs="Arial"/>
          <w:sz w:val="22"/>
        </w:rPr>
      </w:pPr>
    </w:p>
    <w:p w14:paraId="2F4F861B" w14:textId="6F2E82F4" w:rsidR="00C558B0" w:rsidRPr="00385F58" w:rsidRDefault="00C558B0" w:rsidP="00C558B0">
      <w:pPr>
        <w:tabs>
          <w:tab w:val="left" w:pos="6540"/>
        </w:tabs>
        <w:spacing w:line="360" w:lineRule="auto"/>
        <w:rPr>
          <w:rFonts w:ascii="Arial" w:hAnsi="Arial" w:cs="Arial"/>
          <w:sz w:val="22"/>
          <w:lang w:val="nl-NL"/>
        </w:rPr>
      </w:pPr>
      <w:r w:rsidRPr="00385F58">
        <w:rPr>
          <w:rFonts w:ascii="Arial" w:hAnsi="Arial" w:cs="Arial"/>
          <w:b/>
          <w:bCs/>
          <w:sz w:val="22"/>
          <w:lang w:val="nl-NL"/>
        </w:rPr>
        <w:t>Student name</w:t>
      </w:r>
      <w:r w:rsidRPr="00385F58">
        <w:rPr>
          <w:rFonts w:ascii="Arial" w:hAnsi="Arial" w:cs="Arial"/>
          <w:sz w:val="22"/>
          <w:lang w:val="nl-NL"/>
        </w:rPr>
        <w:t>:</w:t>
      </w:r>
      <w:r w:rsidR="00E75BDD" w:rsidRPr="00385F58">
        <w:rPr>
          <w:rFonts w:ascii="Arial" w:hAnsi="Arial" w:cs="Arial"/>
          <w:sz w:val="22"/>
          <w:lang w:val="nl-NL"/>
        </w:rPr>
        <w:t xml:space="preserve"> MA.Corazon Osborne</w:t>
      </w:r>
    </w:p>
    <w:p w14:paraId="18D88AE2" w14:textId="52BD67F0" w:rsidR="00C558B0" w:rsidRPr="00385F58" w:rsidRDefault="00C558B0" w:rsidP="00C558B0">
      <w:pPr>
        <w:tabs>
          <w:tab w:val="left" w:pos="6540"/>
        </w:tabs>
        <w:spacing w:line="360" w:lineRule="auto"/>
        <w:rPr>
          <w:rFonts w:ascii="Arial" w:hAnsi="Arial" w:cs="Arial"/>
          <w:sz w:val="22"/>
          <w:lang w:val="nl-NL"/>
        </w:rPr>
      </w:pPr>
      <w:r w:rsidRPr="00385F58">
        <w:rPr>
          <w:rFonts w:ascii="Arial" w:hAnsi="Arial" w:cs="Arial"/>
          <w:b/>
          <w:bCs/>
          <w:sz w:val="22"/>
          <w:lang w:val="nl-NL"/>
        </w:rPr>
        <w:t>Student ID</w:t>
      </w:r>
      <w:r w:rsidRPr="00385F58">
        <w:rPr>
          <w:rFonts w:ascii="Arial" w:hAnsi="Arial" w:cs="Arial"/>
          <w:sz w:val="22"/>
          <w:lang w:val="nl-NL"/>
        </w:rPr>
        <w:t>:</w:t>
      </w:r>
      <w:r w:rsidR="00E75BDD" w:rsidRPr="00385F58">
        <w:rPr>
          <w:rFonts w:ascii="Arial" w:hAnsi="Arial" w:cs="Arial"/>
          <w:sz w:val="22"/>
          <w:lang w:val="nl-NL"/>
        </w:rPr>
        <w:t xml:space="preserve"> 2414115</w:t>
      </w:r>
    </w:p>
    <w:p w14:paraId="4654C81C" w14:textId="77777777" w:rsidR="00C558B0" w:rsidRPr="00385F58" w:rsidRDefault="00C558B0" w:rsidP="00C558B0">
      <w:pPr>
        <w:tabs>
          <w:tab w:val="left" w:pos="6540"/>
        </w:tabs>
        <w:spacing w:line="360" w:lineRule="auto"/>
        <w:rPr>
          <w:rFonts w:ascii="Arial" w:hAnsi="Arial" w:cs="Arial"/>
          <w:sz w:val="22"/>
          <w:lang w:val="nl-NL"/>
        </w:rPr>
      </w:pPr>
    </w:p>
    <w:p w14:paraId="3D8DA301" w14:textId="4A6B723E" w:rsidR="00C558B0" w:rsidRPr="00385F58" w:rsidRDefault="00C558B0" w:rsidP="00C558B0">
      <w:pPr>
        <w:tabs>
          <w:tab w:val="left" w:pos="6540"/>
        </w:tabs>
        <w:spacing w:line="360" w:lineRule="auto"/>
        <w:rPr>
          <w:rFonts w:ascii="Arial" w:hAnsi="Arial" w:cs="Arial"/>
          <w:sz w:val="22"/>
          <w:lang w:val="nl-NL"/>
        </w:rPr>
      </w:pPr>
      <w:r w:rsidRPr="00385F58">
        <w:rPr>
          <w:rFonts w:ascii="Arial" w:hAnsi="Arial" w:cs="Arial"/>
          <w:b/>
          <w:bCs/>
          <w:sz w:val="22"/>
          <w:lang w:val="nl-NL"/>
        </w:rPr>
        <w:t>Module name</w:t>
      </w:r>
      <w:r w:rsidRPr="00385F58">
        <w:rPr>
          <w:rFonts w:ascii="Arial" w:hAnsi="Arial" w:cs="Arial"/>
          <w:sz w:val="22"/>
          <w:lang w:val="nl-NL"/>
        </w:rPr>
        <w:t xml:space="preserve">: </w:t>
      </w:r>
      <w:r w:rsidR="00E75BDD" w:rsidRPr="00385F58">
        <w:rPr>
          <w:rFonts w:ascii="Arial" w:hAnsi="Arial" w:cs="Arial"/>
          <w:sz w:val="22"/>
          <w:lang w:val="nl-NL"/>
        </w:rPr>
        <w:t>Principles of Health and Social Care Practice</w:t>
      </w:r>
    </w:p>
    <w:p w14:paraId="7DB3261D" w14:textId="6A0E875A" w:rsidR="00C558B0" w:rsidRPr="00385F58" w:rsidRDefault="00C558B0" w:rsidP="00C558B0">
      <w:pPr>
        <w:tabs>
          <w:tab w:val="left" w:pos="6540"/>
        </w:tabs>
        <w:spacing w:line="360" w:lineRule="auto"/>
        <w:rPr>
          <w:rFonts w:ascii="Arial" w:hAnsi="Arial" w:cs="Arial"/>
          <w:sz w:val="22"/>
        </w:rPr>
      </w:pPr>
      <w:r w:rsidRPr="00385F58">
        <w:rPr>
          <w:rFonts w:ascii="Arial" w:hAnsi="Arial" w:cs="Arial"/>
          <w:b/>
          <w:bCs/>
          <w:sz w:val="22"/>
        </w:rPr>
        <w:t>Module code</w:t>
      </w:r>
      <w:r w:rsidRPr="00385F58">
        <w:rPr>
          <w:rFonts w:ascii="Arial" w:hAnsi="Arial" w:cs="Arial"/>
          <w:sz w:val="22"/>
        </w:rPr>
        <w:t>:</w:t>
      </w:r>
      <w:r w:rsidR="00E75BDD" w:rsidRPr="00385F58">
        <w:rPr>
          <w:rFonts w:ascii="Arial" w:hAnsi="Arial" w:cs="Arial"/>
          <w:sz w:val="22"/>
        </w:rPr>
        <w:t xml:space="preserve"> BMHP 5016-Lon</w:t>
      </w:r>
    </w:p>
    <w:p w14:paraId="5CCA350C" w14:textId="1A6F1780" w:rsidR="00C558B0" w:rsidRPr="00385F58" w:rsidRDefault="00C558B0" w:rsidP="00C558B0">
      <w:pPr>
        <w:tabs>
          <w:tab w:val="left" w:pos="6540"/>
        </w:tabs>
        <w:spacing w:line="360" w:lineRule="auto"/>
        <w:rPr>
          <w:rFonts w:ascii="Arial" w:hAnsi="Arial" w:cs="Arial"/>
          <w:sz w:val="22"/>
        </w:rPr>
      </w:pPr>
      <w:r w:rsidRPr="00385F58">
        <w:rPr>
          <w:rFonts w:ascii="Arial" w:hAnsi="Arial" w:cs="Arial"/>
          <w:b/>
          <w:bCs/>
          <w:sz w:val="22"/>
        </w:rPr>
        <w:t>Lecturer name</w:t>
      </w:r>
      <w:r w:rsidRPr="00385F58">
        <w:rPr>
          <w:rFonts w:ascii="Arial" w:hAnsi="Arial" w:cs="Arial"/>
          <w:sz w:val="22"/>
        </w:rPr>
        <w:t>:</w:t>
      </w:r>
      <w:r w:rsidR="00E75BDD" w:rsidRPr="00385F58">
        <w:rPr>
          <w:rFonts w:ascii="Arial" w:hAnsi="Arial" w:cs="Arial"/>
          <w:sz w:val="22"/>
        </w:rPr>
        <w:t xml:space="preserve"> Mark Kane</w:t>
      </w:r>
    </w:p>
    <w:p w14:paraId="5461F9C8" w14:textId="77777777" w:rsidR="00C558B0" w:rsidRPr="00385F58" w:rsidRDefault="00C558B0" w:rsidP="00C558B0">
      <w:pPr>
        <w:tabs>
          <w:tab w:val="left" w:pos="6540"/>
        </w:tabs>
        <w:spacing w:line="360" w:lineRule="auto"/>
        <w:rPr>
          <w:rFonts w:ascii="Arial" w:hAnsi="Arial" w:cs="Arial"/>
          <w:sz w:val="22"/>
        </w:rPr>
      </w:pPr>
    </w:p>
    <w:p w14:paraId="79C715ED" w14:textId="16914D07" w:rsidR="006D2F2D" w:rsidRPr="00385F58" w:rsidRDefault="006D2F2D" w:rsidP="004A5A64">
      <w:pPr>
        <w:spacing w:line="360" w:lineRule="auto"/>
        <w:rPr>
          <w:rFonts w:ascii="Arial" w:hAnsi="Arial" w:cs="Arial"/>
          <w:sz w:val="22"/>
        </w:rPr>
      </w:pPr>
      <w:r w:rsidRPr="00385F58">
        <w:rPr>
          <w:rFonts w:ascii="Arial" w:hAnsi="Arial" w:cs="Arial"/>
          <w:sz w:val="22"/>
        </w:rPr>
        <w:br w:type="page"/>
      </w:r>
    </w:p>
    <w:p w14:paraId="678C4E52" w14:textId="77777777" w:rsidR="0076171E" w:rsidRPr="00385F58" w:rsidRDefault="0076171E" w:rsidP="00305CCA">
      <w:pPr>
        <w:spacing w:line="360" w:lineRule="auto"/>
        <w:rPr>
          <w:rFonts w:ascii="Arial" w:hAnsi="Arial" w:cs="Arial"/>
          <w:b/>
          <w:bCs/>
          <w:sz w:val="22"/>
        </w:rPr>
      </w:pPr>
      <w:r w:rsidRPr="00385F58">
        <w:rPr>
          <w:rFonts w:ascii="Arial" w:hAnsi="Arial" w:cs="Arial"/>
          <w:b/>
          <w:bCs/>
          <w:sz w:val="22"/>
        </w:rPr>
        <w:lastRenderedPageBreak/>
        <w:t>Introduction</w:t>
      </w:r>
    </w:p>
    <w:p w14:paraId="7EB6D8DF"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The Social Model of Disability as a Foundation for Person Centred Care: A Critical Analysis of Theory, Policy, and Partnership Working</w:t>
      </w:r>
    </w:p>
    <w:p w14:paraId="47AAE370" w14:textId="40D9A53B"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Person-centred care, which emphasises autonomy, dignity, and the active participation of persons in determining their own assistance, has emerged as a key concept in contemporary health and social care. By redefining disability as a socially constructed experience affected by institutional, environmental, and attitudinal impediments rather than an innate human defect, the Social Model of Disability offers a strong conceptual basis for this approach (UPIAS, 1976; Oliver, 1983). Legislation, policy, and professional practice in the UK have all been significantly impacted by this change, especially </w:t>
      </w:r>
      <w:r w:rsidR="00385F58" w:rsidRPr="00385F58">
        <w:rPr>
          <w:rFonts w:ascii="Arial" w:hAnsi="Arial" w:cs="Arial"/>
          <w:sz w:val="22"/>
        </w:rPr>
        <w:t>regarding</w:t>
      </w:r>
      <w:r w:rsidRPr="00385F58">
        <w:rPr>
          <w:rFonts w:ascii="Arial" w:hAnsi="Arial" w:cs="Arial"/>
          <w:sz w:val="22"/>
        </w:rPr>
        <w:t xml:space="preserve"> equity, personalised, and based on rights care. The application of Social Model principles is nonetheless uneven and frequently hampered by institutional pressures, budget constraints, and enduring medicalised presumptions inside systems, despite its compelling theoretical appeal. Although partnership cooperation is essential to putting the Social Model into effect, it also encounters issues with power disparities, organisational boundaries, and limited participation of handicapped people.</w:t>
      </w:r>
    </w:p>
    <w:p w14:paraId="01E4266B"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As a theoretical foundation for person-centred care, the Social Model of Disability is critically examined in this article. Its impact on laws, policies, and recommendations is examined, and the efficacy of these frameworks' implementation is assessed. Additionally, it examines the degree to which collaborative techniques are used in modern health and social care and assesses the function of partnership working in promoting Social Model aligned practice. The article contends that although the Social Model has greatly influenced the trajectory of professional discourse and legislation, structural obstacles that impede true person-centred and partnership-based practice limit its transformational potential.</w:t>
      </w:r>
    </w:p>
    <w:p w14:paraId="28A28B79"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The Social Model of Disability: Theory and Critical Perspectives</w:t>
      </w:r>
    </w:p>
    <w:p w14:paraId="7ECD6810" w14:textId="37CE1D20"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The disability rights movement of the 1970s gave rise to the societal Model of Disability, especially via the efforts of the Union of the Physically Impaired Against Segregation (UPIAS), which maintained that societal oppression rather than personal impairment is the cause of disability (UPIAS, 1976). This difference was further codified by Oliver (1983), who defined disability as the social exclusion brought about by inaccessible settings, discriminatory attitudes, and institutional barriers, and impairment as a physical, sensory, or cognitive condition. The medical paradigm, which locates impairment inside the individual and places a focus on diagnosis, treatment, and professional control, was challenged by this conceptual change. Because it promotes empowerment, autonomy, and removing obstacles that limit involvement, the Social Model is strongly aligned with person-centred care (Barnes, 2019). It </w:t>
      </w:r>
      <w:r w:rsidRPr="00385F58">
        <w:rPr>
          <w:rFonts w:ascii="Arial" w:hAnsi="Arial" w:cs="Arial"/>
          <w:sz w:val="22"/>
        </w:rPr>
        <w:lastRenderedPageBreak/>
        <w:t xml:space="preserve">encourages co-production, collaborative decision-making, and respect for lived experience while positioning handicapped people as experts in their own lives (Beresford, 2016). </w:t>
      </w:r>
    </w:p>
    <w:p w14:paraId="291E2D1E" w14:textId="78A4A3FE" w:rsidR="0076171E" w:rsidRPr="00385F58" w:rsidRDefault="0076171E" w:rsidP="00305CCA">
      <w:pPr>
        <w:spacing w:line="360" w:lineRule="auto"/>
        <w:jc w:val="both"/>
        <w:rPr>
          <w:rFonts w:ascii="Arial" w:hAnsi="Arial" w:cs="Arial"/>
          <w:sz w:val="22"/>
        </w:rPr>
      </w:pPr>
      <w:r w:rsidRPr="00385F58">
        <w:rPr>
          <w:rFonts w:ascii="Arial" w:hAnsi="Arial" w:cs="Arial"/>
          <w:sz w:val="22"/>
        </w:rPr>
        <w:t>The Social Model has faced considerable criticism. Shakespeare (2006) contends that it simplifies the intricate relationship between impairment and social environment, overlooking the real-life experiences of pain, fatigue, or cognitive challenges. Detractors also point out that the model fails to fully consider the realities faced by individuals with variable conditions or learning disabilities, whose requirements may not be sufficiently met by an approach that solely emphasizes barriers (Shakespeare and Watson, 2010). Additionally, some researchers maintain that the strong political viewpoint of the Social Model may lead to the neglect of medical perspectives that remain significant in the lives of numerous disabled individuals (</w:t>
      </w:r>
      <w:proofErr w:type="spellStart"/>
      <w:r w:rsidRPr="00385F58">
        <w:rPr>
          <w:rFonts w:ascii="Arial" w:hAnsi="Arial" w:cs="Arial"/>
          <w:sz w:val="22"/>
        </w:rPr>
        <w:t>Wistow</w:t>
      </w:r>
      <w:proofErr w:type="spellEnd"/>
      <w:r w:rsidRPr="00385F58">
        <w:rPr>
          <w:rFonts w:ascii="Arial" w:hAnsi="Arial" w:cs="Arial"/>
          <w:sz w:val="22"/>
        </w:rPr>
        <w:t xml:space="preserve">, 2012). For instance, people suffering from long-term health conditions may need both healthcare treatments and changes in their social environment. </w:t>
      </w:r>
    </w:p>
    <w:p w14:paraId="05B5A2C1"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However, the Social Model continues to hold significant importance because it offers a straightforward structure for confronting discrimination and fostering inclusive practices. Its focus on rights, independence, and involvement consistently influences policy-making and professional discussions, even though its application can vary. The model’s straightforwardness is another of its advantages: by distinctly recognizing society as the origin of disabling obstacles, it serves as an effective tool for advocacy and policy change. </w:t>
      </w:r>
    </w:p>
    <w:p w14:paraId="24318B33"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Recent Developments in the Social Model of Disability</w:t>
      </w:r>
    </w:p>
    <w:p w14:paraId="1BB5E923"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The Social Model of Disability has evolved significantly in recent years, going beyond its initial focus on physical and environmental limitations. Contemporary researchers and disability activists believe that the paradigm must also account for intersectionality, which acknowledges how disability interacts with race, gender, sexuality, and socioeconomic class to impact people's experiences (Goodley, 2017). The growth of digital technology has also pushed the approach to include digital accessibility, recognising that online platforms can either empower or exclude handicapped people depending on how they are designed. Furthermore, current disability movements prioritise co-production and lived experience, insisting that disabled people lead policy decisions, research, and service design rather than being passive beneficiaries of assistance (Shakespeare, 2014).  These developments demonstrate that the Social Model is dynamic, evolving as society become increasingly aware of the different and complicated reality of how disabled people live.</w:t>
      </w:r>
    </w:p>
    <w:p w14:paraId="73732764" w14:textId="77777777" w:rsidR="00385F58" w:rsidRPr="00385F58" w:rsidRDefault="00385F58" w:rsidP="00305CCA">
      <w:pPr>
        <w:spacing w:line="360" w:lineRule="auto"/>
        <w:jc w:val="both"/>
        <w:rPr>
          <w:rFonts w:ascii="Arial" w:hAnsi="Arial" w:cs="Arial"/>
          <w:sz w:val="22"/>
        </w:rPr>
      </w:pPr>
    </w:p>
    <w:p w14:paraId="04A53334" w14:textId="77777777" w:rsidR="0076171E" w:rsidRPr="00385F58" w:rsidRDefault="0076171E" w:rsidP="00305CCA">
      <w:pPr>
        <w:spacing w:line="360" w:lineRule="auto"/>
        <w:jc w:val="both"/>
        <w:rPr>
          <w:rFonts w:ascii="Arial" w:hAnsi="Arial" w:cs="Arial"/>
          <w:sz w:val="22"/>
        </w:rPr>
      </w:pPr>
    </w:p>
    <w:p w14:paraId="50AA07B0"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lastRenderedPageBreak/>
        <w:t>Legislation, Policy, and Guidelines: Theory, Implementation, and Evaluation Legislative frameworks shaped by the Social Model</w:t>
      </w:r>
    </w:p>
    <w:p w14:paraId="25F5D4D0"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sz w:val="22"/>
        </w:rPr>
        <w:t>The Social Model has had a major impact on legislation in the UK. The Equality Act 2010 reflects the principles of the Social Model by requiring organizations to take reasonable steps to eliminate obstacles that hinder disabled individuals. This legal obligation transfers the accountability from individuals to institutions, showcasing the Social Model’s focus on necessary structural changes (Equality Act, 2010). Illustrations of this include offering communication formats that are accessible, modifying physical spaces, and adjusting workplace procedures. Nevertheless, the success of these modifications relies on the willingness and resources of organizations, and the mechanisms for enforcing compliance are still limited.</w:t>
      </w:r>
    </w:p>
    <w:p w14:paraId="62F1FC4A"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The Care Act 2014 further incorporates person-centred values by prioritizing wellbeing, choice, and control within social care. It requires individualized care planning, assessments based on strengths, and the inclusion of individuals in decisions regarding their support (Department of Health and Social Care, 2014). These measures align with the Social Model’s emphasis on autonomy and engagement. The Act also highlights the importance of prevention and early intervention, acknowledging that prompt support can mitigate the disabling effects of social obstacles.</w:t>
      </w:r>
    </w:p>
    <w:p w14:paraId="78687CB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On an international level, the UN Convention on the Rights of Persons with Disabilities (UNCRPD) advocates for a rights-based framework, urging countries to enhance accessibility, promote independent living, and ensure full inclusion (United Nations, 2006). The UK’s adherence to the Convention has fortified the focus on dismantling barriers and fostering equality. Nonetheless, the UN has consistently criticized the UK for not fully implementing the Convention, especially concerning austerity policies and welfare reforms that disproportionately impact disabled individuals.</w:t>
      </w:r>
    </w:p>
    <w:p w14:paraId="5B8596E1"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Policy frameworks and guidelines</w:t>
      </w:r>
    </w:p>
    <w:p w14:paraId="61DD5621" w14:textId="2BF283A0" w:rsidR="0076171E" w:rsidRPr="00385F58" w:rsidRDefault="0076171E" w:rsidP="00305CCA">
      <w:pPr>
        <w:spacing w:line="360" w:lineRule="auto"/>
        <w:jc w:val="both"/>
        <w:rPr>
          <w:rFonts w:ascii="Arial" w:hAnsi="Arial" w:cs="Arial"/>
          <w:sz w:val="22"/>
        </w:rPr>
      </w:pPr>
      <w:r w:rsidRPr="00385F58">
        <w:rPr>
          <w:rFonts w:ascii="Arial" w:hAnsi="Arial" w:cs="Arial"/>
          <w:sz w:val="22"/>
        </w:rPr>
        <w:t>Policy efforts such as the NHS Long Term Plan (2019) and Think Local Act Personal (TLAP) advocate for individualized care, joint production, and collaborative decision making. The guidance from NICE also stresses the importance of person-</w:t>
      </w:r>
      <w:r w:rsidR="0065410C" w:rsidRPr="00385F58">
        <w:rPr>
          <w:rFonts w:ascii="Arial" w:hAnsi="Arial" w:cs="Arial"/>
          <w:sz w:val="22"/>
        </w:rPr>
        <w:t>centred</w:t>
      </w:r>
      <w:r w:rsidRPr="00385F58">
        <w:rPr>
          <w:rFonts w:ascii="Arial" w:hAnsi="Arial" w:cs="Arial"/>
          <w:sz w:val="22"/>
        </w:rPr>
        <w:t xml:space="preserve"> practices, effective communication, and participation in care planning (NICE, 2021). These frameworks embody the principles of the Social Model by highlighting empowerment and partnership. For instance, the NHS Long Term Plan pledges to increase the availability of personal health budgets, allowing individuals to customize the support according to their specific needs and desires.</w:t>
      </w:r>
    </w:p>
    <w:p w14:paraId="16FA5317" w14:textId="77777777" w:rsidR="0076171E" w:rsidRPr="00385F58" w:rsidRDefault="0076171E" w:rsidP="00305CCA">
      <w:pPr>
        <w:spacing w:line="360" w:lineRule="auto"/>
        <w:jc w:val="both"/>
        <w:rPr>
          <w:rFonts w:ascii="Arial" w:hAnsi="Arial" w:cs="Arial"/>
          <w:sz w:val="22"/>
        </w:rPr>
      </w:pPr>
    </w:p>
    <w:p w14:paraId="1FFD6484" w14:textId="179C4A5B" w:rsidR="0076171E" w:rsidRPr="00385F58" w:rsidRDefault="0076171E" w:rsidP="00305CCA">
      <w:pPr>
        <w:spacing w:line="360" w:lineRule="auto"/>
        <w:jc w:val="both"/>
        <w:rPr>
          <w:rFonts w:ascii="Arial" w:hAnsi="Arial" w:cs="Arial"/>
          <w:sz w:val="22"/>
        </w:rPr>
      </w:pPr>
      <w:r w:rsidRPr="00385F58">
        <w:rPr>
          <w:rFonts w:ascii="Arial" w:hAnsi="Arial" w:cs="Arial"/>
          <w:b/>
          <w:bCs/>
          <w:sz w:val="22"/>
        </w:rPr>
        <w:lastRenderedPageBreak/>
        <w:t>Critical evaluation of implementation</w:t>
      </w:r>
    </w:p>
    <w:p w14:paraId="5705E8AE" w14:textId="298612D7" w:rsidR="0076171E" w:rsidRPr="00385F58" w:rsidRDefault="0065410C" w:rsidP="00305CCA">
      <w:pPr>
        <w:spacing w:line="360" w:lineRule="auto"/>
        <w:jc w:val="both"/>
        <w:rPr>
          <w:rFonts w:ascii="Arial" w:hAnsi="Arial" w:cs="Arial"/>
          <w:sz w:val="22"/>
        </w:rPr>
      </w:pPr>
      <w:r w:rsidRPr="00385F58">
        <w:rPr>
          <w:rFonts w:ascii="Arial" w:hAnsi="Arial" w:cs="Arial"/>
          <w:sz w:val="22"/>
        </w:rPr>
        <w:t>Regardless of</w:t>
      </w:r>
      <w:r w:rsidR="0076171E" w:rsidRPr="00385F58">
        <w:rPr>
          <w:rFonts w:ascii="Arial" w:hAnsi="Arial" w:cs="Arial"/>
          <w:sz w:val="22"/>
        </w:rPr>
        <w:t xml:space="preserve"> the persuasive language in the policies, actual implementation is often inconsistent. Studies indicate that health and social care services frequently adhere to a medicalised approach, focusing on risk management, operational efficiency, and professional dominance rather than authentic person-centred practices (</w:t>
      </w:r>
      <w:proofErr w:type="spellStart"/>
      <w:r w:rsidR="0076171E" w:rsidRPr="00385F58">
        <w:rPr>
          <w:rFonts w:ascii="Arial" w:hAnsi="Arial" w:cs="Arial"/>
          <w:sz w:val="22"/>
        </w:rPr>
        <w:t>Wistow</w:t>
      </w:r>
      <w:proofErr w:type="spellEnd"/>
      <w:r w:rsidR="0076171E" w:rsidRPr="00385F58">
        <w:rPr>
          <w:rFonts w:ascii="Arial" w:hAnsi="Arial" w:cs="Arial"/>
          <w:sz w:val="22"/>
        </w:rPr>
        <w:t>, 2012). Necessary adjustments are not consistently applied, leading to frequent reports from disabled individuals regarding challenges in aspects such as communication, physical access, and societal attitudes (Barnes, 2019). For instance, appointment systems that are difficult to access, a shortage of accessible information, and rigid service structures can all hinder the quality of person-centred care.</w:t>
      </w:r>
    </w:p>
    <w:p w14:paraId="18BC350D" w14:textId="2B18C160"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Resource limitations further complicate implementation. Measures of austerity, workforce deficits, and growing demand have constrained the ability of services to offer personalized assistance (Beresford, 2016). </w:t>
      </w:r>
      <w:r w:rsidR="00385F58" w:rsidRPr="00385F58">
        <w:rPr>
          <w:rFonts w:ascii="Arial" w:hAnsi="Arial" w:cs="Arial"/>
          <w:sz w:val="22"/>
        </w:rPr>
        <w:t>Person-centred</w:t>
      </w:r>
      <w:r w:rsidRPr="00385F58">
        <w:rPr>
          <w:rFonts w:ascii="Arial" w:hAnsi="Arial" w:cs="Arial"/>
          <w:sz w:val="22"/>
        </w:rPr>
        <w:t xml:space="preserve"> care can often appear superficial, with evaluations and care plans influenced more by organizational goals than by individual needs. For example, time-restricted appointments and substantial caseloads can diminish meaningful interactions with service users.</w:t>
      </w:r>
    </w:p>
    <w:p w14:paraId="074C0566"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Evaluation of policy impact</w:t>
      </w:r>
    </w:p>
    <w:p w14:paraId="0A77CD16"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Although legislation and policy have established a robust foundation for person-centred, rights-based care, the effects observed are inconsistent. Research indicates that effective application of Social Model principles can lead to enhancements in independence, satisfaction, and overall wellbeing (Larkin et al., 2015). Nevertheless, systemic obstacles persist, restricting the transformative capacity of the Social Model within conventional services. In the absence of sufficient funding, training, and shifts in organizational culture, the promises made in policy regarding person-centred care might remain merely aspiration rather than attainable.</w:t>
      </w:r>
    </w:p>
    <w:p w14:paraId="31036CDB"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Partnership Working: Theory, Implementation, and Evaluation Theoretical foundations of partnership working</w:t>
      </w:r>
    </w:p>
    <w:p w14:paraId="6B73D94F"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Collaboration is crucial for the application of the Social Model, as overcoming obstacles necessitates teamwork across various sectors, fields, and communities. Successful partnership working includes shared decision-making, mutual respect, and acknowledgment of the knowledge and experience of disabled individuals and their families (Glasby and Dickinson, 2014). This approach is consistent with co-production, which is a fundamental aspect of person-centred care, highlighting the significance of equal relationships between professionals and those receiving services. The Social Model supports the concept that </w:t>
      </w:r>
      <w:r w:rsidRPr="00385F58">
        <w:rPr>
          <w:rFonts w:ascii="Arial" w:hAnsi="Arial" w:cs="Arial"/>
          <w:sz w:val="22"/>
        </w:rPr>
        <w:lastRenderedPageBreak/>
        <w:t>disabled individuals should actively engage in determining their support rather than merely receiving care passively.</w:t>
      </w:r>
    </w:p>
    <w:p w14:paraId="56649E0A"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Implementation in practice</w:t>
      </w:r>
    </w:p>
    <w:p w14:paraId="6D0FC6AA"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Partnership working is promoted in the United Kingdom through multidisciplinary teams (MDTs), Integrated Care Systems (ICSs), personalised care planning, and engagement with community and volunteer groups. Advocacy programs and peer support networks are also important in allowing handicapped people to participate in choices about their care. For example, independent advocacy may help people navigate complicated processes and ensure their opinions are heard during care planning. This is consistent with existing national guidelines, which recognises partnership working as key to ICSs and promotes cooperation across MDTs, local authorities, and voluntary and community sector groups to increase people's engagement in defining their treatment (NHS England, 2024).</w:t>
      </w:r>
    </w:p>
    <w:p w14:paraId="11454A37"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Critical evaluation of partnership working</w:t>
      </w:r>
    </w:p>
    <w:p w14:paraId="2A3CED8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However, despite its significance, partnership working encounters notable difficulties. Power disparities between professionals and service users can restrict authentic collaboration, with professionals frequently maintaining authority over decision-making processes (Larkin et al., 2015). Organizational compartmentalization, incompatible information technology systems, and varying professional cultures can obstruct effective communication and coordination (Glasby and Dickinson, 2014). Furthermore, time constraints and workforce limitations further diminish prospects for meaningful partnerships.</w:t>
      </w:r>
    </w:p>
    <w:p w14:paraId="7E71542B" w14:textId="7352C338"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There is also evidence that the participation of disabled individuals in the design of services can be superficial, with minimal impact on strategic decision-making (Beresford, 2016). For example, engagement from service users might be restricted to merely providing feedback instead of engaging in real co-production, with decisions ultimately left to professionals or managers. </w:t>
      </w:r>
    </w:p>
    <w:p w14:paraId="5CB6E6B0"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t>Evaluation of partnership effectiveness</w:t>
      </w:r>
    </w:p>
    <w:p w14:paraId="0B01EADD" w14:textId="77777777" w:rsidR="00385F58" w:rsidRPr="00385F58" w:rsidRDefault="0076171E" w:rsidP="00305CCA">
      <w:pPr>
        <w:spacing w:line="360" w:lineRule="auto"/>
        <w:jc w:val="both"/>
        <w:rPr>
          <w:rFonts w:ascii="Arial" w:hAnsi="Arial" w:cs="Arial"/>
          <w:sz w:val="22"/>
        </w:rPr>
      </w:pPr>
      <w:r w:rsidRPr="00385F58">
        <w:rPr>
          <w:rFonts w:ascii="Arial" w:hAnsi="Arial" w:cs="Arial"/>
          <w:sz w:val="22"/>
        </w:rPr>
        <w:t>When partnership working is executed successfully, it improves person-centred results by enhancing communication, minimizing redundancy, and facilitating comprehensive support. Nevertheless, its effectiveness relies on organizational dedication, sufficient resources, and a culture that appreciates lived experiences. Lacking these essential elements, partnership working may become routine rather than transformative. To truly harness the potential of partnership working, organizations need to allocate resources for training, infrastructure, and cultural transformation that fosters authentic collaboration.</w:t>
      </w:r>
    </w:p>
    <w:p w14:paraId="38D8A880" w14:textId="5E80B739" w:rsidR="0076171E" w:rsidRPr="00385F58" w:rsidRDefault="0076171E" w:rsidP="00305CCA">
      <w:pPr>
        <w:spacing w:line="360" w:lineRule="auto"/>
        <w:jc w:val="both"/>
        <w:rPr>
          <w:rFonts w:ascii="Arial" w:hAnsi="Arial" w:cs="Arial"/>
          <w:sz w:val="22"/>
        </w:rPr>
      </w:pPr>
      <w:r w:rsidRPr="00385F58">
        <w:rPr>
          <w:rFonts w:ascii="Arial" w:hAnsi="Arial" w:cs="Arial"/>
          <w:b/>
          <w:bCs/>
          <w:sz w:val="22"/>
        </w:rPr>
        <w:lastRenderedPageBreak/>
        <w:t>Conclusion</w:t>
      </w:r>
    </w:p>
    <w:p w14:paraId="6AC501A7"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To sum up, the Social Model of Disability continues to be a potent and significant paradigm for developing inclusive legislation, rights-based practice, and person-centred care. Its relevance in modern practice has been reinforced by recent developments like intersectional analysis, digital accessibility, and co-production, even though its original formulation successfully challenged medicalised assumptions and highlighted the role of societal barriers (Goodley, 2017; Ellis &amp; Kent, 2020). However, structural disparities, resource constraints, and enduring professional domination within health and social care institutions continue to restrict the model's revolutionary potential. Partnership working must go beyond rhetoric and guarantee that handicapped persons really drive decision-making processes if person-centred care is to be fully fulfilled. Finally, developing the Social Model provides a critical foundation for encouraging autonomy, dignity, and meaningful engagement, but its success is dependent on a long-term commitment to breaking down barriers and incorporating lived experience into action (Shakespeare, 2014).</w:t>
      </w:r>
    </w:p>
    <w:p w14:paraId="22DD44A1" w14:textId="77777777" w:rsidR="0076171E" w:rsidRPr="00385F58" w:rsidRDefault="0076171E" w:rsidP="00305CCA">
      <w:pPr>
        <w:spacing w:line="360" w:lineRule="auto"/>
        <w:jc w:val="both"/>
        <w:rPr>
          <w:rFonts w:ascii="Arial" w:hAnsi="Arial" w:cs="Arial"/>
          <w:sz w:val="22"/>
        </w:rPr>
      </w:pPr>
    </w:p>
    <w:p w14:paraId="1D9E89C4" w14:textId="77777777" w:rsidR="0076171E" w:rsidRPr="00385F58" w:rsidRDefault="0076171E" w:rsidP="00305CCA">
      <w:pPr>
        <w:spacing w:line="360" w:lineRule="auto"/>
        <w:jc w:val="both"/>
        <w:rPr>
          <w:rFonts w:ascii="Arial" w:hAnsi="Arial" w:cs="Arial"/>
          <w:sz w:val="22"/>
        </w:rPr>
      </w:pPr>
    </w:p>
    <w:p w14:paraId="6617DD4C" w14:textId="77777777" w:rsidR="0076171E" w:rsidRPr="00385F58" w:rsidRDefault="0076171E" w:rsidP="00305CCA">
      <w:pPr>
        <w:spacing w:line="360" w:lineRule="auto"/>
        <w:jc w:val="both"/>
        <w:rPr>
          <w:rFonts w:ascii="Arial" w:hAnsi="Arial" w:cs="Arial"/>
          <w:sz w:val="22"/>
        </w:rPr>
      </w:pPr>
    </w:p>
    <w:p w14:paraId="3C91962F" w14:textId="77777777" w:rsidR="0076171E" w:rsidRPr="00385F58" w:rsidRDefault="0076171E" w:rsidP="00305CCA">
      <w:pPr>
        <w:spacing w:line="360" w:lineRule="auto"/>
        <w:jc w:val="both"/>
        <w:rPr>
          <w:rFonts w:ascii="Arial" w:hAnsi="Arial" w:cs="Arial"/>
          <w:sz w:val="22"/>
        </w:rPr>
      </w:pPr>
    </w:p>
    <w:p w14:paraId="383B604B" w14:textId="77777777" w:rsidR="0076171E" w:rsidRPr="00385F58" w:rsidRDefault="0076171E" w:rsidP="00305CCA">
      <w:pPr>
        <w:spacing w:line="360" w:lineRule="auto"/>
        <w:jc w:val="both"/>
        <w:rPr>
          <w:rFonts w:ascii="Arial" w:hAnsi="Arial" w:cs="Arial"/>
          <w:sz w:val="22"/>
        </w:rPr>
      </w:pPr>
    </w:p>
    <w:p w14:paraId="58E9E134" w14:textId="77777777" w:rsidR="0076171E" w:rsidRPr="00385F58" w:rsidRDefault="0076171E" w:rsidP="00305CCA">
      <w:pPr>
        <w:spacing w:line="360" w:lineRule="auto"/>
        <w:jc w:val="both"/>
        <w:rPr>
          <w:rFonts w:ascii="Arial" w:hAnsi="Arial" w:cs="Arial"/>
          <w:sz w:val="22"/>
        </w:rPr>
      </w:pPr>
    </w:p>
    <w:p w14:paraId="1F717E6E" w14:textId="77777777" w:rsidR="0076171E" w:rsidRPr="00385F58" w:rsidRDefault="0076171E" w:rsidP="00305CCA">
      <w:pPr>
        <w:spacing w:line="360" w:lineRule="auto"/>
        <w:jc w:val="both"/>
        <w:rPr>
          <w:rFonts w:ascii="Arial" w:hAnsi="Arial" w:cs="Arial"/>
          <w:sz w:val="22"/>
        </w:rPr>
      </w:pPr>
    </w:p>
    <w:p w14:paraId="600C0312" w14:textId="77777777" w:rsidR="0076171E" w:rsidRPr="00385F58" w:rsidRDefault="0076171E" w:rsidP="00305CCA">
      <w:pPr>
        <w:spacing w:line="360" w:lineRule="auto"/>
        <w:jc w:val="both"/>
        <w:rPr>
          <w:rFonts w:ascii="Arial" w:hAnsi="Arial" w:cs="Arial"/>
          <w:sz w:val="22"/>
        </w:rPr>
      </w:pPr>
    </w:p>
    <w:p w14:paraId="47DEC3D2" w14:textId="77777777" w:rsidR="0076171E" w:rsidRPr="00385F58" w:rsidRDefault="0076171E" w:rsidP="00305CCA">
      <w:pPr>
        <w:spacing w:line="360" w:lineRule="auto"/>
        <w:jc w:val="both"/>
        <w:rPr>
          <w:rFonts w:ascii="Arial" w:hAnsi="Arial" w:cs="Arial"/>
          <w:sz w:val="22"/>
        </w:rPr>
      </w:pPr>
    </w:p>
    <w:p w14:paraId="480B39E9" w14:textId="77777777" w:rsidR="0076171E" w:rsidRPr="00385F58" w:rsidRDefault="0076171E" w:rsidP="00305CCA">
      <w:pPr>
        <w:spacing w:line="360" w:lineRule="auto"/>
        <w:jc w:val="both"/>
        <w:rPr>
          <w:rFonts w:ascii="Arial" w:hAnsi="Arial" w:cs="Arial"/>
          <w:sz w:val="22"/>
        </w:rPr>
      </w:pPr>
    </w:p>
    <w:p w14:paraId="71B98BB0" w14:textId="77777777" w:rsidR="0076171E" w:rsidRPr="00385F58" w:rsidRDefault="0076171E" w:rsidP="00305CCA">
      <w:pPr>
        <w:spacing w:line="360" w:lineRule="auto"/>
        <w:jc w:val="both"/>
        <w:rPr>
          <w:rFonts w:ascii="Arial" w:hAnsi="Arial" w:cs="Arial"/>
          <w:sz w:val="22"/>
        </w:rPr>
      </w:pPr>
    </w:p>
    <w:p w14:paraId="7630DC4A" w14:textId="77777777" w:rsidR="0076171E" w:rsidRPr="00385F58" w:rsidRDefault="0076171E" w:rsidP="00305CCA">
      <w:pPr>
        <w:spacing w:line="360" w:lineRule="auto"/>
        <w:jc w:val="both"/>
        <w:rPr>
          <w:rFonts w:ascii="Arial" w:hAnsi="Arial" w:cs="Arial"/>
          <w:sz w:val="22"/>
        </w:rPr>
      </w:pPr>
    </w:p>
    <w:p w14:paraId="4B7FFEBD" w14:textId="77777777" w:rsidR="0076171E" w:rsidRPr="00385F58" w:rsidRDefault="0076171E" w:rsidP="00305CCA">
      <w:pPr>
        <w:spacing w:line="360" w:lineRule="auto"/>
        <w:jc w:val="both"/>
        <w:rPr>
          <w:rFonts w:ascii="Arial" w:hAnsi="Arial" w:cs="Arial"/>
          <w:sz w:val="22"/>
        </w:rPr>
      </w:pPr>
    </w:p>
    <w:p w14:paraId="085C7C3E" w14:textId="77777777" w:rsidR="0076171E" w:rsidRPr="00385F58" w:rsidRDefault="0076171E" w:rsidP="00305CCA">
      <w:pPr>
        <w:spacing w:line="360" w:lineRule="auto"/>
        <w:jc w:val="both"/>
        <w:rPr>
          <w:rFonts w:ascii="Arial" w:hAnsi="Arial" w:cs="Arial"/>
          <w:sz w:val="22"/>
        </w:rPr>
      </w:pPr>
    </w:p>
    <w:p w14:paraId="5F17195C" w14:textId="77777777" w:rsidR="0076171E" w:rsidRPr="00385F58" w:rsidRDefault="0076171E" w:rsidP="00305CCA">
      <w:pPr>
        <w:spacing w:line="360" w:lineRule="auto"/>
        <w:jc w:val="both"/>
        <w:rPr>
          <w:rFonts w:ascii="Arial" w:hAnsi="Arial" w:cs="Arial"/>
          <w:sz w:val="22"/>
        </w:rPr>
      </w:pPr>
    </w:p>
    <w:p w14:paraId="1434B92A" w14:textId="77777777" w:rsidR="0076171E" w:rsidRPr="00385F58" w:rsidRDefault="0076171E" w:rsidP="00305CCA">
      <w:pPr>
        <w:spacing w:line="360" w:lineRule="auto"/>
        <w:jc w:val="both"/>
        <w:rPr>
          <w:rFonts w:ascii="Arial" w:hAnsi="Arial" w:cs="Arial"/>
          <w:b/>
          <w:bCs/>
          <w:sz w:val="22"/>
        </w:rPr>
      </w:pPr>
      <w:r w:rsidRPr="00385F58">
        <w:rPr>
          <w:rFonts w:ascii="Arial" w:hAnsi="Arial" w:cs="Arial"/>
          <w:b/>
          <w:bCs/>
          <w:sz w:val="22"/>
        </w:rPr>
        <w:lastRenderedPageBreak/>
        <w:t>References</w:t>
      </w:r>
    </w:p>
    <w:p w14:paraId="45B03276"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Barnes, C. (2019) Understanding the Social Model of Disability. London: Routledge.</w:t>
      </w:r>
    </w:p>
    <w:p w14:paraId="138CA72C"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Beresford, P. (2016) All Our Welfare: Towards Participatory Social Policy. Bristol: Policy Press.</w:t>
      </w:r>
    </w:p>
    <w:p w14:paraId="15F5EF5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Department of Health and Social Care (2014) Care Act 2014. London: DHSC.</w:t>
      </w:r>
    </w:p>
    <w:p w14:paraId="16EBCAD4"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Ellis, K. and Kent, M. (2020) Disability and Digital Television Cultures: Representation, Access, and Reception. London: Routledge.</w:t>
      </w:r>
    </w:p>
    <w:p w14:paraId="6ED0E1E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Equality Act (2010) Equality Act 2010. London: HMSO.</w:t>
      </w:r>
    </w:p>
    <w:p w14:paraId="5E7778A4"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Glasby, J. and Dickinson, H. (2014) Partnership Working in Health and Social Care. Bristol: Policy Press.</w:t>
      </w:r>
    </w:p>
    <w:p w14:paraId="285C130E"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Goodley, D. (2017) Disability Studies: An Interdisciplinary Introduction. 2nd </w:t>
      </w:r>
      <w:proofErr w:type="spellStart"/>
      <w:r w:rsidRPr="00385F58">
        <w:rPr>
          <w:rFonts w:ascii="Arial" w:hAnsi="Arial" w:cs="Arial"/>
          <w:sz w:val="22"/>
        </w:rPr>
        <w:t>edn</w:t>
      </w:r>
      <w:proofErr w:type="spellEnd"/>
      <w:r w:rsidRPr="00385F58">
        <w:rPr>
          <w:rFonts w:ascii="Arial" w:hAnsi="Arial" w:cs="Arial"/>
          <w:sz w:val="22"/>
        </w:rPr>
        <w:t>. London: SAGE</w:t>
      </w:r>
    </w:p>
    <w:p w14:paraId="6F53D401"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Larkin, M., Boden, Z. and Newton, E. (2015) ‘On the brink of genuinely collaborative care’, Health &amp; Social Care in the Community, 23(2), pp. 190–199.</w:t>
      </w:r>
    </w:p>
    <w:p w14:paraId="7DF914FC"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NHS England (2019) The NHS Long Term Plan. London: NHS England.</w:t>
      </w:r>
    </w:p>
    <w:p w14:paraId="57A6F3AB"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NHS England (2024) Working in partnership. NHS England. Available at: https://www.england.nhs.uk/ (Accessed: [27/04/2026).</w:t>
      </w:r>
    </w:p>
    <w:p w14:paraId="3ADEC528"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NICE (2021) Shared </w:t>
      </w:r>
      <w:proofErr w:type="gramStart"/>
      <w:r w:rsidRPr="00385F58">
        <w:rPr>
          <w:rFonts w:ascii="Arial" w:hAnsi="Arial" w:cs="Arial"/>
          <w:sz w:val="22"/>
        </w:rPr>
        <w:t>Decision Making</w:t>
      </w:r>
      <w:proofErr w:type="gramEnd"/>
      <w:r w:rsidRPr="00385F58">
        <w:rPr>
          <w:rFonts w:ascii="Arial" w:hAnsi="Arial" w:cs="Arial"/>
          <w:sz w:val="22"/>
        </w:rPr>
        <w:t xml:space="preserve"> Guidelines. London: NICE.</w:t>
      </w:r>
    </w:p>
    <w:p w14:paraId="0F3E67CD"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Oliver, M. (1983) Social Work with Disabled People. London: Macmillan.</w:t>
      </w:r>
    </w:p>
    <w:p w14:paraId="6820D5E6"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Shakespeare, T. (2006) Disability Rights and Wrongs. London: Routledge.</w:t>
      </w:r>
    </w:p>
    <w:p w14:paraId="4EBABBC2"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 xml:space="preserve">Shakespeare, T. (2014) Disability Rights and Wrongs Revisited. 2nd </w:t>
      </w:r>
      <w:proofErr w:type="spellStart"/>
      <w:r w:rsidRPr="00385F58">
        <w:rPr>
          <w:rFonts w:ascii="Arial" w:hAnsi="Arial" w:cs="Arial"/>
          <w:sz w:val="22"/>
        </w:rPr>
        <w:t>edn</w:t>
      </w:r>
      <w:proofErr w:type="spellEnd"/>
      <w:r w:rsidRPr="00385F58">
        <w:rPr>
          <w:rFonts w:ascii="Arial" w:hAnsi="Arial" w:cs="Arial"/>
          <w:sz w:val="22"/>
        </w:rPr>
        <w:t>. London: Routledge.</w:t>
      </w:r>
    </w:p>
    <w:p w14:paraId="6CC1EE32"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Shakespeare, T. and Watson, N. (2010) ‘The social model of disability: An outdated ideology?’, Research in Social Science and Disability, 2, pp. 9–28.</w:t>
      </w:r>
    </w:p>
    <w:p w14:paraId="66DBE381" w14:textId="77777777" w:rsidR="0076171E" w:rsidRPr="00385F58" w:rsidRDefault="0076171E" w:rsidP="00305CCA">
      <w:pPr>
        <w:spacing w:line="360" w:lineRule="auto"/>
        <w:jc w:val="both"/>
        <w:rPr>
          <w:rFonts w:ascii="Arial" w:hAnsi="Arial" w:cs="Arial"/>
          <w:sz w:val="22"/>
        </w:rPr>
      </w:pPr>
      <w:r w:rsidRPr="00385F58">
        <w:rPr>
          <w:rFonts w:ascii="Arial" w:hAnsi="Arial" w:cs="Arial"/>
          <w:sz w:val="22"/>
        </w:rPr>
        <w:t>UPIAS (1976) Fundamental Principles of Disability. London: UPIAS.</w:t>
      </w:r>
    </w:p>
    <w:p w14:paraId="1CB3C912" w14:textId="77777777" w:rsidR="0076171E" w:rsidRPr="00385F58" w:rsidRDefault="0076171E" w:rsidP="00305CCA">
      <w:pPr>
        <w:spacing w:line="360" w:lineRule="auto"/>
        <w:jc w:val="both"/>
        <w:rPr>
          <w:rFonts w:ascii="Arial" w:hAnsi="Arial" w:cs="Arial"/>
          <w:sz w:val="22"/>
        </w:rPr>
      </w:pPr>
      <w:proofErr w:type="spellStart"/>
      <w:r w:rsidRPr="00385F58">
        <w:rPr>
          <w:rFonts w:ascii="Arial" w:hAnsi="Arial" w:cs="Arial"/>
          <w:sz w:val="22"/>
        </w:rPr>
        <w:t>Wistow</w:t>
      </w:r>
      <w:proofErr w:type="spellEnd"/>
      <w:r w:rsidRPr="00385F58">
        <w:rPr>
          <w:rFonts w:ascii="Arial" w:hAnsi="Arial" w:cs="Arial"/>
          <w:sz w:val="22"/>
        </w:rPr>
        <w:t>, G. (2012) ‘Still a fine mess?’, Journal of Integrated Care, 20(2), pp. 101–112.</w:t>
      </w:r>
    </w:p>
    <w:p w14:paraId="38357F05" w14:textId="77777777" w:rsidR="0076171E" w:rsidRPr="00385F58" w:rsidRDefault="0076171E" w:rsidP="00305CCA">
      <w:pPr>
        <w:spacing w:line="360" w:lineRule="auto"/>
        <w:jc w:val="both"/>
        <w:rPr>
          <w:rFonts w:ascii="Arial" w:hAnsi="Arial" w:cs="Arial"/>
          <w:sz w:val="22"/>
        </w:rPr>
      </w:pPr>
      <w:proofErr w:type="spellStart"/>
      <w:r w:rsidRPr="00385F58">
        <w:rPr>
          <w:rFonts w:ascii="Arial" w:hAnsi="Arial" w:cs="Arial"/>
          <w:sz w:val="22"/>
        </w:rPr>
        <w:t>Wistow</w:t>
      </w:r>
      <w:proofErr w:type="spellEnd"/>
      <w:r w:rsidRPr="00385F58">
        <w:rPr>
          <w:rFonts w:ascii="Arial" w:hAnsi="Arial" w:cs="Arial"/>
          <w:sz w:val="22"/>
        </w:rPr>
        <w:t>, G. (2012) Still a Fine Mess? Local Government and the NHS 1962–2012. London: Nuffield Trust.</w:t>
      </w:r>
    </w:p>
    <w:p w14:paraId="7756C798" w14:textId="77777777" w:rsidR="0076171E" w:rsidRPr="00305CCA" w:rsidRDefault="0076171E" w:rsidP="0076171E">
      <w:pPr>
        <w:spacing w:line="360" w:lineRule="auto"/>
        <w:jc w:val="both"/>
        <w:rPr>
          <w:rFonts w:ascii="Arial" w:hAnsi="Arial" w:cs="Arial"/>
          <w:sz w:val="22"/>
        </w:rPr>
      </w:pPr>
    </w:p>
    <w:sectPr w:rsidR="0076171E" w:rsidRPr="00305C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2E247" w14:textId="77777777" w:rsidR="003E2A65" w:rsidRDefault="003E2A65" w:rsidP="00032A5B">
      <w:pPr>
        <w:spacing w:after="0" w:line="240" w:lineRule="auto"/>
      </w:pPr>
      <w:r>
        <w:separator/>
      </w:r>
    </w:p>
  </w:endnote>
  <w:endnote w:type="continuationSeparator" w:id="0">
    <w:p w14:paraId="52AFF27D" w14:textId="77777777" w:rsidR="003E2A65" w:rsidRDefault="003E2A65"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9D36F" w14:textId="77777777" w:rsidR="003E2A65" w:rsidRDefault="003E2A65" w:rsidP="00032A5B">
      <w:pPr>
        <w:spacing w:after="0" w:line="240" w:lineRule="auto"/>
      </w:pPr>
      <w:r>
        <w:separator/>
      </w:r>
    </w:p>
  </w:footnote>
  <w:footnote w:type="continuationSeparator" w:id="0">
    <w:p w14:paraId="39BA63F7" w14:textId="77777777" w:rsidR="003E2A65" w:rsidRDefault="003E2A65"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1333C2"/>
    <w:rsid w:val="00151E62"/>
    <w:rsid w:val="00305CCA"/>
    <w:rsid w:val="00317E3D"/>
    <w:rsid w:val="0032791E"/>
    <w:rsid w:val="00385F58"/>
    <w:rsid w:val="003E2A65"/>
    <w:rsid w:val="003E4ED4"/>
    <w:rsid w:val="00426BD4"/>
    <w:rsid w:val="004A5A64"/>
    <w:rsid w:val="0058218C"/>
    <w:rsid w:val="005974ED"/>
    <w:rsid w:val="006524ED"/>
    <w:rsid w:val="0065410C"/>
    <w:rsid w:val="006A3E63"/>
    <w:rsid w:val="006D2F2D"/>
    <w:rsid w:val="006E1FF9"/>
    <w:rsid w:val="0076171E"/>
    <w:rsid w:val="00785886"/>
    <w:rsid w:val="007F3A6A"/>
    <w:rsid w:val="009D3D58"/>
    <w:rsid w:val="009E71F3"/>
    <w:rsid w:val="00A14675"/>
    <w:rsid w:val="00A3195B"/>
    <w:rsid w:val="00AC7E80"/>
    <w:rsid w:val="00AD7096"/>
    <w:rsid w:val="00BC79FE"/>
    <w:rsid w:val="00C558B0"/>
    <w:rsid w:val="00D545BA"/>
    <w:rsid w:val="00E75BDD"/>
    <w:rsid w:val="00E81204"/>
    <w:rsid w:val="00E9668F"/>
    <w:rsid w:val="00EC38EE"/>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2480</Words>
  <Characters>14141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Ma. Corazon Osborne (2414115)</cp:lastModifiedBy>
  <cp:revision>2</cp:revision>
  <dcterms:created xsi:type="dcterms:W3CDTF">2026-04-28T16:27:00Z</dcterms:created>
  <dcterms:modified xsi:type="dcterms:W3CDTF">2026-04-28T16:27:00Z</dcterms:modified>
</cp:coreProperties>
</file>