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AssignBody"/>
      </w:pPr>
    </w:p>
    <w:p>
      <w:pPr>
        <w:pStyle w:val="AssignHeader"/>
      </w:pPr>
      <w:r>
        <w:rPr>
          <w:rtl w:val="0"/>
          <w:lang w:val="en-US"/>
        </w:rPr>
        <w:t>Does the level of choice given impact a learner</w:t>
      </w:r>
      <w:r>
        <w:rPr>
          <w:rtl w:val="0"/>
          <w:lang w:val="en-US"/>
        </w:rPr>
        <w:t>’</w:t>
      </w:r>
      <w:r>
        <w:rPr>
          <w:rtl w:val="0"/>
          <w:lang w:val="en-US"/>
        </w:rPr>
        <w:t>s engagement when undertaking a lesson activity?</w:t>
      </w:r>
    </w:p>
    <w:p>
      <w:pPr>
        <w:pStyle w:val="AssignSubHeader"/>
      </w:pPr>
    </w:p>
    <w:p>
      <w:pPr>
        <w:pStyle w:val="AssignBody"/>
      </w:pPr>
    </w:p>
    <w:p>
      <w:pPr>
        <w:pStyle w:val="AssignBody"/>
      </w:pPr>
    </w:p>
    <w:p>
      <w:pPr>
        <w:pStyle w:val="AssignBody"/>
      </w:pPr>
    </w:p>
    <w:tbl>
      <w:tblPr>
        <w:tblW w:w="902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722"/>
        <w:gridCol w:w="3649"/>
        <w:gridCol w:w="3649"/>
      </w:tblGrid>
      <w:tr>
        <w:tblPrEx>
          <w:shd w:val="clear" w:color="auto" w:fill="cdd4e9"/>
        </w:tblPrEx>
        <w:trPr>
          <w:trHeight w:val="1213" w:hRule="atLeast"/>
        </w:trPr>
        <w:tc>
          <w:tcPr>
            <w:tcW w:type="dxa" w:w="17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rtl w:val="0"/>
                <w:lang w:val="en-US"/>
              </w:rPr>
              <w:t>Targed/Target</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outline w:val="0"/>
                <w:color w:val="222222"/>
                <w:sz w:val="22"/>
                <w:szCs w:val="22"/>
                <w:u w:color="222222"/>
                <w:shd w:val="clear" w:color="auto" w:fill="f8f9fa"/>
                <w14:textFill>
                  <w14:solidFill>
                    <w14:srgbClr w14:val="222222"/>
                  </w14:solidFill>
                </w14:textFill>
              </w:rPr>
            </w:pPr>
            <w:r>
              <w:rPr>
                <w:rFonts w:ascii="Arial" w:hAnsi="Arial"/>
                <w:outline w:val="0"/>
                <w:color w:val="222222"/>
                <w:sz w:val="22"/>
                <w:szCs w:val="22"/>
                <w:u w:color="222222"/>
                <w:shd w:val="clear" w:color="auto" w:fill="f8f9fa"/>
                <w:rtl w:val="0"/>
                <w:lang w:val="en-US"/>
                <w14:textFill>
                  <w14:solidFill>
                    <w14:srgbClr w14:val="222222"/>
                  </w14:solidFill>
                </w14:textFill>
              </w:rPr>
              <w:t>Yr hyn yr wyf wedi'i wneud yn yr aseiniad hwn.</w:t>
            </w:r>
          </w:p>
          <w:p>
            <w:pPr>
              <w:pStyle w:val="Normal (Web)"/>
              <w:spacing w:before="0" w:after="0"/>
              <w:rPr>
                <w:rFonts w:ascii="Arial" w:cs="Arial" w:hAnsi="Arial" w:eastAsia="Arial"/>
                <w:outline w:val="0"/>
                <w:color w:val="222222"/>
                <w:sz w:val="22"/>
                <w:szCs w:val="22"/>
                <w:u w:color="222222"/>
                <w:lang w:val="en-US"/>
                <w14:textFill>
                  <w14:solidFill>
                    <w14:srgbClr w14:val="222222"/>
                  </w14:solidFill>
                </w14:textFill>
              </w:rPr>
            </w:pPr>
          </w:p>
          <w:p>
            <w:pPr>
              <w:pStyle w:val="Normal (Web)"/>
              <w:bidi w:val="0"/>
              <w:spacing w:before="0" w:after="0"/>
              <w:ind w:left="0" w:right="0" w:firstLine="0"/>
              <w:jc w:val="left"/>
              <w:rPr>
                <w:rtl w:val="0"/>
              </w:rPr>
            </w:pPr>
            <w:r>
              <w:rPr>
                <w:rFonts w:ascii="Arial" w:hAnsi="Arial"/>
                <w:sz w:val="22"/>
                <w:szCs w:val="22"/>
                <w:rtl w:val="0"/>
                <w:lang w:val="en-US"/>
              </w:rPr>
              <w:t>What I have done in this assignment.</w:t>
            </w:r>
          </w:p>
        </w:tc>
      </w:tr>
      <w:tr>
        <w:tblPrEx>
          <w:shd w:val="clear" w:color="auto" w:fill="cdd4e9"/>
        </w:tblPrEx>
        <w:trPr>
          <w:trHeight w:val="1678" w:hRule="atLeast"/>
        </w:trPr>
        <w:tc>
          <w:tcPr>
            <w:tcW w:type="dxa" w:w="17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rtl w:val="0"/>
                <w:lang w:val="en-US"/>
              </w:rPr>
              <w:t>Targed/Target 1</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sz w:val="22"/>
                <w:szCs w:val="22"/>
                <w:rtl w:val="0"/>
                <w:lang w:val="en-US"/>
                <w14:textOutline w14:w="12700" w14:cap="flat">
                  <w14:noFill/>
                  <w14:miter w14:lim="400000"/>
                </w14:textOutline>
              </w:rPr>
              <w:t>Referencing</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sz w:val="22"/>
                <w:szCs w:val="22"/>
                <w:rtl w:val="0"/>
                <w:lang w:val="en-US"/>
                <w14:textOutline w14:w="12700" w14:cap="flat">
                  <w14:noFill/>
                  <w14:miter w14:lim="400000"/>
                </w14:textOutline>
              </w:rPr>
              <w:t>I have ensured I have read back through my references and followed the handbook guidance on Moodle in order to try to have my referencing done correctly.</w:t>
            </w:r>
          </w:p>
        </w:tc>
      </w:tr>
      <w:tr>
        <w:tblPrEx>
          <w:shd w:val="clear" w:color="auto" w:fill="cdd4e9"/>
        </w:tblPrEx>
        <w:trPr>
          <w:trHeight w:val="1322" w:hRule="atLeast"/>
        </w:trPr>
        <w:tc>
          <w:tcPr>
            <w:tcW w:type="dxa" w:w="17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rtl w:val="0"/>
                <w:lang w:val="en-US"/>
              </w:rPr>
              <w:t>Targed/Target 2</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sz w:val="22"/>
                <w:szCs w:val="22"/>
                <w:rtl w:val="0"/>
                <w:lang w:val="en-US"/>
                <w14:textOutline w14:w="12700" w14:cap="flat">
                  <w14:noFill/>
                  <w14:miter w14:lim="400000"/>
                </w14:textOutline>
              </w:rPr>
              <w:t xml:space="preserve">Use of apostrophe </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sz w:val="22"/>
                <w:szCs w:val="22"/>
                <w:rtl w:val="0"/>
                <w:lang w:val="en-US"/>
                <w14:textOutline w14:w="12700" w14:cap="flat">
                  <w14:noFill/>
                  <w14:miter w14:lim="400000"/>
                </w14:textOutline>
              </w:rPr>
              <w:t xml:space="preserve">I have checked online if I have come across any words where I am unsure of the use of the apostrophe. </w:t>
            </w:r>
          </w:p>
        </w:tc>
      </w:tr>
      <w:tr>
        <w:tblPrEx>
          <w:shd w:val="clear" w:color="auto" w:fill="cdd4e9"/>
        </w:tblPrEx>
        <w:trPr>
          <w:trHeight w:val="1668" w:hRule="atLeast"/>
        </w:trPr>
        <w:tc>
          <w:tcPr>
            <w:tcW w:type="dxa" w:w="17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ssignBody"/>
            </w:pPr>
            <w:r>
              <w:rPr>
                <w:rtl w:val="0"/>
                <w:lang w:val="en-US"/>
              </w:rPr>
              <w:t>Targed/Target 3</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sz w:val="22"/>
                <w:szCs w:val="22"/>
                <w:rtl w:val="0"/>
                <w:lang w:val="en-US"/>
                <w14:textOutline w14:w="12700" w14:cap="flat">
                  <w14:noFill/>
                  <w14:miter w14:lim="400000"/>
                </w14:textOutline>
              </w:rPr>
              <w:t>Sentences too wordy</w:t>
            </w:r>
          </w:p>
        </w:tc>
        <w:tc>
          <w:tcPr>
            <w:tcW w:type="dxa" w:w="36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pPr>
            <w:r>
              <w:rPr>
                <w:rFonts w:ascii="Arial" w:hAnsi="Arial"/>
                <w:sz w:val="22"/>
                <w:szCs w:val="22"/>
                <w:rtl w:val="0"/>
                <w:lang w:val="en-US"/>
                <w14:textOutline w14:w="12700" w14:cap="flat">
                  <w14:noFill/>
                  <w14:miter w14:lim="400000"/>
                </w14:textOutline>
              </w:rPr>
              <w:t xml:space="preserve">In this essay I have tried to break down my points to make them more clear and concise as opposed to using lengthy, wordy sentences. </w:t>
            </w:r>
          </w:p>
        </w:tc>
      </w:tr>
    </w:tbl>
    <w:p>
      <w:pPr>
        <w:pStyle w:val="AssignBody"/>
        <w:widowControl w:val="0"/>
        <w:spacing w:line="240" w:lineRule="auto"/>
        <w:ind w:left="108" w:hanging="108"/>
      </w:pPr>
    </w:p>
    <w:p>
      <w:pPr>
        <w:pStyle w:val="AssignBody"/>
        <w:widowControl w:val="0"/>
        <w:spacing w:line="240" w:lineRule="auto"/>
      </w:pPr>
    </w:p>
    <w:p>
      <w:pPr>
        <w:pStyle w:val="AssignBody"/>
      </w:pPr>
    </w:p>
    <w:p>
      <w:pPr>
        <w:pStyle w:val="AssignBody"/>
      </w:pPr>
    </w:p>
    <w:p>
      <w:pPr>
        <w:pStyle w:val="AssignBody"/>
      </w:pPr>
    </w:p>
    <w:p>
      <w:pPr>
        <w:pStyle w:val="AssignBody"/>
      </w:pPr>
    </w:p>
    <w:p>
      <w:pPr>
        <w:pStyle w:val="AssignBody"/>
      </w:pPr>
    </w:p>
    <w:p>
      <w:pPr>
        <w:pStyle w:val="AssignBody"/>
      </w:pPr>
    </w:p>
    <w:p>
      <w:pPr>
        <w:pStyle w:val="AssignBody"/>
      </w:pPr>
    </w:p>
    <w:p>
      <w:pPr>
        <w:pStyle w:val="AssignSubHeader"/>
      </w:pPr>
    </w:p>
    <w:p>
      <w:pPr>
        <w:pStyle w:val="AssignBody"/>
      </w:pPr>
    </w:p>
    <w:p>
      <w:pPr>
        <w:pStyle w:val="AssignBody"/>
      </w:pPr>
    </w:p>
    <w:p>
      <w:pPr>
        <w:pStyle w:val="AssignBody"/>
      </w:pPr>
    </w:p>
    <w:p>
      <w:pPr>
        <w:pStyle w:val="AssignBody"/>
      </w:pPr>
    </w:p>
    <w:p>
      <w:pPr>
        <w:pStyle w:val="Body A"/>
        <w:spacing w:after="0" w:line="360" w:lineRule="auto"/>
        <w:jc w:val="both"/>
        <w:rPr>
          <w:rFonts w:ascii="Arial" w:cs="Arial" w:hAnsi="Arial" w:eastAsia="Arial"/>
          <w:b w:val="1"/>
          <w:bCs w:val="1"/>
          <w:i w:val="1"/>
          <w:iCs w:val="1"/>
          <w:sz w:val="28"/>
          <w:szCs w:val="28"/>
        </w:rPr>
      </w:pPr>
      <w:r>
        <w:rPr>
          <w:rFonts w:ascii="Arial" w:hAnsi="Arial"/>
          <w:b w:val="1"/>
          <w:bCs w:val="1"/>
          <w:i w:val="1"/>
          <w:iCs w:val="1"/>
          <w:sz w:val="28"/>
          <w:szCs w:val="28"/>
          <w:rtl w:val="0"/>
          <w:lang w:val="en-US"/>
        </w:rPr>
        <w:t>Aim, focus and purpose</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The issue that interested me when deciding what to research for this study was the amount of free choice learners receive in lessons. I found this a particular area of interest because in the school where I am undertaking my placement, there is a lot of weight placed on the idea of giving the learners free choice. The school focuses largely on inquiry based learning and learners are provided with an array of </w:t>
      </w:r>
      <w:r>
        <w:rPr>
          <w:rFonts w:ascii="Arial" w:hAnsi="Arial" w:hint="default"/>
          <w:sz w:val="24"/>
          <w:szCs w:val="24"/>
          <w:rtl w:val="0"/>
          <w:lang w:val="en-US"/>
        </w:rPr>
        <w:t>‘</w:t>
      </w:r>
      <w:r>
        <w:rPr>
          <w:rFonts w:ascii="Arial" w:hAnsi="Arial"/>
          <w:sz w:val="24"/>
          <w:szCs w:val="24"/>
          <w:rtl w:val="0"/>
          <w:lang w:val="en-US"/>
        </w:rPr>
        <w:t>inquiry questions</w:t>
      </w:r>
      <w:r>
        <w:rPr>
          <w:rFonts w:ascii="Arial" w:hAnsi="Arial" w:hint="default"/>
          <w:sz w:val="24"/>
          <w:szCs w:val="24"/>
          <w:rtl w:val="0"/>
          <w:lang w:val="en-US"/>
        </w:rPr>
        <w:t xml:space="preserve">’ </w:t>
      </w:r>
      <w:r>
        <w:rPr>
          <w:rFonts w:ascii="Arial" w:hAnsi="Arial"/>
          <w:sz w:val="24"/>
          <w:szCs w:val="24"/>
          <w:rtl w:val="0"/>
          <w:lang w:val="en-US"/>
        </w:rPr>
        <w:t xml:space="preserve">which they then have the freedom to choose from and this choice will form their focus of research for the term. In Foundation Phase, and therefore in my Year 2 class, they are given the freedom during their enhanced provision time to choose the challenges they wish to complete. This formed my interest to see whether controlling the amount of choice learners had would alter their engagement in the activity they are undertaking. </w:t>
      </w:r>
    </w:p>
    <w:p>
      <w:pPr>
        <w:pStyle w:val="Body A"/>
        <w:spacing w:after="0" w:line="360" w:lineRule="auto"/>
        <w:jc w:val="both"/>
        <w:rPr>
          <w:rFonts w:ascii="Arial" w:cs="Arial" w:hAnsi="Arial" w:eastAsia="Arial"/>
          <w:b w:val="1"/>
          <w:bCs w:val="1"/>
          <w:i w:val="1"/>
          <w:iCs w:val="1"/>
          <w:sz w:val="28"/>
          <w:szCs w:val="28"/>
        </w:rPr>
      </w:pPr>
    </w:p>
    <w:p>
      <w:pPr>
        <w:pStyle w:val="Body A"/>
        <w:spacing w:after="0" w:line="360" w:lineRule="auto"/>
        <w:jc w:val="both"/>
        <w:rPr>
          <w:rFonts w:ascii="Arial" w:cs="Arial" w:hAnsi="Arial" w:eastAsia="Arial"/>
          <w:b w:val="1"/>
          <w:bCs w:val="1"/>
          <w:i w:val="1"/>
          <w:iCs w:val="1"/>
          <w:sz w:val="28"/>
          <w:szCs w:val="28"/>
        </w:rPr>
      </w:pPr>
      <w:r>
        <w:rPr>
          <w:rFonts w:ascii="Arial" w:hAnsi="Arial"/>
          <w:b w:val="1"/>
          <w:bCs w:val="1"/>
          <w:i w:val="1"/>
          <w:iCs w:val="1"/>
          <w:sz w:val="28"/>
          <w:szCs w:val="28"/>
          <w:rtl w:val="0"/>
          <w:lang w:val="en-US"/>
        </w:rPr>
        <w:t>Research context</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In my class, there is a carousel structure of learning throughout the day; this means one group will be on a focus task with a teacher whilst the other three groups are completing challenges on enhanced provision in the rooms we allocate them. The rooms available to learners are the language and maths zone, the creative zone or the construction zone. I discussed with my partner whether the choice learners are having is affecting their engagement in the activities, therefore we constructed the research question </w:t>
      </w:r>
      <w:r>
        <w:rPr>
          <w:rFonts w:ascii="Arial" w:hAnsi="Arial" w:hint="default"/>
          <w:sz w:val="24"/>
          <w:szCs w:val="24"/>
          <w:rtl w:val="0"/>
          <w:lang w:val="en-US"/>
        </w:rPr>
        <w:t>‘</w:t>
      </w:r>
      <w:r>
        <w:rPr>
          <w:rFonts w:ascii="Arial" w:hAnsi="Arial"/>
          <w:sz w:val="24"/>
          <w:szCs w:val="24"/>
          <w:rtl w:val="0"/>
          <w:lang w:val="en-US"/>
        </w:rPr>
        <w:t>Does the level of choice given impact a learner</w:t>
      </w:r>
      <w:r>
        <w:rPr>
          <w:rFonts w:ascii="Arial" w:hAnsi="Arial" w:hint="default"/>
          <w:sz w:val="24"/>
          <w:szCs w:val="24"/>
          <w:rtl w:val="0"/>
          <w:lang w:val="en-US"/>
        </w:rPr>
        <w:t>’</w:t>
      </w:r>
      <w:r>
        <w:rPr>
          <w:rFonts w:ascii="Arial" w:hAnsi="Arial"/>
          <w:sz w:val="24"/>
          <w:szCs w:val="24"/>
          <w:rtl w:val="0"/>
          <w:lang w:val="en-US"/>
        </w:rPr>
        <w:t>s engagement when undertaking a lesson activity?</w:t>
      </w:r>
      <w:r>
        <w:rPr>
          <w:rFonts w:ascii="Arial" w:hAnsi="Arial" w:hint="default"/>
          <w:sz w:val="24"/>
          <w:szCs w:val="24"/>
          <w:rtl w:val="0"/>
          <w:lang w:val="en-US"/>
        </w:rPr>
        <w:t>’</w:t>
      </w:r>
      <w:r>
        <w:rPr>
          <w:rFonts w:ascii="Arial" w:hAnsi="Arial"/>
          <w:sz w:val="24"/>
          <w:szCs w:val="24"/>
          <w:rtl w:val="0"/>
          <w:lang w:val="en-US"/>
        </w:rPr>
        <w:t xml:space="preserve">. For my class, this will mean we could make changes to the level of choice they are receiving in their enhanced provision time depending upon the results of the study. </w:t>
      </w:r>
    </w:p>
    <w:p>
      <w:pPr>
        <w:pStyle w:val="Body A"/>
        <w:spacing w:after="0" w:line="360" w:lineRule="auto"/>
        <w:jc w:val="both"/>
        <w:rPr>
          <w:rFonts w:ascii="Arial" w:cs="Arial" w:hAnsi="Arial" w:eastAsia="Arial"/>
          <w:sz w:val="24"/>
          <w:szCs w:val="24"/>
        </w:rPr>
      </w:pPr>
    </w:p>
    <w:p>
      <w:pPr>
        <w:pStyle w:val="Body A"/>
        <w:spacing w:after="0" w:line="360" w:lineRule="auto"/>
        <w:jc w:val="both"/>
        <w:rPr>
          <w:rFonts w:ascii="Arial" w:cs="Arial" w:hAnsi="Arial" w:eastAsia="Arial"/>
          <w:b w:val="1"/>
          <w:bCs w:val="1"/>
          <w:i w:val="1"/>
          <w:iCs w:val="1"/>
          <w:sz w:val="28"/>
          <w:szCs w:val="28"/>
        </w:rPr>
      </w:pPr>
      <w:r>
        <w:rPr>
          <w:rFonts w:ascii="Arial" w:hAnsi="Arial"/>
          <w:b w:val="1"/>
          <w:bCs w:val="1"/>
          <w:i w:val="1"/>
          <w:iCs w:val="1"/>
          <w:sz w:val="28"/>
          <w:szCs w:val="28"/>
          <w:rtl w:val="0"/>
          <w:lang w:val="en-US"/>
        </w:rPr>
        <w:t>Literature review</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After developing a research question, I looked further into the topic by researching books, journal articles, government documents and other online materials. This is where I gained a deeper understanding into what free choice can mean in day-to-day life. The author, Naefgen (2018) discusses the idea that choice is a process that happens constantly, from deciding whether to have a cup of tea or coffee in the morning to deciding what programme to watch on the television. He continues by defining free choice tasks as being tasks in which </w:t>
      </w:r>
      <w:r>
        <w:rPr>
          <w:rFonts w:ascii="Arial" w:hAnsi="Arial" w:hint="default"/>
          <w:sz w:val="24"/>
          <w:szCs w:val="24"/>
          <w:rtl w:val="0"/>
          <w:lang w:val="en-US"/>
        </w:rPr>
        <w:t>“</w:t>
      </w:r>
      <w:r>
        <w:rPr>
          <w:rFonts w:ascii="Arial" w:hAnsi="Arial"/>
          <w:sz w:val="24"/>
          <w:szCs w:val="24"/>
          <w:rtl w:val="0"/>
          <w:lang w:val="en-US"/>
        </w:rPr>
        <w:t>two or more equally valid response options per stimulus exist from which participants choose</w:t>
      </w:r>
      <w:r>
        <w:rPr>
          <w:rFonts w:ascii="Arial" w:hAnsi="Arial" w:hint="default"/>
          <w:sz w:val="24"/>
          <w:szCs w:val="24"/>
          <w:rtl w:val="0"/>
          <w:lang w:val="en-US"/>
        </w:rPr>
        <w:t xml:space="preserve">” </w:t>
      </w:r>
      <w:r>
        <w:rPr>
          <w:rFonts w:ascii="Arial" w:hAnsi="Arial"/>
          <w:sz w:val="24"/>
          <w:szCs w:val="24"/>
          <w:rtl w:val="0"/>
          <w:lang w:val="en-US"/>
        </w:rPr>
        <w:t xml:space="preserve">(p2263). This type of free choice task in the context of my school would be exemplified as the enhanced provision in Year 2. Naefgen (2018) goes on to suggest that responses when undertaking a free choice task are slower than when participants are undertaking a forced choice task- this being a task with only one response action being seen as correct. This view helped me form my research question by considering the level of engagement, as we would be taking into consideration whether responses to the activity were slower when receiving more free choice like Naefgen suggests.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Another author discusses the way people make their choices, there can be multiple responses to a free choice task but only one response to a forced choice task; Janczyk asks </w:t>
      </w:r>
      <w:r>
        <w:rPr>
          <w:rFonts w:ascii="Arial" w:hAnsi="Arial" w:hint="default"/>
          <w:sz w:val="24"/>
          <w:szCs w:val="24"/>
          <w:rtl w:val="0"/>
          <w:lang w:val="en-US"/>
        </w:rPr>
        <w:t>“</w:t>
      </w:r>
      <w:r>
        <w:rPr>
          <w:rFonts w:ascii="Arial" w:hAnsi="Arial"/>
          <w:sz w:val="24"/>
          <w:szCs w:val="24"/>
          <w:rtl w:val="0"/>
          <w:lang w:val="en-US"/>
        </w:rPr>
        <w:t>Which alternative is finally chosen?</w:t>
      </w:r>
      <w:r>
        <w:rPr>
          <w:rFonts w:ascii="Arial" w:hAnsi="Arial" w:hint="default"/>
          <w:sz w:val="24"/>
          <w:szCs w:val="24"/>
          <w:rtl w:val="0"/>
          <w:lang w:val="en-US"/>
        </w:rPr>
        <w:t xml:space="preserve">” </w:t>
      </w:r>
      <w:r>
        <w:rPr>
          <w:rFonts w:ascii="Arial" w:hAnsi="Arial"/>
          <w:sz w:val="24"/>
          <w:szCs w:val="24"/>
          <w:rtl w:val="0"/>
          <w:lang w:val="en-US"/>
        </w:rPr>
        <w:t>(Janczyk, 2014, p49). This question is formed around the idea of people being influenced by environmental factors which could impact on the research question designed. In our case, the participants could be influenced by their peers which is supported Muller (2018) who recognises that during early and mid-adolescence especially, peers can have a distinctive effect on each other</w:t>
      </w:r>
      <w:r>
        <w:rPr>
          <w:rFonts w:ascii="Arial" w:hAnsi="Arial" w:hint="default"/>
          <w:sz w:val="24"/>
          <w:szCs w:val="24"/>
          <w:rtl w:val="0"/>
          <w:lang w:val="en-US"/>
        </w:rPr>
        <w:t>’</w:t>
      </w:r>
      <w:r>
        <w:rPr>
          <w:rFonts w:ascii="Arial" w:hAnsi="Arial"/>
          <w:sz w:val="24"/>
          <w:szCs w:val="24"/>
          <w:rtl w:val="0"/>
          <w:lang w:val="en-US"/>
        </w:rPr>
        <w:t>s individual development. This is needed to be taken into consideration when looking at the results of the study to determine whether it could have had an effect on the participants</w:t>
      </w:r>
      <w:r>
        <w:rPr>
          <w:rFonts w:ascii="Arial" w:hAnsi="Arial" w:hint="default"/>
          <w:sz w:val="24"/>
          <w:szCs w:val="24"/>
          <w:rtl w:val="0"/>
          <w:lang w:val="en-US"/>
        </w:rPr>
        <w:t xml:space="preserve">’ </w:t>
      </w:r>
      <w:r>
        <w:rPr>
          <w:rFonts w:ascii="Arial" w:hAnsi="Arial"/>
          <w:sz w:val="24"/>
          <w:szCs w:val="24"/>
          <w:rtl w:val="0"/>
          <w:lang w:val="en-US"/>
        </w:rPr>
        <w:t xml:space="preserve">level of engagement.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In another study conducted by Janczyk (2017), he introduces the theory of dual-task interference which is where an interference occurs from performing two tasks concurrently. In the case of our research study, this could have an affect as we are asking participants to firstly make a choice about either the character or resource they use and secondly complete the task we provide. This could be seen as presenting participants with two individual tasks concurrently and therefore we will use this knowledge when observing levels of engagement.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To further look into the research question chosen, I then looked at the importance of engagement and what may affect this. Marsh (2012) identifies that for pupils to thrive and achieve success in their schooling lives, high levels of engagement and motivation are without a doubt key factors. The emphasis placed on pupils engagement and how this is their path to success, provided us with the interest to make a connection between that and the level of choice they are provided. The connection between engagement and choice was also mentioned by Marsh (2012) when conducting a study focusing on positive pupil-teacher relationships. After interviewing pupils, the results were that having a friendly and flexible approach but also </w:t>
      </w:r>
      <w:r>
        <w:rPr>
          <w:rFonts w:ascii="Arial" w:hAnsi="Arial" w:hint="default"/>
          <w:sz w:val="24"/>
          <w:szCs w:val="24"/>
          <w:rtl w:val="0"/>
          <w:lang w:val="en-US"/>
        </w:rPr>
        <w:t>“</w:t>
      </w:r>
      <w:r>
        <w:rPr>
          <w:rFonts w:ascii="Arial" w:hAnsi="Arial"/>
          <w:sz w:val="24"/>
          <w:szCs w:val="24"/>
          <w:rtl w:val="0"/>
          <w:lang w:val="en-US"/>
        </w:rPr>
        <w:t>involving more choice and freedom in lesson tasks</w:t>
      </w:r>
      <w:r>
        <w:rPr>
          <w:rFonts w:ascii="Arial" w:hAnsi="Arial" w:hint="default"/>
          <w:sz w:val="24"/>
          <w:szCs w:val="24"/>
          <w:rtl w:val="0"/>
          <w:lang w:val="en-US"/>
        </w:rPr>
        <w:t xml:space="preserve">” </w:t>
      </w:r>
      <w:r>
        <w:rPr>
          <w:rFonts w:ascii="Arial" w:hAnsi="Arial"/>
          <w:sz w:val="24"/>
          <w:szCs w:val="24"/>
          <w:rtl w:val="0"/>
          <w:lang w:val="en-US"/>
        </w:rPr>
        <w:t>(p161) would improve pupil-teacher relationships which would subsequently improve levels of engagement. This also shows the importance of pupil-teacher relationships on levels of motivation and engagement which is why for the study we taught our own pupils. If we taught each other</w:t>
      </w:r>
      <w:r>
        <w:rPr>
          <w:rFonts w:ascii="Arial" w:hAnsi="Arial" w:hint="default"/>
          <w:sz w:val="24"/>
          <w:szCs w:val="24"/>
          <w:rtl w:val="0"/>
          <w:lang w:val="en-US"/>
        </w:rPr>
        <w:t>’</w:t>
      </w:r>
      <w:r>
        <w:rPr>
          <w:rFonts w:ascii="Arial" w:hAnsi="Arial"/>
          <w:sz w:val="24"/>
          <w:szCs w:val="24"/>
          <w:rtl w:val="0"/>
          <w:lang w:val="en-US"/>
        </w:rPr>
        <w:t xml:space="preserve">s pupils this could have had an impact on the study as pupils may not feel as comfortable completing an activity for an unfamiliar face or feel like they could ask for help if needed.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Goble (2017) has researched the use of different activity settings with two in particular being the most focused upon: child-managed settings (could also be signified as free choice) and teacher-managed settings. Goble (2017) found that pupils acquire knowledge and skills in both of these settings so it is understandable that most schools use this approach to learning. Often schools balance the time pupils spend in each setting to ensure they are accessing both styles of learning. Although evidence suggests both settings are effective, there is a lack of research into whether one setting is more or less important for school readiness and pupil development. This aligns with the idea of giving pupils free choice and although this study shows both methods are effective, we want to research whether free choice within the teacher-managed situations is also as effective.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A focus has also been placed on Lev Vygotsky</w:t>
      </w:r>
      <w:r>
        <w:rPr>
          <w:rFonts w:ascii="Arial" w:hAnsi="Arial" w:hint="default"/>
          <w:sz w:val="24"/>
          <w:szCs w:val="24"/>
          <w:rtl w:val="0"/>
          <w:lang w:val="en-US"/>
        </w:rPr>
        <w:t>’</w:t>
      </w:r>
      <w:r>
        <w:rPr>
          <w:rFonts w:ascii="Arial" w:hAnsi="Arial"/>
          <w:sz w:val="24"/>
          <w:szCs w:val="24"/>
          <w:rtl w:val="0"/>
          <w:lang w:val="en-US"/>
        </w:rPr>
        <w:t>s zone of proximal development, this is where pupils are brought closest to being able to achieve their potential through things such as collaboration or coaching by a peer or teacher. To make this relevant to our study, the level of free choice offered would mean the pupil could make the activity appropriately challenging to the level they feel they require. This would then mean the pupil</w:t>
      </w:r>
      <w:r>
        <w:rPr>
          <w:rFonts w:ascii="Arial" w:hAnsi="Arial" w:hint="default"/>
          <w:sz w:val="24"/>
          <w:szCs w:val="24"/>
          <w:rtl w:val="0"/>
          <w:lang w:val="en-US"/>
        </w:rPr>
        <w:t>’</w:t>
      </w:r>
      <w:r>
        <w:rPr>
          <w:rFonts w:ascii="Arial" w:hAnsi="Arial"/>
          <w:sz w:val="24"/>
          <w:szCs w:val="24"/>
          <w:rtl w:val="0"/>
          <w:lang w:val="en-US"/>
        </w:rPr>
        <w:t xml:space="preserve">s should sit in the zone of proximal development and because they are enjoying the challenge it would lead to higher levels of engagement (Guseva, 2017).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All these pieces of research and information gathered supported us when putting together the different aspects we were interested in, to eventually finalise our research question. </w:t>
      </w:r>
    </w:p>
    <w:p>
      <w:pPr>
        <w:pStyle w:val="Body A"/>
        <w:spacing w:after="0" w:line="360" w:lineRule="auto"/>
        <w:jc w:val="both"/>
        <w:rPr>
          <w:rFonts w:ascii="Arial" w:cs="Arial" w:hAnsi="Arial" w:eastAsia="Arial"/>
          <w:b w:val="1"/>
          <w:bCs w:val="1"/>
          <w:i w:val="1"/>
          <w:iCs w:val="1"/>
          <w:sz w:val="28"/>
          <w:szCs w:val="28"/>
        </w:rPr>
      </w:pPr>
    </w:p>
    <w:p>
      <w:pPr>
        <w:pStyle w:val="Body A"/>
        <w:spacing w:after="0" w:line="360" w:lineRule="auto"/>
        <w:jc w:val="both"/>
        <w:rPr>
          <w:rFonts w:ascii="Arial" w:cs="Arial" w:hAnsi="Arial" w:eastAsia="Arial"/>
          <w:b w:val="1"/>
          <w:bCs w:val="1"/>
          <w:i w:val="1"/>
          <w:iCs w:val="1"/>
          <w:sz w:val="28"/>
          <w:szCs w:val="28"/>
        </w:rPr>
      </w:pPr>
      <w:r>
        <w:rPr>
          <w:rFonts w:ascii="Arial" w:hAnsi="Arial"/>
          <w:b w:val="1"/>
          <w:bCs w:val="1"/>
          <w:i w:val="1"/>
          <w:iCs w:val="1"/>
          <w:sz w:val="28"/>
          <w:szCs w:val="28"/>
          <w:rtl w:val="0"/>
          <w:lang w:val="en-US"/>
        </w:rPr>
        <w:t>Research methods</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The methodology used is lesson study research, which is a form of action research. Lesson study research methodology has long been in use in Japan from the 1870s and is a process whereby teachers collaboratively plan a lesson and go on to teach, observe and analyse the learning and teaching that occurs. From this, the lesson can be modified or refined to improve pedagogical practice and therefore develop more effective teaching practices. Typically, a lesson study would consist of a small group of teachers collaborating; however, we have chosen to work as a pair as it is still an effective method. Lesson study methodology has become more popular in the West this century after research showed Japanese pupils were attaining high standards and Japanese teachers were developing a deeper understanding of good pedagogical practice (Dudley, 2014). Lesson study places an emphasis on the element of collaboration between teachers; the idea of sharing and working together is important because the findings of the lesson study can be discussed between practitioners involved in the study but can then be spread out further to other teachers, schools and bodies who would benefit from the research (The National Strategies, 2009). Lesson study methodology was chosen because teaching and learning happens in real classrooms with real pupils and this is exactly what is encompassed by undertaking a lesson study; it is authentic in its approach and allows observations to happen in real time.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The other methods of data collection used in this study are reflection, non-participant observation and focus groups. I chose to use observations as this is an ongoing element of teaching practice and I have previously used this method to gather information so the experience will be beneficial. Observations also provided me with an opportunity to see things that occur in their natural context and also pick up on things that may escape my conscious awareness from being too familiar with the situation. I chose to use structured, non-participant observation which means I, the researcher, would watch the participants with their knowledge but I would not take an active part in the situation (Scott &amp; Marshall, 2009). To collect the non-participant observations I researched about different methods but decided upon the Leuven Scale. I chose this method as it focuses on child involvement which directly links to my focus on learner engagement in my research question. The scale uses 5 levels of measurement with descriptions to guide the researcher about where the participants would sit on the scale when observing. I chose to record on the scale in five minute increments for up to 30 minutes to ensure there was enough time for the participants to complete the activity.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I chose to use qualitative data when making my observational notes as it was a subjective observation that was based on my personal opinions and feelings, this allowed me to express my views and interpret them in the way I felt was appropriate. However, this could also be viewed as a limitation of qualitative data as every researcher can interpret situations differently which may affect the results of the study.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To reflect on the lessons delivered, I chose to use Gibbs</w:t>
      </w:r>
      <w:r>
        <w:rPr>
          <w:rFonts w:ascii="Arial" w:hAnsi="Arial" w:hint="default"/>
          <w:sz w:val="24"/>
          <w:szCs w:val="24"/>
          <w:rtl w:val="0"/>
          <w:lang w:val="en-US"/>
        </w:rPr>
        <w:t xml:space="preserve">’ </w:t>
      </w:r>
      <w:r>
        <w:rPr>
          <w:rFonts w:ascii="Arial" w:hAnsi="Arial"/>
          <w:sz w:val="24"/>
          <w:szCs w:val="24"/>
          <w:rtl w:val="0"/>
          <w:lang w:val="en-US"/>
        </w:rPr>
        <w:t xml:space="preserve">reflective cycle. I chose this as it uses theory and practice to provide an opportunity to reflect on different elements of the experience and allows us to learn and progress (Potter, 2015). The emphasis on learning is important as it allowed myself and my partner to recognise what was successful about the first lesson or what could be improved for the future. This guided us when adapting and making changes to our first plan in readiness for the second lesson. In addition, following our second lesson we could use the reflective cycle to improve pedagogical practice for the future. It is vital to understand that pedagogy can and always will be developed, we do not simply stop learning once we become qualified.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 xml:space="preserve">The focus group was made up of three participants, these participants were chosen as a sample by communicating with the class teacher and being provided a list of learners that were considered to be of middle ability. From this list we then selected three participants at random and split them into three separate groups with peers from their class. I chose to use learners of middle ability as I felt using a range of abilities would skew the results as it could have been their level of ability that had an impact on engagement as opposed to the level of choice. I tried to minimise factors that could have an affect on the results of our observations. Each group observed consisted of 6 learners, I chose to conduct the research in this way as this is what learners are familiar with in their everyday school life, meaning they would feel more comfortable. </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In completion of the activity, I chose to collect qualitative data by using semi-structured interviews which can be carried out in studies to build a positive rapport between the participants and interviewee. It allows further data to be collected and is an opportunity to discuss things more in depth and through using more complex, open questions. In this study, we decided to use individual interviews to conduct the interview but it was done with the rest of their peer group present as the participants are young and would most likely feel more comfortable in that situation. The interview was conducted in an informal and natural way. We used mostly open ended questions during the interview as it allows us to collect more data and hear more opinions from the pupils. We chose this method of interviewing as Cohen et al (2011) recognises the importance of participants feeling secure and being safe in their surroundings. There are potential limitations of conducting an interview with peers present; for example, receiving a socially desirable response from the pupils or a pupil exclaiming something and wanting to take back what they have said. If this happens, we will reassure pupils what they are saying will be kept confidential and they can say their opinion.</w:t>
      </w:r>
      <w:r>
        <w:rPr>
          <w:rFonts w:ascii="Arial" w:hAnsi="Arial" w:hint="default"/>
          <w:sz w:val="24"/>
          <w:szCs w:val="24"/>
          <w:rtl w:val="0"/>
          <w:lang w:val="en-US"/>
        </w:rPr>
        <w:t>  </w:t>
      </w:r>
      <w:r>
        <w:rPr>
          <w:rFonts w:ascii="Arial" w:hAnsi="Arial"/>
          <w:sz w:val="24"/>
          <w:szCs w:val="24"/>
          <w:rtl w:val="0"/>
          <w:lang w:val="en-US"/>
        </w:rPr>
        <w:t>Furthermore, a limitation to interviewing individually is that participants may feel anxious about social situations and therefore focus more upon themselves than the questions I was asking (Powell et al, 2018).</w:t>
      </w:r>
    </w:p>
    <w:p>
      <w:pPr>
        <w:pStyle w:val="Body A"/>
        <w:spacing w:after="0" w:line="360" w:lineRule="auto"/>
        <w:jc w:val="both"/>
        <w:rPr>
          <w:rFonts w:ascii="Arial" w:cs="Arial" w:hAnsi="Arial" w:eastAsia="Arial"/>
          <w:sz w:val="24"/>
          <w:szCs w:val="24"/>
        </w:rPr>
      </w:pPr>
    </w:p>
    <w:p>
      <w:pPr>
        <w:pStyle w:val="Body A"/>
        <w:spacing w:after="0" w:line="360" w:lineRule="auto"/>
        <w:jc w:val="both"/>
        <w:rPr>
          <w:rFonts w:ascii="Arial" w:cs="Arial" w:hAnsi="Arial" w:eastAsia="Arial"/>
          <w:b w:val="1"/>
          <w:bCs w:val="1"/>
          <w:i w:val="1"/>
          <w:iCs w:val="1"/>
          <w:sz w:val="28"/>
          <w:szCs w:val="28"/>
        </w:rPr>
      </w:pPr>
      <w:r>
        <w:rPr>
          <w:rFonts w:ascii="Arial" w:hAnsi="Arial"/>
          <w:b w:val="1"/>
          <w:bCs w:val="1"/>
          <w:i w:val="1"/>
          <w:iCs w:val="1"/>
          <w:sz w:val="28"/>
          <w:szCs w:val="28"/>
          <w:rtl w:val="0"/>
          <w:lang w:val="en-US"/>
        </w:rPr>
        <w:t>Ethical considerations</w:t>
      </w:r>
    </w:p>
    <w:p>
      <w:pPr>
        <w:pStyle w:val="Body A"/>
        <w:spacing w:after="0" w:line="360" w:lineRule="auto"/>
        <w:jc w:val="both"/>
        <w:rPr>
          <w:rFonts w:ascii="Arial" w:cs="Arial" w:hAnsi="Arial" w:eastAsia="Arial"/>
          <w:sz w:val="24"/>
          <w:szCs w:val="24"/>
        </w:rPr>
      </w:pPr>
      <w:r>
        <w:rPr>
          <w:rFonts w:ascii="Arial" w:hAnsi="Arial"/>
          <w:sz w:val="24"/>
          <w:szCs w:val="24"/>
          <w:rtl w:val="0"/>
          <w:lang w:val="en-US"/>
        </w:rPr>
        <w:t>When conducting research in a classroom, there are ethical considerations that need to be addressed. I handed out consent forms to the learners</w:t>
      </w:r>
      <w:r>
        <w:rPr>
          <w:rFonts w:ascii="Arial" w:hAnsi="Arial" w:hint="default"/>
          <w:sz w:val="24"/>
          <w:szCs w:val="24"/>
          <w:rtl w:val="0"/>
          <w:lang w:val="en-US"/>
        </w:rPr>
        <w:t xml:space="preserve">’ </w:t>
      </w:r>
      <w:r>
        <w:rPr>
          <w:rFonts w:ascii="Arial" w:hAnsi="Arial"/>
          <w:sz w:val="24"/>
          <w:szCs w:val="24"/>
          <w:rtl w:val="0"/>
          <w:lang w:val="en-US"/>
        </w:rPr>
        <w:t>parents. The consent forms outlined what the research activity entailed and what we would be asking the pupils to do. It also outlined how the information will be used in accordance with the General Data Protection Regulation (GDPR).</w:t>
      </w:r>
      <w:r>
        <w:rPr>
          <w:rFonts w:ascii="Arial" w:hAnsi="Arial" w:hint="default"/>
          <w:sz w:val="24"/>
          <w:szCs w:val="24"/>
          <w:rtl w:val="0"/>
          <w:lang w:val="en-US"/>
        </w:rPr>
        <w:t>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The three chosen pupils for the study were asked for their assent, they received an explanation about what the study entailed and they were informed they could withdraw from the study at any time. This ensured we had full informed consent to undertake the research and all participants were told they could withdraw from the study at any time. The consent and assent was constructed in accordance with the United Nations Conventions on the Rights of a Child (UNCRC) where children have the right to their identity being preserved; their name, nationality and and family relations.</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w:t>
      </w: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r>
        <w:rPr>
          <w:rFonts w:ascii="Arial" w:hAnsi="Arial"/>
          <w:b w:val="1"/>
          <w:bCs w:val="1"/>
          <w:i w:val="1"/>
          <w:iCs w:val="1"/>
          <w:outline w:val="0"/>
          <w:color w:val="000000"/>
          <w:sz w:val="28"/>
          <w:szCs w:val="28"/>
          <w:u w:color="000000"/>
          <w:shd w:val="clear" w:color="auto" w:fill="ffffff"/>
          <w:rtl w:val="0"/>
          <w:lang w:val="en-US"/>
          <w14:textFill>
            <w14:solidFill>
              <w14:srgbClr w14:val="000000">
                <w14:alpha w14:val="15293"/>
              </w14:srgbClr>
            </w14:solidFill>
          </w14:textFill>
        </w:rPr>
        <w:t>Lesson study 1 results and analysis</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It is evident that learning took place from the delivery of Lesson 1 because all participants were able to meet the success criteria that can be found on the lesson plan in the appendices. This was that learners must be able to draw a character, understand what it means to label something and actually labelling the character using adjectives. I began the lesson by using the assessment for learning tool of questioning to talk about prior learning on adjectives. I asked questions such as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Does anyone remember what we did with the picture of the Gruffalo on our school trip last week?</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 this gave learners guidance about what I wanted to know. As seen in the notes in my appendices, the learners responded with answers such as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adjectives</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and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adverbs</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which shows they remember their learning. Once we had discussed as a group some examples of adjectives, I gave them their instructions and handed out the necessary materials to each group.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A who was in Group 1 (no choice of character) was observed on the Leuven Scale as being moderately engaged throughout the lesson. Character 1 in the Appendices shows they were able to use adjectives, label the lion and then colour the lion without much intervention and therefore met the lesson objectives. Participant A asked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is it one e or 2 e</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s?</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which is a standard question regarding spelling that I would expect to hear from any learner in any lesson. I responded by telling the participant they needed to sound it out and write what they could hear as this is the way learners progress in phonics. I asked learners to draw and label their character and to show me for approval before I allowed them to colour it. Participant A completed the first element in 15 minutes so spent the final 5 minutes colouring their character. Having a lack of free choice for this activity did not appear to effect participant A in a notable manner.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B who was in Group 2 (limited choice of character) wanted to rush through the activity in order to return to another part of the school and continue what they were doing prior to this lesson. From the observational notes in the Appendices, it shows participant 2 began to draw a snake but did not like their snake so I provided them with a second and final piece of paper. Participant 2 jumped up and shouted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I</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ve done it</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but when I checked their work they had drawn small bubbles and I could not make out what the words said; this can be seen in the appendices, labelled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Group 2 character</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 The gorilla also did not have a face so I instructed participant B to add a face to their character and I drew the bubbles for them to be able to write the labels. When looking at the Leuven scale it was observed that this participant had low levels of engagement throughout the activity despite being able to finish it. Moving from the snake to the gorilla also suggests Participant B was not focused when given a choice so perhaps making the choice for them would improve their engagement.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3 who was in Group 3 (free choice of character) was observed on the Leuven Scale as having a mixture of engagement levels but during the period of 5-10 minutes this level was high. The observational notes for Group 3 show that members of the group were distracted by the Ipad; however, participant 3 was not. Participant 3 told me they had finished but when I looked they had not written which part of the body they were labelling so I sent them back to complete it, this was needed to cement their learning and ensure they were achieving the full lesson objectives and meeting success criteria.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The interviews conducted can be found in the appendices, these showed that all participants liked the character they created but Participant 3 who had free choice would not like more free choice in lessons whereas Participant 1 and 2 would; this suggests that the level of choice given to the participants did not have an affect on their level of engagement. The responses to the questions are interesting as Participant 1 and 2 think they would like more free choice whereas Participant 3 who had the choice, decided they did not want it. I feel this is an insight into what learners think they might want but once given free choice they realise they would rather have structure.</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Overall, all participants and learners in the groups met the success criteria and achieved the lesson objectives. Despite this, the lesson had areas to improve upon and this was revised in readiness for the second lesson. As a pair, we decided that the levels of choice should be altered to a different stimuli meaning in lesson 2 all learners would draw the same landscape but the tools they used to draw with would be the controlled stimuli; Group one would use paints, Group 2 would use paints or oil pastels and Group 3 would use paints, oil pastels or Ipads. We also decided that doing a whole class introduction may be more effective as the group can listen to each other</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s ideas and answers which may improve their learning and also gives learners more time to complete the activity.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We learnt from this lesson that we may need to improve our interviewing methods and prompt the participants slightly more with the questions in order to receive more informative responses. This will allow us to collect better evidence in order to measure whether the level of free choice provided does have an impact on the participants</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engagement and understand their opinions in more depth. </w:t>
      </w: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r>
        <w:rPr>
          <w:rFonts w:ascii="Arial" w:hAnsi="Arial"/>
          <w:b w:val="1"/>
          <w:bCs w:val="1"/>
          <w:i w:val="1"/>
          <w:iCs w:val="1"/>
          <w:outline w:val="0"/>
          <w:color w:val="000000"/>
          <w:sz w:val="28"/>
          <w:szCs w:val="28"/>
          <w:u w:color="000000"/>
          <w:shd w:val="clear" w:color="auto" w:fill="ffffff"/>
          <w:rtl w:val="0"/>
          <w:lang w:val="en-US"/>
          <w14:textFill>
            <w14:solidFill>
              <w14:srgbClr w14:val="000000">
                <w14:alpha w14:val="15293"/>
              </w14:srgbClr>
            </w14:solidFill>
          </w14:textFill>
        </w:rPr>
        <w:t>Lesson study 2 results and analysis</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In Lesson 2, learners were tasked with creating their version of a Kyffin Williams</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landscape that was provided to them.</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By conducting a whole class introduction, student learning was evident as the teacher used questioning to find out the knowledge they already had. Learners were unaware when viewing pictures that they were called landscapes but the teacher discussed this and asked the class to repeat after her the word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landscape</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 this drills it so learners are more likely to remember. Learners were given the opportunity to think how the pictures shown to them made them feel and once 30 seconds was over, the teacher received responses such as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calm</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 xml:space="preserve">” </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and </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relaxed</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The teacher then took each group for 30 minute lessons whilst I observed the participants. When reading the results of the Leuven Scale observations, it it clear to see that Group 2 and 3 had the highest level of engagement. Participant A in Group 1 began by activity by having extremely low levels of engagement but as time progressed their engagement levels rose. These distractions occurred mostly when other learners were trying to engage in conversation with them and they chose to respond rather than ignore, meaning it was not directly linked to the level of choice Participant A was provided as this distraction could arise at any time.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B also measured on the Leuven Scale as starting off the activity with lower levels of engagement but after 10 minutes this rose to being a high level. This participant chose to use paints to start their landscape but then began to use oil pastels as well, suggesting this participant needed more free choice to express themselves through their learning rather than having to stick to one method. Although this should have been stopped, the overall importance in the lesson is for the learner to achieve the success criteria and evidence learning. Thus meaning, we made the decision to allow Participant B to use more than one method to complete their landscape as it was also interesting for our research.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Participant C in Group 3 had high or extremely high levels of engagement throughout the task. This group was given the most choice of method to draw their landscape; however, surprisingly to us, no learner chose to use the Ipads. Participant C chose to use paints and was completely focused until they completed their landscape, they maintained engagement even after water was accidentally spilt over their painting.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From observing the two lessons, the results would suggest there is no correlation between the level of choice the learners were given and their level of engagement. All learners met the lesson objective in both lessons; however, Lesson 2 participants were a lot more engaged overall. Though, this could be down to other factors such as their personality or the difference between the schools.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Lesson 2 could be improved by providing choice but in a different format. An example of this could be creating different zones in the classroom, for example; iPad zone, paints zone or oil pastel zone. The visualisation of a zone could help learners stick to one method as they have physically moved to a specific area of their choice and recognise that is what they have chosen. We also discussed for future teaching the idea of combining Lesson 1 and 2 to give learners the choice of both what they draw and the tools they use to draw it. This could develop the teaching standard of listening to learners and allowing them to be active participants in their own learning.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I believe we learnt from this experience that although we should provide learners with some choice to take responsibility for their own learning, this does not necessarily mean it will affect their levels of engagement during the activity. I think our research tools should be modified in order to collect better evidence as the results we gathered are inconclusive and do not tell us as much as we had hoped when designing the study.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r>
        <w:rPr>
          <w:rFonts w:ascii="Arial" w:hAnsi="Arial"/>
          <w:b w:val="1"/>
          <w:bCs w:val="1"/>
          <w:i w:val="1"/>
          <w:iCs w:val="1"/>
          <w:outline w:val="0"/>
          <w:color w:val="000000"/>
          <w:sz w:val="28"/>
          <w:szCs w:val="28"/>
          <w:u w:color="000000"/>
          <w:shd w:val="clear" w:color="auto" w:fill="ffffff"/>
          <w:rtl w:val="0"/>
          <w:lang w:val="en-US"/>
          <w14:textFill>
            <w14:solidFill>
              <w14:srgbClr w14:val="000000">
                <w14:alpha w14:val="15293"/>
              </w14:srgbClr>
            </w14:solidFill>
          </w14:textFill>
        </w:rPr>
        <w:t>Research findings in relation to literature</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From conducting this study I found out that learners do not necessarily need free choice in order to engage in an activity. I also found out that in my class [Lesson 1] the learners were generally not very engaged throughout the process. This may have been caused by other factors such as there being no support staff present during the activity to guide or help which those learners are often used to. This has been supported by Blatchford et al (2009) who recognised support staff as being highly important in classroom culture for improving engagement levels due to the help they provide to both the teacher and the learners.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Another factor that seemed to be prevalent was that of peer distraction. This could stem from a fear of peer rejection and being deemed to be of a lower-status within the hierarchy in the classroom. The rejected status is something most learners do not want and therefore might explain why they choose to respond to their peers rather than focus on the activity (Ladd et al, 2014). For my class, this would mean I would plan a discussion with them about the importance of teamwork, respecting each other and always including everyone. This could come in the form of providing learners with a weekly social target that I expect them to adhere to with the same importance as a lesson objective.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I believe these alternative factors that could have impacted the study show that there were limitations of the methods we used. We could have thought about support staff prior to undertaking the study and asked to have a member present to keep the lesson as close to what the learners were used to as possible. I think we could have focused more on minimising environmental factors; however, as they are naturally occurring it would have been difficult to do so.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I believe the strengths of our methods were that we split the groups into 3 which meant learners did not know what their peers were doing. We decided this as we thought it may cause arguments and peer disruption if all members of the class were present but given varying resources and levels of choice. This would also have affected our results because we predicted the learners to spend more time worrying about what their peers were doing than focusing on their own task. </w:t>
      </w: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jc w:val="both"/>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r>
        <w:rPr>
          <w:rFonts w:ascii="Arial" w:hAnsi="Arial"/>
          <w:b w:val="1"/>
          <w:bCs w:val="1"/>
          <w:i w:val="1"/>
          <w:iCs w:val="1"/>
          <w:outline w:val="0"/>
          <w:color w:val="000000"/>
          <w:sz w:val="28"/>
          <w:szCs w:val="28"/>
          <w:u w:color="000000"/>
          <w:shd w:val="clear" w:color="auto" w:fill="ffffff"/>
          <w:rtl w:val="0"/>
          <w:lang w:val="en-US"/>
          <w14:textFill>
            <w14:solidFill>
              <w14:srgbClr w14:val="000000">
                <w14:alpha w14:val="15293"/>
              </w14:srgbClr>
            </w14:solidFill>
          </w14:textFill>
        </w:rPr>
        <w:t>Conclusion</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From examining the research lessons carried out, I believe there are some alterations we could make to the methods used. Guest et al (2017) compared focus groups to individual interviews and found that the interactive nature of focus groups might mean participants divulge more information that they would not feel confident saying individually. They also concluded that although individual interviews are an effective method during some studies, using focus groups when trying to generate opinions and feelings will emerge more personal responses. I believe this was a limitation to our study and was an area where a lot more evidence could have been obtained regarding the participants thoughts and feelings on the levels of free choice they receive. Therefore, in future studies I would choose to alter this method when collecting qualitative data in order to maximise the evidence received.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The Leuven Scale was used to conduct the observations which was a strength as it directly links from child involvement to the learner engagement in our study which meant we had good descriptors to use as a guide. However, a limitation of using non-participant observation could be the Hawthorne effect, this is where the participants behaviours are affected by the presence of an observer even when they are not directly involved in the situation (Scott and Marshall, 2009). I tried to minimise the effect of this by sitting informally and not writing notes directly after looking at a participant so they would not feel like they needed to change their behaviour.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A limitation to the use of the Leuven Scale could be that individuals interpret behaviours differently, therefore the results may not be valid because behaviours I saw as being disengaged might not be what my partner perceived as being disengaged. Prior to the lesson studies we did discuss the Leuven Scale and what type of behaviours we would witness for each level; however, this still does not ensure the results are completely reliable. If we were to repeat this study in the future, it may be more beneficial to write a checklist of behaviours we could potentially witness and place them next to levels of engagement. This would mean we were both following the exact same structure and looking for the same behaviours; though, it could be a limitation as we may miss behaviours that we had not placed on the checklist.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During my next school experience I will continue to plan my lessons by offering choice but I will not make it the most important part of the process. I have learned that there are many factors that can affect the learner</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s engagement and now that I recognise more of these factors I will observe whether I can see them having an affect in my lesson.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b w:val="1"/>
          <w:bCs w:val="1"/>
          <w:i w:val="1"/>
          <w:iCs w:val="1"/>
          <w:outline w:val="0"/>
          <w:color w:val="000000"/>
          <w:sz w:val="28"/>
          <w:szCs w:val="28"/>
          <w:u w:color="000000"/>
          <w:shd w:val="clear" w:color="auto" w:fill="ffffff"/>
          <w:rtl w:val="0"/>
          <w:lang w:val="en-US"/>
          <w14:textFill>
            <w14:solidFill>
              <w14:srgbClr w14:val="000000">
                <w14:alpha w14:val="15293"/>
              </w14:srgbClr>
            </w14:solidFill>
          </w14:textFill>
        </w:rPr>
        <w:t xml:space="preserve">Recommendations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Moving forward through my teaching practice, the knowledge I have gained from undertaking this study will be beneficial as I can share it with other colleagues. Choice is an area that is becoming more focal with the introduction of the new Welsh curriculum; despite this, I would like to discuss my findings to remind colleagues it is still acceptable to deliver lessons to learners where they are following specific instructions you provide and where they are not necessarily accessing a variety of choice. This is because sometimes offering choice is not necessary, it is not effective when forcing these practices into lessons, it should only be done when suitable.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The findings from this study could be carried forward to conduct further research on the learner</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s level of engagement. The further research could take the form of other factors we identified during the study such as peer influence or the impact of support staff being present. If I conducted the research again, I believe it would be interesting to study engagement when learners are completing an activity as a whole class to observe whether behaviours change when being surrounded by more of their peers. </w:t>
      </w:r>
    </w:p>
    <w:p>
      <w:pPr>
        <w:pStyle w:val="Default"/>
        <w:spacing w:line="360" w:lineRule="auto"/>
        <w:jc w:val="both"/>
        <w:rPr>
          <w:rFonts w:ascii="Arial" w:cs="Arial" w:hAnsi="Arial" w:eastAsia="Arial"/>
          <w:outline w:val="0"/>
          <w:color w:val="000000"/>
          <w:sz w:val="24"/>
          <w:szCs w:val="24"/>
          <w:u w:color="000000"/>
          <w:shd w:val="clear" w:color="auto" w:fill="ffffff"/>
          <w14:textFill>
            <w14:solidFill>
              <w14:srgbClr w14:val="000000">
                <w14:alpha w14:val="15293"/>
              </w14:srgbClr>
            </w14:solidFill>
          </w14:textFill>
        </w:rPr>
      </w:pP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Overall, our findings would suggest that we cannot yet make a direct link between a learner</w:t>
      </w:r>
      <w:r>
        <w:rPr>
          <w:rFonts w:ascii="Arial" w:hAnsi="Arial" w:hint="default"/>
          <w:outline w:val="0"/>
          <w:color w:val="000000"/>
          <w:sz w:val="24"/>
          <w:szCs w:val="24"/>
          <w:u w:color="000000"/>
          <w:shd w:val="clear" w:color="auto" w:fill="ffffff"/>
          <w:rtl w:val="0"/>
          <w:lang w:val="en-US"/>
          <w14:textFill>
            <w14:solidFill>
              <w14:srgbClr w14:val="000000">
                <w14:alpha w14:val="15293"/>
              </w14:srgbClr>
            </w14:solidFill>
          </w14:textFill>
        </w:rPr>
        <w:t>’</w:t>
      </w:r>
      <w:r>
        <w:rPr>
          <w:rFonts w:ascii="Arial" w:hAnsi="Arial"/>
          <w:outline w:val="0"/>
          <w:color w:val="000000"/>
          <w:sz w:val="24"/>
          <w:szCs w:val="24"/>
          <w:u w:color="000000"/>
          <w:shd w:val="clear" w:color="auto" w:fill="ffffff"/>
          <w:rtl w:val="0"/>
          <w:lang w:val="en-US"/>
          <w14:textFill>
            <w14:solidFill>
              <w14:srgbClr w14:val="000000">
                <w14:alpha w14:val="15293"/>
              </w14:srgbClr>
            </w14:solidFill>
          </w14:textFill>
        </w:rPr>
        <w:t xml:space="preserve">s level of engagement in an activity and the amount of free choice provided to them. Further research with alternative methods would need to be carried out. </w:t>
      </w: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p>
    <w:p>
      <w:pPr>
        <w:pStyle w:val="Default"/>
        <w:spacing w:line="360" w:lineRule="auto"/>
        <w:rPr>
          <w:rFonts w:ascii="Arial" w:cs="Arial" w:hAnsi="Arial" w:eastAsia="Arial"/>
          <w:b w:val="1"/>
          <w:bCs w:val="1"/>
          <w:i w:val="1"/>
          <w:iCs w:val="1"/>
          <w:outline w:val="0"/>
          <w:color w:val="000000"/>
          <w:sz w:val="28"/>
          <w:szCs w:val="28"/>
          <w:u w:color="000000"/>
          <w:shd w:val="clear" w:color="auto" w:fill="ffffff"/>
          <w14:textFill>
            <w14:solidFill>
              <w14:srgbClr w14:val="000000">
                <w14:alpha w14:val="15293"/>
              </w14:srgbClr>
            </w14:solidFill>
          </w14:textFill>
        </w:rPr>
      </w:pPr>
      <w:r>
        <w:rPr>
          <w:rFonts w:ascii="Arial" w:hAnsi="Arial"/>
          <w:b w:val="1"/>
          <w:bCs w:val="1"/>
          <w:i w:val="1"/>
          <w:iCs w:val="1"/>
          <w:outline w:val="0"/>
          <w:color w:val="000000"/>
          <w:sz w:val="28"/>
          <w:szCs w:val="28"/>
          <w:u w:color="000000"/>
          <w:shd w:val="clear" w:color="auto" w:fill="ffffff"/>
          <w:rtl w:val="0"/>
          <w:lang w:val="en-US"/>
          <w14:textFill>
            <w14:solidFill>
              <w14:srgbClr w14:val="000000">
                <w14:alpha w14:val="15293"/>
              </w14:srgbClr>
            </w14:solidFill>
          </w14:textFill>
        </w:rPr>
        <w:t xml:space="preserve">References: </w:t>
      </w:r>
    </w:p>
    <w:p>
      <w:pPr>
        <w:pStyle w:val="Default"/>
        <w:rPr>
          <w:rFonts w:ascii="Helvetica" w:cs="Helvetica" w:hAnsi="Helvetica" w:eastAsia="Helvetica"/>
          <w:sz w:val="30"/>
          <w:szCs w:val="30"/>
          <w:shd w:val="clear" w:color="auto" w:fill="ffffff"/>
        </w:rPr>
      </w:pPr>
    </w:p>
    <w:p>
      <w:pPr>
        <w:pStyle w:val="Body A"/>
        <w:spacing w:after="0" w:line="360" w:lineRule="auto"/>
        <w:rPr>
          <w:rFonts w:ascii="Arial" w:cs="Arial" w:hAnsi="Arial" w:eastAsia="Arial"/>
        </w:rPr>
      </w:pPr>
      <w:r>
        <w:rPr>
          <w:rFonts w:ascii="Arial" w:hAnsi="Arial"/>
          <w:rtl w:val="0"/>
          <w:lang w:val="en-US"/>
        </w:rPr>
        <w:t xml:space="preserve">Blatchford, P; Bassett, P; Brown, P; Webster, R (2009). The effect of support staff on pupil engagement and individual attention. </w:t>
      </w:r>
      <w:r>
        <w:rPr>
          <w:rFonts w:ascii="Arial" w:hAnsi="Arial"/>
          <w:i w:val="1"/>
          <w:iCs w:val="1"/>
          <w:rtl w:val="0"/>
          <w:lang w:val="en-US"/>
        </w:rPr>
        <w:t xml:space="preserve">British education research journal. </w:t>
      </w:r>
      <w:r>
        <w:rPr>
          <w:rFonts w:ascii="Arial" w:hAnsi="Arial"/>
          <w:rtl w:val="0"/>
          <w:lang w:val="en-US"/>
        </w:rPr>
        <w:t>35(5). p661-687.</w:t>
      </w:r>
    </w:p>
    <w:p>
      <w:pPr>
        <w:pStyle w:val="Body A"/>
        <w:spacing w:after="0" w:line="360" w:lineRule="auto"/>
        <w:rPr>
          <w:rFonts w:ascii="Arial" w:cs="Arial" w:hAnsi="Arial" w:eastAsia="Arial"/>
        </w:rPr>
      </w:pPr>
    </w:p>
    <w:p>
      <w:pPr>
        <w:pStyle w:val="Body A"/>
        <w:spacing w:after="0" w:line="360" w:lineRule="auto"/>
        <w:rPr>
          <w:rFonts w:ascii="Arial" w:cs="Arial" w:hAnsi="Arial" w:eastAsia="Arial"/>
        </w:rPr>
      </w:pPr>
      <w:r>
        <w:rPr>
          <w:rFonts w:ascii="Arial" w:hAnsi="Arial"/>
          <w:rtl w:val="0"/>
          <w:lang w:val="en-US"/>
        </w:rPr>
        <w:t>Dudley, P (2014) Lesson study handbook.</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 xml:space="preserve">Goble, P; Pianta, R (2017). Teacher-child interactions in free choice and teacher-directed activity settings: Prediction to school-readiness (2017). </w:t>
      </w:r>
      <w:r>
        <w:rPr>
          <w:rFonts w:ascii="Arial" w:hAnsi="Arial"/>
          <w:i w:val="1"/>
          <w:iCs w:val="1"/>
          <w:shd w:val="clear" w:color="auto" w:fill="ffffff"/>
          <w:rtl w:val="0"/>
          <w:lang w:val="en-US"/>
        </w:rPr>
        <w:t xml:space="preserve">Early education &amp; Development. </w:t>
      </w:r>
      <w:r>
        <w:rPr>
          <w:rFonts w:ascii="Arial" w:hAnsi="Arial"/>
          <w:shd w:val="clear" w:color="auto" w:fill="ffffff"/>
          <w:rtl w:val="0"/>
          <w:lang w:val="en-US"/>
        </w:rPr>
        <w:t>28(8). p1035-1052.</w:t>
      </w:r>
    </w:p>
    <w:p>
      <w:pPr>
        <w:pStyle w:val="Default"/>
        <w:spacing w:line="360" w:lineRule="auto"/>
        <w:rPr>
          <w:rFonts w:ascii="Arial" w:cs="Arial" w:hAnsi="Arial" w:eastAsia="Arial"/>
          <w:shd w:val="clear" w:color="auto" w:fill="ffffff"/>
        </w:rPr>
      </w:pPr>
    </w:p>
    <w:p>
      <w:pPr>
        <w:pStyle w:val="Body A"/>
        <w:spacing w:after="0" w:line="360" w:lineRule="auto"/>
        <w:rPr>
          <w:rFonts w:ascii="Arial" w:cs="Arial" w:hAnsi="Arial" w:eastAsia="Arial"/>
        </w:rPr>
      </w:pPr>
      <w:r>
        <w:rPr>
          <w:rFonts w:ascii="Arial" w:hAnsi="Arial"/>
          <w:rtl w:val="0"/>
          <w:lang w:val="en-US"/>
        </w:rPr>
        <w:t xml:space="preserve">Guest, G; Namey, E; Taylor, J; Eley, N; McKenna, K (2017). Comparing focus groups and individual interviews: findings from a randomized study. </w:t>
      </w:r>
      <w:r>
        <w:rPr>
          <w:rFonts w:ascii="Arial" w:hAnsi="Arial"/>
          <w:i w:val="1"/>
          <w:iCs w:val="1"/>
          <w:rtl w:val="0"/>
          <w:lang w:val="en-US"/>
        </w:rPr>
        <w:t xml:space="preserve">International journal of social research methodology. </w:t>
      </w:r>
      <w:r>
        <w:rPr>
          <w:rFonts w:ascii="Arial" w:hAnsi="Arial"/>
          <w:rtl w:val="0"/>
          <w:lang w:val="en-US"/>
        </w:rPr>
        <w:t>20(6). p693-709.</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 xml:space="preserve">Guseva, L; Solomonovich, M (2017). Implementing the zone of proximal development: From the pedagogical experiment to the developmental education system of Leonid Zankov. </w:t>
      </w:r>
      <w:r>
        <w:rPr>
          <w:rFonts w:ascii="Arial" w:hAnsi="Arial"/>
          <w:i w:val="1"/>
          <w:iCs w:val="1"/>
          <w:shd w:val="clear" w:color="auto" w:fill="ffffff"/>
          <w:rtl w:val="0"/>
          <w:lang w:val="en-US"/>
        </w:rPr>
        <w:t xml:space="preserve">International electronic journal of elementary education. </w:t>
      </w:r>
      <w:r>
        <w:rPr>
          <w:rFonts w:ascii="Arial" w:hAnsi="Arial"/>
          <w:shd w:val="clear" w:color="auto" w:fill="ffffff"/>
          <w:rtl w:val="0"/>
          <w:lang w:val="en-US"/>
        </w:rPr>
        <w:t>9(4). p775-786.</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 xml:space="preserve">Janczyk, M; Kunde, W (2014). The role of effect grouping in free-choice response selection. </w:t>
      </w:r>
      <w:r>
        <w:rPr>
          <w:rFonts w:ascii="Arial" w:hAnsi="Arial"/>
          <w:i w:val="1"/>
          <w:iCs w:val="1"/>
          <w:shd w:val="clear" w:color="auto" w:fill="ffffff"/>
          <w:rtl w:val="0"/>
          <w:lang w:val="en-US"/>
        </w:rPr>
        <w:t xml:space="preserve">Acta Psychologica. </w:t>
      </w:r>
      <w:r>
        <w:rPr>
          <w:rFonts w:ascii="Arial" w:hAnsi="Arial"/>
          <w:shd w:val="clear" w:color="auto" w:fill="ffffff"/>
          <w:rtl w:val="0"/>
          <w:lang w:val="en-US"/>
        </w:rPr>
        <w:t>150. p49-54.</w:t>
      </w:r>
    </w:p>
    <w:p>
      <w:pPr>
        <w:pStyle w:val="Default"/>
        <w:spacing w:line="360" w:lineRule="auto"/>
        <w:rPr>
          <w:rFonts w:ascii="Arial" w:cs="Arial" w:hAnsi="Arial" w:eastAsia="Arial"/>
          <w:shd w:val="clear" w:color="auto" w:fill="ffffff"/>
        </w:rPr>
      </w:pPr>
    </w:p>
    <w:p>
      <w:pPr>
        <w:pStyle w:val="Body A"/>
        <w:spacing w:after="0" w:line="360" w:lineRule="auto"/>
        <w:rPr>
          <w:rFonts w:ascii="Arial" w:cs="Arial" w:hAnsi="Arial" w:eastAsia="Arial"/>
        </w:rPr>
      </w:pPr>
      <w:r>
        <w:rPr>
          <w:rFonts w:ascii="Arial" w:hAnsi="Arial"/>
          <w:rtl w:val="0"/>
          <w:lang w:val="en-US"/>
        </w:rPr>
        <w:t>Ladd, G; Ettekal, I; Kochenderfer, B; Rudolph, K (2014). Relations among chronic peer group rejection, maladaptive behavioural dispositions, and early adolescents</w:t>
      </w:r>
      <w:r>
        <w:rPr>
          <w:rFonts w:ascii="Arial" w:hAnsi="Arial" w:hint="default"/>
          <w:rtl w:val="0"/>
          <w:lang w:val="en-US"/>
        </w:rPr>
        <w:t xml:space="preserve">’ </w:t>
      </w:r>
      <w:r>
        <w:rPr>
          <w:rFonts w:ascii="Arial" w:hAnsi="Arial"/>
          <w:rtl w:val="0"/>
          <w:lang w:val="en-US"/>
        </w:rPr>
        <w:t xml:space="preserve">peer perceptions. </w:t>
      </w:r>
      <w:r>
        <w:rPr>
          <w:rFonts w:ascii="Arial" w:hAnsi="Arial"/>
          <w:i w:val="1"/>
          <w:iCs w:val="1"/>
          <w:rtl w:val="0"/>
          <w:lang w:val="en-US"/>
        </w:rPr>
        <w:t xml:space="preserve">Child development. </w:t>
      </w:r>
      <w:r>
        <w:rPr>
          <w:rFonts w:ascii="Arial" w:hAnsi="Arial"/>
          <w:rtl w:val="0"/>
          <w:lang w:val="en-US"/>
        </w:rPr>
        <w:t>85(3). p971-989.</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 xml:space="preserve">Marsh, H; Czerniawski, G; Kidd, W (2012). Relationships for learning: using pupil voice to define teacher-pupil relationships that enhance pupil engagement. </w:t>
      </w:r>
      <w:r>
        <w:rPr>
          <w:rFonts w:ascii="Arial" w:hAnsi="Arial"/>
          <w:i w:val="1"/>
          <w:iCs w:val="1"/>
          <w:shd w:val="clear" w:color="auto" w:fill="ffffff"/>
          <w:rtl w:val="0"/>
          <w:lang w:val="en-US"/>
        </w:rPr>
        <w:t xml:space="preserve">Management in Education. </w:t>
      </w:r>
      <w:r>
        <w:rPr>
          <w:rFonts w:ascii="Arial" w:hAnsi="Arial"/>
          <w:shd w:val="clear" w:color="auto" w:fill="ffffff"/>
          <w:rtl w:val="0"/>
          <w:lang w:val="en-US"/>
        </w:rPr>
        <w:t>26(3). p161-163.</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Muller, C; Hofmann, V; Begert, T; Cillessen, A (2018). Peer influence on disruptive classroom behaviour depends on teachers</w:t>
      </w:r>
      <w:r>
        <w:rPr>
          <w:rFonts w:ascii="Arial" w:hAnsi="Arial" w:hint="default"/>
          <w:shd w:val="clear" w:color="auto" w:fill="ffffff"/>
          <w:rtl w:val="0"/>
          <w:lang w:val="en-US"/>
        </w:rPr>
        <w:t xml:space="preserve">’ </w:t>
      </w:r>
      <w:r>
        <w:rPr>
          <w:rFonts w:ascii="Arial" w:hAnsi="Arial"/>
          <w:shd w:val="clear" w:color="auto" w:fill="ffffff"/>
          <w:rtl w:val="0"/>
          <w:lang w:val="en-US"/>
        </w:rPr>
        <w:t xml:space="preserve">instructional practice. </w:t>
      </w:r>
      <w:r>
        <w:rPr>
          <w:rFonts w:ascii="Arial" w:hAnsi="Arial"/>
          <w:i w:val="1"/>
          <w:iCs w:val="1"/>
          <w:shd w:val="clear" w:color="auto" w:fill="ffffff"/>
          <w:rtl w:val="0"/>
          <w:lang w:val="en-US"/>
        </w:rPr>
        <w:t xml:space="preserve">Journal of applied developmental psychology. </w:t>
      </w:r>
      <w:r>
        <w:rPr>
          <w:rFonts w:ascii="Arial" w:hAnsi="Arial"/>
          <w:shd w:val="clear" w:color="auto" w:fill="ffffff"/>
          <w:rtl w:val="0"/>
          <w:lang w:val="en-US"/>
        </w:rPr>
        <w:t>56. p99-108.</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 xml:space="preserve">Naefgen, C; Caissie, A; Janczyk, M (2017). Stimulus response links and the backward crosstalk effect - A comparison of forced- and free-choice tasks. </w:t>
      </w:r>
      <w:r>
        <w:rPr>
          <w:rFonts w:ascii="Arial" w:hAnsi="Arial"/>
          <w:i w:val="1"/>
          <w:iCs w:val="1"/>
          <w:shd w:val="clear" w:color="auto" w:fill="ffffff"/>
          <w:rtl w:val="0"/>
          <w:lang w:val="en-US"/>
        </w:rPr>
        <w:t xml:space="preserve">Acta Psychologica. </w:t>
      </w:r>
      <w:r>
        <w:rPr>
          <w:rFonts w:ascii="Arial" w:hAnsi="Arial"/>
          <w:shd w:val="clear" w:color="auto" w:fill="ffffff"/>
          <w:rtl w:val="0"/>
          <w:lang w:val="en-US"/>
        </w:rPr>
        <w:t>177. p23-29.</w:t>
      </w:r>
    </w:p>
    <w:p>
      <w:pPr>
        <w:pStyle w:val="Default"/>
        <w:spacing w:line="360" w:lineRule="auto"/>
        <w:rPr>
          <w:rFonts w:ascii="Arial" w:cs="Arial" w:hAnsi="Arial" w:eastAsia="Arial"/>
          <w:shd w:val="clear" w:color="auto" w:fill="ffffff"/>
        </w:rPr>
      </w:pPr>
    </w:p>
    <w:p>
      <w:pPr>
        <w:pStyle w:val="Default"/>
        <w:spacing w:line="360" w:lineRule="auto"/>
        <w:rPr>
          <w:rFonts w:ascii="Arial" w:cs="Arial" w:hAnsi="Arial" w:eastAsia="Arial"/>
          <w:shd w:val="clear" w:color="auto" w:fill="ffffff"/>
        </w:rPr>
      </w:pPr>
      <w:r>
        <w:rPr>
          <w:rFonts w:ascii="Arial" w:hAnsi="Arial"/>
          <w:shd w:val="clear" w:color="auto" w:fill="ffffff"/>
          <w:rtl w:val="0"/>
          <w:lang w:val="en-US"/>
        </w:rPr>
        <w:t xml:space="preserve">Naefgen, C; Janczyk, M (2018). Free choice tasks as random generation tasks: an investigation through working memory manipulations. </w:t>
      </w:r>
      <w:r>
        <w:rPr>
          <w:rFonts w:ascii="Arial" w:hAnsi="Arial"/>
          <w:i w:val="1"/>
          <w:iCs w:val="1"/>
          <w:shd w:val="clear" w:color="auto" w:fill="ffffff"/>
          <w:rtl w:val="0"/>
          <w:lang w:val="en-US"/>
        </w:rPr>
        <w:t>Experimental Brain Research.</w:t>
      </w:r>
      <w:r>
        <w:rPr>
          <w:rFonts w:ascii="Arial" w:hAnsi="Arial"/>
          <w:shd w:val="clear" w:color="auto" w:fill="ffffff"/>
          <w:rtl w:val="0"/>
          <w:lang w:val="en-US"/>
        </w:rPr>
        <w:t xml:space="preserve"> 236 (8). p2263-2275.</w:t>
      </w:r>
    </w:p>
    <w:p>
      <w:pPr>
        <w:pStyle w:val="Default"/>
        <w:spacing w:line="360" w:lineRule="auto"/>
        <w:rPr>
          <w:rFonts w:ascii="Arial" w:cs="Arial" w:hAnsi="Arial" w:eastAsia="Arial"/>
          <w:shd w:val="clear" w:color="auto" w:fill="ffffff"/>
        </w:rPr>
      </w:pPr>
    </w:p>
    <w:p>
      <w:pPr>
        <w:pStyle w:val="Body A"/>
        <w:spacing w:after="0" w:line="360" w:lineRule="auto"/>
        <w:rPr>
          <w:rFonts w:ascii="Arial" w:cs="Arial" w:hAnsi="Arial" w:eastAsia="Arial"/>
        </w:rPr>
      </w:pPr>
      <w:r>
        <w:rPr>
          <w:rFonts w:ascii="Arial" w:hAnsi="Arial"/>
          <w:rtl w:val="0"/>
          <w:lang w:val="en-US"/>
        </w:rPr>
        <w:t>Potter, C (2015). Leadership development: an applied comparison of Gibbs</w:t>
      </w:r>
      <w:r>
        <w:rPr>
          <w:rFonts w:ascii="Arial" w:hAnsi="Arial" w:hint="default"/>
          <w:rtl w:val="0"/>
          <w:lang w:val="en-US"/>
        </w:rPr>
        <w:t xml:space="preserve">’ </w:t>
      </w:r>
      <w:r>
        <w:rPr>
          <w:rFonts w:ascii="Arial" w:hAnsi="Arial"/>
          <w:rtl w:val="0"/>
          <w:lang w:val="en-US"/>
        </w:rPr>
        <w:t>reflective cycle and Scharmer</w:t>
      </w:r>
      <w:r>
        <w:rPr>
          <w:rFonts w:ascii="Arial" w:hAnsi="Arial" w:hint="default"/>
          <w:rtl w:val="0"/>
          <w:lang w:val="en-US"/>
        </w:rPr>
        <w:t>’</w:t>
      </w:r>
      <w:r>
        <w:rPr>
          <w:rFonts w:ascii="Arial" w:hAnsi="Arial"/>
          <w:rtl w:val="0"/>
          <w:lang w:val="en-US"/>
        </w:rPr>
        <w:t xml:space="preserve">s Theory U. </w:t>
      </w:r>
      <w:r>
        <w:rPr>
          <w:rFonts w:ascii="Arial" w:hAnsi="Arial"/>
          <w:i w:val="1"/>
          <w:iCs w:val="1"/>
          <w:rtl w:val="0"/>
          <w:lang w:val="en-US"/>
        </w:rPr>
        <w:t xml:space="preserve">Emerald publishing. Industrial &amp; commercial training. </w:t>
      </w:r>
      <w:r>
        <w:rPr>
          <w:rFonts w:ascii="Arial" w:hAnsi="Arial"/>
          <w:rtl w:val="0"/>
          <w:lang w:val="en-US"/>
        </w:rPr>
        <w:t xml:space="preserve">47(6). p336-343. </w:t>
      </w:r>
    </w:p>
    <w:p>
      <w:pPr>
        <w:pStyle w:val="Body A"/>
        <w:spacing w:after="0" w:line="360" w:lineRule="auto"/>
        <w:rPr>
          <w:rFonts w:ascii="Arial" w:cs="Arial" w:hAnsi="Arial" w:eastAsia="Arial"/>
        </w:rPr>
      </w:pPr>
    </w:p>
    <w:p>
      <w:pPr>
        <w:pStyle w:val="Body A"/>
        <w:spacing w:after="0" w:line="360" w:lineRule="auto"/>
        <w:rPr>
          <w:rFonts w:ascii="Arial" w:cs="Arial" w:hAnsi="Arial" w:eastAsia="Arial"/>
        </w:rPr>
      </w:pPr>
      <w:r>
        <w:rPr>
          <w:rFonts w:ascii="Arial" w:hAnsi="Arial"/>
          <w:rtl w:val="0"/>
          <w:lang w:val="en-US"/>
        </w:rPr>
        <w:t xml:space="preserve">Powell, D; Stanley, D; Brown, K (2018). Meta-analysis of the relation between interview anxiety and interview performance. </w:t>
      </w:r>
      <w:r>
        <w:rPr>
          <w:rFonts w:ascii="Arial" w:hAnsi="Arial"/>
          <w:i w:val="1"/>
          <w:iCs w:val="1"/>
          <w:rtl w:val="0"/>
          <w:lang w:val="en-US"/>
        </w:rPr>
        <w:t xml:space="preserve">Education Publishing Foundation. Canadian journal of behavioural sciences. </w:t>
      </w:r>
      <w:r>
        <w:rPr>
          <w:rFonts w:ascii="Arial" w:hAnsi="Arial"/>
          <w:rtl w:val="0"/>
          <w:lang w:val="en-US"/>
        </w:rPr>
        <w:t>50(4). p195-208.</w:t>
      </w:r>
    </w:p>
    <w:p>
      <w:pPr>
        <w:pStyle w:val="Default"/>
        <w:spacing w:line="360" w:lineRule="auto"/>
        <w:rPr>
          <w:rFonts w:ascii="Arial" w:cs="Arial" w:hAnsi="Arial" w:eastAsia="Arial"/>
          <w:shd w:val="clear" w:color="auto" w:fill="ffffff"/>
        </w:rPr>
      </w:pPr>
    </w:p>
    <w:p>
      <w:pPr>
        <w:pStyle w:val="Body A"/>
        <w:spacing w:after="0" w:line="360" w:lineRule="auto"/>
        <w:rPr>
          <w:rFonts w:ascii="Arial" w:cs="Arial" w:hAnsi="Arial" w:eastAsia="Arial"/>
        </w:rPr>
      </w:pPr>
      <w:r>
        <w:rPr>
          <w:rFonts w:ascii="Arial" w:hAnsi="Arial"/>
          <w:rtl w:val="0"/>
          <w:lang w:val="en-US"/>
        </w:rPr>
        <w:t xml:space="preserve">Scott, J; Marshall, G (2009). Non-participant observation. </w:t>
      </w:r>
      <w:r>
        <w:rPr>
          <w:rFonts w:ascii="Arial" w:hAnsi="Arial"/>
          <w:i w:val="1"/>
          <w:iCs w:val="1"/>
          <w:rtl w:val="0"/>
          <w:lang w:val="en-US"/>
        </w:rPr>
        <w:t>Oxford University Press. A dictionary of sociology.</w:t>
      </w:r>
    </w:p>
    <w:p>
      <w:pPr>
        <w:pStyle w:val="Default"/>
        <w:spacing w:line="360" w:lineRule="auto"/>
        <w:rPr>
          <w:rFonts w:ascii="Arial" w:cs="Arial" w:hAnsi="Arial" w:eastAsia="Arial"/>
          <w:shd w:val="clear" w:color="auto" w:fill="ffffff"/>
        </w:rPr>
      </w:pPr>
    </w:p>
    <w:p>
      <w:pPr>
        <w:pStyle w:val="Body A"/>
        <w:spacing w:after="0" w:line="360" w:lineRule="auto"/>
      </w:pPr>
      <w:r>
        <w:rPr>
          <w:rFonts w:ascii="Arial" w:hAnsi="Arial"/>
          <w:rtl w:val="0"/>
          <w:lang w:val="en-US"/>
        </w:rPr>
        <w:t xml:space="preserve">The National Strategies (2009) Improving subject pedagogy through lesson study. </w:t>
      </w:r>
      <w:r>
        <w:rPr>
          <w:rFonts w:ascii="Arial" w:hAnsi="Arial"/>
          <w:i w:val="1"/>
          <w:iCs w:val="1"/>
          <w:rtl w:val="0"/>
          <w:lang w:val="en-US"/>
        </w:rPr>
        <w:t>Handbook for leading teachers in mathematics and english.</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w:rPr>
        <w:rtl w:val="0"/>
        <w:lang w:val="en-US"/>
      </w:rPr>
      <w:t>ECAD7004/C</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AssignBody">
    <w:name w:val="AssignBody"/>
    <w:next w:val="Assign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AssignHeader">
    <w:name w:val="AssignHeader"/>
    <w:next w:val="AssignSubHeader"/>
    <w:pPr>
      <w:keepNext w:val="0"/>
      <w:keepLines w:val="0"/>
      <w:pageBreakBefore w:val="0"/>
      <w:widowControl w:val="1"/>
      <w:shd w:val="clear" w:color="auto" w:fill="auto"/>
      <w:suppressAutoHyphens w:val="0"/>
      <w:bidi w:val="0"/>
      <w:spacing w:before="0" w:after="0" w:line="360" w:lineRule="auto"/>
      <w:ind w:left="0" w:right="0" w:firstLine="0"/>
      <w:jc w:val="center"/>
      <w:outlineLvl w:val="9"/>
    </w:pPr>
    <w:rPr>
      <w:rFonts w:ascii="Arial" w:cs="Arial Unicode MS" w:hAnsi="Arial" w:eastAsia="Arial Unicode MS"/>
      <w:b w:val="1"/>
      <w:bCs w:val="1"/>
      <w:i w:val="1"/>
      <w:iCs w:val="1"/>
      <w:caps w:val="0"/>
      <w:smallCaps w:val="0"/>
      <w:strike w:val="0"/>
      <w:dstrike w:val="0"/>
      <w:outline w:val="0"/>
      <w:color w:val="000000"/>
      <w:spacing w:val="0"/>
      <w:kern w:val="0"/>
      <w:position w:val="0"/>
      <w:sz w:val="36"/>
      <w:szCs w:val="36"/>
      <w:u w:val="single" w:color="000000"/>
      <w:vertAlign w:val="baseline"/>
      <w:lang w:val="en-US"/>
      <w14:textFill>
        <w14:solidFill>
          <w14:srgbClr w14:val="000000"/>
        </w14:solidFill>
      </w14:textFill>
    </w:rPr>
  </w:style>
  <w:style w:type="paragraph" w:styleId="AssignSubHeader">
    <w:name w:val="AssignSubHeader"/>
    <w:next w:val="Assign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Arial" w:cs="Arial Unicode MS" w:hAnsi="Arial" w:eastAsia="Arial Unicode MS"/>
      <w:b w:val="1"/>
      <w:bCs w:val="1"/>
      <w:i w:val="1"/>
      <w:iCs w:val="1"/>
      <w:caps w:val="0"/>
      <w:smallCaps w:val="0"/>
      <w:strike w:val="0"/>
      <w:dstrike w:val="0"/>
      <w:outline w:val="0"/>
      <w:color w:val="000000"/>
      <w:spacing w:val="0"/>
      <w:kern w:val="0"/>
      <w:position w:val="0"/>
      <w:sz w:val="28"/>
      <w:szCs w:val="28"/>
      <w:u w:val="none" w:color="000000"/>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