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0177F5" w:rsidRPr="001872C9" w:rsidRDefault="000177F5" w:rsidP="000177F5">
      <w:pPr>
        <w:jc w:val="center"/>
        <w:rPr>
          <w:b/>
          <w:sz w:val="36"/>
          <w:szCs w:val="36"/>
        </w:rPr>
      </w:pPr>
      <w:r w:rsidRPr="001872C9">
        <w:rPr>
          <w:b/>
          <w:sz w:val="36"/>
          <w:szCs w:val="36"/>
        </w:rPr>
        <w:t xml:space="preserve">Student name: </w:t>
      </w:r>
      <w:r>
        <w:rPr>
          <w:b/>
          <w:sz w:val="36"/>
          <w:szCs w:val="36"/>
        </w:rPr>
        <w:t>S</w:t>
      </w:r>
      <w:r w:rsidRPr="001872C9">
        <w:rPr>
          <w:b/>
          <w:sz w:val="36"/>
          <w:szCs w:val="36"/>
        </w:rPr>
        <w:t xml:space="preserve">ohair </w:t>
      </w:r>
      <w:r>
        <w:rPr>
          <w:b/>
          <w:sz w:val="36"/>
          <w:szCs w:val="36"/>
        </w:rPr>
        <w:t>Bashi</w:t>
      </w:r>
      <w:r w:rsidRPr="001872C9">
        <w:rPr>
          <w:b/>
          <w:sz w:val="36"/>
          <w:szCs w:val="36"/>
        </w:rPr>
        <w:t>r</w:t>
      </w:r>
    </w:p>
    <w:p w:rsidR="000177F5" w:rsidRPr="001872C9" w:rsidRDefault="000177F5" w:rsidP="000177F5">
      <w:pPr>
        <w:jc w:val="center"/>
        <w:rPr>
          <w:b/>
          <w:sz w:val="36"/>
          <w:szCs w:val="36"/>
        </w:rPr>
      </w:pPr>
      <w:r w:rsidRPr="001872C9">
        <w:rPr>
          <w:b/>
          <w:sz w:val="36"/>
          <w:szCs w:val="36"/>
        </w:rPr>
        <w:t xml:space="preserve">Student </w:t>
      </w:r>
      <w:r>
        <w:rPr>
          <w:b/>
          <w:sz w:val="36"/>
          <w:szCs w:val="36"/>
        </w:rPr>
        <w:t>ID</w:t>
      </w:r>
      <w:r w:rsidRPr="001872C9">
        <w:rPr>
          <w:b/>
          <w:sz w:val="36"/>
          <w:szCs w:val="36"/>
        </w:rPr>
        <w:t xml:space="preserve"> : 2009250</w:t>
      </w:r>
    </w:p>
    <w:p w:rsidR="000177F5" w:rsidRPr="001872C9" w:rsidRDefault="000177F5" w:rsidP="000177F5">
      <w:pPr>
        <w:jc w:val="center"/>
        <w:rPr>
          <w:b/>
          <w:sz w:val="36"/>
          <w:szCs w:val="36"/>
        </w:rPr>
      </w:pPr>
      <w:r>
        <w:rPr>
          <w:b/>
          <w:sz w:val="36"/>
          <w:szCs w:val="36"/>
        </w:rPr>
        <w:t>Module name : L</w:t>
      </w:r>
      <w:r w:rsidRPr="000177F5">
        <w:rPr>
          <w:b/>
          <w:sz w:val="36"/>
          <w:szCs w:val="36"/>
        </w:rPr>
        <w:t xml:space="preserve"> iving with Care The Older Person </w:t>
      </w:r>
    </w:p>
    <w:p w:rsidR="000177F5" w:rsidRPr="001872C9" w:rsidRDefault="000177F5" w:rsidP="000177F5">
      <w:pPr>
        <w:jc w:val="center"/>
        <w:rPr>
          <w:b/>
          <w:sz w:val="36"/>
          <w:szCs w:val="36"/>
        </w:rPr>
      </w:pPr>
      <w:r w:rsidRPr="001872C9">
        <w:rPr>
          <w:b/>
          <w:sz w:val="36"/>
          <w:szCs w:val="36"/>
        </w:rPr>
        <w:t>Module code:BMHP600</w:t>
      </w:r>
      <w:r>
        <w:rPr>
          <w:b/>
          <w:sz w:val="36"/>
          <w:szCs w:val="36"/>
        </w:rPr>
        <w:t>9</w:t>
      </w:r>
      <w:r w:rsidRPr="001872C9">
        <w:rPr>
          <w:b/>
          <w:sz w:val="36"/>
          <w:szCs w:val="36"/>
        </w:rPr>
        <w:t xml:space="preserve"> </w:t>
      </w:r>
    </w:p>
    <w:p w:rsidR="000177F5" w:rsidRDefault="000177F5" w:rsidP="000177F5">
      <w:pPr>
        <w:jc w:val="center"/>
        <w:rPr>
          <w:b/>
          <w:sz w:val="36"/>
          <w:szCs w:val="36"/>
        </w:rPr>
      </w:pPr>
      <w:r w:rsidRPr="001872C9">
        <w:rPr>
          <w:b/>
          <w:sz w:val="36"/>
          <w:szCs w:val="36"/>
        </w:rPr>
        <w:t xml:space="preserve">Lecturer name : </w:t>
      </w:r>
      <w:r>
        <w:rPr>
          <w:b/>
          <w:sz w:val="36"/>
          <w:szCs w:val="36"/>
        </w:rPr>
        <w:t>Laila Surani</w:t>
      </w:r>
      <w:r w:rsidR="00360144">
        <w:rPr>
          <w:b/>
          <w:sz w:val="36"/>
          <w:szCs w:val="36"/>
        </w:rPr>
        <w:t>7</w:t>
      </w:r>
    </w:p>
    <w:p w:rsidR="000177F5" w:rsidRPr="001872C9" w:rsidRDefault="00360144" w:rsidP="000177F5">
      <w:pPr>
        <w:jc w:val="center"/>
        <w:rPr>
          <w:b/>
          <w:sz w:val="36"/>
          <w:szCs w:val="36"/>
        </w:rPr>
      </w:pPr>
      <w:r>
        <w:rPr>
          <w:b/>
          <w:sz w:val="36"/>
          <w:szCs w:val="36"/>
        </w:rPr>
        <w:t>Date:02</w:t>
      </w:r>
      <w:r w:rsidR="000177F5" w:rsidRPr="001872C9">
        <w:rPr>
          <w:b/>
          <w:sz w:val="36"/>
          <w:szCs w:val="36"/>
        </w:rPr>
        <w:t>/05/2023</w:t>
      </w:r>
    </w:p>
    <w:p w:rsidR="000177F5" w:rsidRDefault="000177F5" w:rsidP="000177F5"/>
    <w:p w:rsidR="00A357E2" w:rsidRDefault="00A357E2">
      <w:pPr>
        <w:jc w:val="center"/>
        <w:rPr>
          <w:b/>
          <w:bCs/>
          <w:i/>
          <w:iCs/>
          <w:sz w:val="72"/>
          <w:szCs w:val="72"/>
        </w:rPr>
      </w:pPr>
    </w:p>
    <w:p w:rsidR="00A357E2" w:rsidRDefault="00A357E2">
      <w:pPr>
        <w:jc w:val="center"/>
        <w:rPr>
          <w:b/>
          <w:bCs/>
          <w:i/>
          <w:iCs/>
          <w:sz w:val="72"/>
          <w:szCs w:val="72"/>
        </w:rPr>
      </w:pPr>
    </w:p>
    <w:p w:rsidR="00A357E2" w:rsidRDefault="00A357E2" w:rsidP="000177F5">
      <w:pPr>
        <w:jc w:val="center"/>
      </w:pPr>
    </w:p>
    <w:p w:rsidR="00A357E2" w:rsidRDefault="00A357E2">
      <w:pPr>
        <w:jc w:val="center"/>
        <w:rPr>
          <w:sz w:val="52"/>
          <w:szCs w:val="52"/>
        </w:rPr>
      </w:pPr>
    </w:p>
    <w:p w:rsidR="00A357E2" w:rsidRDefault="00405002">
      <w:pPr>
        <w:pStyle w:val="ContentsHeading"/>
        <w:pageBreakBefore/>
      </w:pPr>
      <w:r>
        <w:lastRenderedPageBreak/>
        <w:t>Table of Contents</w:t>
      </w:r>
    </w:p>
    <w:p w:rsidR="00A357E2" w:rsidRDefault="00A357E2">
      <w:pPr>
        <w:pStyle w:val="TOC1"/>
      </w:pPr>
      <w:r w:rsidRPr="00A357E2">
        <w:fldChar w:fldCharType="begin"/>
      </w:r>
      <w:r w:rsidR="00405002">
        <w:instrText xml:space="preserve"> TOC \f \o "1-9" \o "1-9" </w:instrText>
      </w:r>
      <w:r w:rsidRPr="00A357E2">
        <w:fldChar w:fldCharType="separate"/>
      </w:r>
      <w:r w:rsidR="00405002">
        <w:t>INTRODUCTION</w:t>
      </w:r>
      <w:r w:rsidR="00405002">
        <w:tab/>
      </w:r>
      <w:r>
        <w:fldChar w:fldCharType="begin"/>
      </w:r>
      <w:r w:rsidR="00405002">
        <w:instrText xml:space="preserve"> PAGEREF _Toc6004 \h </w:instrText>
      </w:r>
      <w:r>
        <w:fldChar w:fldCharType="separate"/>
      </w:r>
      <w:r w:rsidR="00405002">
        <w:t>1</w:t>
      </w:r>
      <w:r>
        <w:fldChar w:fldCharType="end"/>
      </w:r>
    </w:p>
    <w:p w:rsidR="00A357E2" w:rsidRDefault="00405002">
      <w:pPr>
        <w:pStyle w:val="TOC1"/>
      </w:pPr>
      <w:r>
        <w:t>MAIN BODY</w:t>
      </w:r>
      <w:r>
        <w:tab/>
      </w:r>
      <w:r w:rsidR="00A357E2">
        <w:fldChar w:fldCharType="begin"/>
      </w:r>
      <w:r>
        <w:instrText xml:space="preserve"> PAGEREF _Toc20601 \h </w:instrText>
      </w:r>
      <w:r w:rsidR="00A357E2">
        <w:fldChar w:fldCharType="separate"/>
      </w:r>
      <w:r>
        <w:t>1</w:t>
      </w:r>
      <w:r w:rsidR="00A357E2">
        <w:fldChar w:fldCharType="end"/>
      </w:r>
    </w:p>
    <w:p w:rsidR="00A357E2" w:rsidRDefault="00405002">
      <w:pPr>
        <w:pStyle w:val="TOC2"/>
        <w:tabs>
          <w:tab w:val="clear" w:pos="9077"/>
          <w:tab w:val="right" w:leader="dot" w:pos="9360"/>
        </w:tabs>
      </w:pPr>
      <w:r>
        <w:t xml:space="preserve">What it means to be elderly in the UK and </w:t>
      </w:r>
      <w:r>
        <w:rPr>
          <w:lang w:val="en-IN"/>
        </w:rPr>
        <w:t>Australia</w:t>
      </w:r>
      <w:r>
        <w:tab/>
      </w:r>
      <w:r w:rsidR="00A357E2">
        <w:fldChar w:fldCharType="begin"/>
      </w:r>
      <w:r>
        <w:instrText xml:space="preserve"> PAGEREF _Toc21875 \h </w:instrText>
      </w:r>
      <w:r w:rsidR="00A357E2">
        <w:fldChar w:fldCharType="separate"/>
      </w:r>
      <w:r>
        <w:t>1</w:t>
      </w:r>
      <w:r w:rsidR="00A357E2">
        <w:fldChar w:fldCharType="end"/>
      </w:r>
    </w:p>
    <w:p w:rsidR="00A357E2" w:rsidRDefault="00405002">
      <w:pPr>
        <w:pStyle w:val="TOC2"/>
        <w:tabs>
          <w:tab w:val="clear" w:pos="9077"/>
          <w:tab w:val="right" w:leader="dot" w:pos="9360"/>
        </w:tabs>
      </w:pPr>
      <w:r>
        <w:t>Provide statistics on the ageing population and how these have changed in recent years.</w:t>
      </w:r>
      <w:r>
        <w:tab/>
      </w:r>
      <w:r w:rsidR="00A357E2">
        <w:fldChar w:fldCharType="begin"/>
      </w:r>
      <w:r>
        <w:instrText xml:space="preserve"> PAGEREF _Toc12120 \h </w:instrText>
      </w:r>
      <w:r w:rsidR="00A357E2">
        <w:fldChar w:fldCharType="separate"/>
      </w:r>
      <w:r>
        <w:t>2</w:t>
      </w:r>
      <w:r w:rsidR="00A357E2">
        <w:fldChar w:fldCharType="end"/>
      </w:r>
    </w:p>
    <w:p w:rsidR="00A357E2" w:rsidRDefault="00405002">
      <w:pPr>
        <w:pStyle w:val="TOC2"/>
        <w:tabs>
          <w:tab w:val="clear" w:pos="9077"/>
          <w:tab w:val="right" w:leader="dot" w:pos="9360"/>
        </w:tabs>
      </w:pPr>
      <w:r>
        <w:t xml:space="preserve">Explore the ideas related </w:t>
      </w:r>
      <w:r>
        <w:rPr>
          <w:lang w:val="en-IN"/>
        </w:rPr>
        <w:t>to</w:t>
      </w:r>
      <w:r>
        <w:t xml:space="preserve"> loneliness and isolation and explore the concepts associated with loneliness, alluded to in literature.</w:t>
      </w:r>
      <w:r>
        <w:tab/>
      </w:r>
      <w:r w:rsidR="00A357E2">
        <w:fldChar w:fldCharType="begin"/>
      </w:r>
      <w:r>
        <w:instrText xml:space="preserve"> PAGEREF _Toc15454 \h </w:instrText>
      </w:r>
      <w:r w:rsidR="00A357E2">
        <w:fldChar w:fldCharType="separate"/>
      </w:r>
      <w:r>
        <w:t>2</w:t>
      </w:r>
      <w:r w:rsidR="00A357E2">
        <w:fldChar w:fldCharType="end"/>
      </w:r>
    </w:p>
    <w:p w:rsidR="00A357E2" w:rsidRDefault="00405002">
      <w:pPr>
        <w:pStyle w:val="TOC2"/>
        <w:tabs>
          <w:tab w:val="clear" w:pos="9077"/>
          <w:tab w:val="right" w:leader="dot" w:pos="9360"/>
        </w:tabs>
      </w:pPr>
      <w:r>
        <w:t>Discuss the impact of loneliness and isolation on an older person living within a care setting.</w:t>
      </w:r>
      <w:r>
        <w:tab/>
      </w:r>
      <w:r w:rsidR="00A357E2">
        <w:fldChar w:fldCharType="begin"/>
      </w:r>
      <w:r>
        <w:instrText xml:space="preserve"> PAGEREF _Toc1436 \h </w:instrText>
      </w:r>
      <w:r w:rsidR="00A357E2">
        <w:fldChar w:fldCharType="separate"/>
      </w:r>
      <w:r>
        <w:t>3</w:t>
      </w:r>
      <w:r w:rsidR="00A357E2">
        <w:fldChar w:fldCharType="end"/>
      </w:r>
    </w:p>
    <w:p w:rsidR="00A357E2" w:rsidRDefault="00405002">
      <w:pPr>
        <w:pStyle w:val="TOC2"/>
        <w:tabs>
          <w:tab w:val="clear" w:pos="9077"/>
          <w:tab w:val="right" w:leader="dot" w:pos="9360"/>
        </w:tabs>
      </w:pPr>
      <w:r>
        <w:rPr>
          <w:lang w:val="en-IN"/>
        </w:rPr>
        <w:t>Examine the laws and regulations currently in effect that are meant to prevent, raise awareness or minimise elderly isolation and loneliness.</w:t>
      </w:r>
      <w:r>
        <w:tab/>
      </w:r>
      <w:r w:rsidR="00A357E2">
        <w:fldChar w:fldCharType="begin"/>
      </w:r>
      <w:r>
        <w:instrText xml:space="preserve"> PAGEREF _Toc22435 \h </w:instrText>
      </w:r>
      <w:r w:rsidR="00A357E2">
        <w:fldChar w:fldCharType="separate"/>
      </w:r>
      <w:r>
        <w:t>4</w:t>
      </w:r>
      <w:r w:rsidR="00A357E2">
        <w:fldChar w:fldCharType="end"/>
      </w:r>
    </w:p>
    <w:p w:rsidR="00A357E2" w:rsidRDefault="00405002">
      <w:pPr>
        <w:pStyle w:val="TOC2"/>
        <w:tabs>
          <w:tab w:val="clear" w:pos="9077"/>
          <w:tab w:val="right" w:leader="dot" w:pos="9360"/>
        </w:tabs>
      </w:pPr>
      <w:r>
        <w:rPr>
          <w:lang w:val="en-IN"/>
        </w:rPr>
        <w:t>Examine and compare the local, national, and international delivery of services for the elderly in  current initiatives and policies.</w:t>
      </w:r>
      <w:r>
        <w:tab/>
      </w:r>
      <w:r w:rsidR="00A357E2">
        <w:fldChar w:fldCharType="begin"/>
      </w:r>
      <w:r>
        <w:instrText xml:space="preserve"> PAGEREF _Toc7228 \h </w:instrText>
      </w:r>
      <w:r w:rsidR="00A357E2">
        <w:fldChar w:fldCharType="separate"/>
      </w:r>
      <w:r>
        <w:t>5</w:t>
      </w:r>
      <w:r w:rsidR="00A357E2">
        <w:fldChar w:fldCharType="end"/>
      </w:r>
    </w:p>
    <w:p w:rsidR="00A357E2" w:rsidRDefault="00405002">
      <w:pPr>
        <w:pStyle w:val="TOC2"/>
        <w:tabs>
          <w:tab w:val="clear" w:pos="9077"/>
          <w:tab w:val="right" w:leader="dot" w:pos="9360"/>
        </w:tabs>
      </w:pPr>
      <w:r>
        <w:t xml:space="preserve">Examine how the care of the elderly might develop in the future; Examine the potential </w:t>
      </w:r>
      <w:r>
        <w:rPr>
          <w:lang w:val="en-IN"/>
        </w:rPr>
        <w:t>changes to</w:t>
      </w:r>
      <w:r>
        <w:t xml:space="preserve"> initiatives designed to address the issue of loneliness among the elderly. </w:t>
      </w:r>
      <w:r>
        <w:rPr>
          <w:lang w:val="en-IN"/>
        </w:rPr>
        <w:t>H</w:t>
      </w:r>
      <w:r>
        <w:t>ow technology could be used to provide care for elderly people</w:t>
      </w:r>
      <w:r>
        <w:tab/>
      </w:r>
      <w:r w:rsidR="00A357E2">
        <w:fldChar w:fldCharType="begin"/>
      </w:r>
      <w:r>
        <w:instrText xml:space="preserve"> PAGEREF _Toc4755 \h </w:instrText>
      </w:r>
      <w:r w:rsidR="00A357E2">
        <w:fldChar w:fldCharType="separate"/>
      </w:r>
      <w:r>
        <w:t>5</w:t>
      </w:r>
      <w:r w:rsidR="00A357E2">
        <w:fldChar w:fldCharType="end"/>
      </w:r>
    </w:p>
    <w:p w:rsidR="00A357E2" w:rsidRDefault="00405002">
      <w:pPr>
        <w:pStyle w:val="TOC1"/>
      </w:pPr>
      <w:r>
        <w:t>Recommendations</w:t>
      </w:r>
      <w:r>
        <w:tab/>
      </w:r>
      <w:r w:rsidR="00A357E2">
        <w:fldChar w:fldCharType="begin"/>
      </w:r>
      <w:r>
        <w:instrText xml:space="preserve"> PAGEREF _Toc18072 \h </w:instrText>
      </w:r>
      <w:r w:rsidR="00A357E2">
        <w:fldChar w:fldCharType="separate"/>
      </w:r>
      <w:r>
        <w:t>6</w:t>
      </w:r>
      <w:r w:rsidR="00A357E2">
        <w:fldChar w:fldCharType="end"/>
      </w:r>
    </w:p>
    <w:p w:rsidR="00A357E2" w:rsidRDefault="00405002">
      <w:pPr>
        <w:pStyle w:val="TOC1"/>
      </w:pPr>
      <w:r>
        <w:t>CONCLUSION</w:t>
      </w:r>
      <w:r>
        <w:tab/>
      </w:r>
      <w:r w:rsidR="00A357E2">
        <w:fldChar w:fldCharType="begin"/>
      </w:r>
      <w:r>
        <w:instrText xml:space="preserve"> PAGEREF _Toc31517 \h </w:instrText>
      </w:r>
      <w:r w:rsidR="00A357E2">
        <w:fldChar w:fldCharType="separate"/>
      </w:r>
      <w:r>
        <w:t>6</w:t>
      </w:r>
      <w:r w:rsidR="00A357E2">
        <w:fldChar w:fldCharType="end"/>
      </w:r>
    </w:p>
    <w:p w:rsidR="00A357E2" w:rsidRDefault="00405002">
      <w:pPr>
        <w:pStyle w:val="TOC1"/>
      </w:pPr>
      <w:r>
        <w:t>REFERENCES</w:t>
      </w:r>
      <w:r>
        <w:tab/>
      </w:r>
      <w:r w:rsidR="00A357E2">
        <w:fldChar w:fldCharType="begin"/>
      </w:r>
      <w:r>
        <w:instrText xml:space="preserve"> PAGEREF _Toc27333 \h </w:instrText>
      </w:r>
      <w:r w:rsidR="00A357E2">
        <w:fldChar w:fldCharType="separate"/>
      </w:r>
      <w:r>
        <w:t>7</w:t>
      </w:r>
      <w:r w:rsidR="00A357E2">
        <w:fldChar w:fldCharType="end"/>
      </w:r>
    </w:p>
    <w:p w:rsidR="00A357E2" w:rsidRDefault="00A357E2">
      <w:pPr>
        <w:pStyle w:val="Heading2"/>
        <w:ind w:left="0" w:firstLine="0"/>
        <w:sectPr w:rsidR="00A357E2">
          <w:footnotePr>
            <w:pos w:val="beneathText"/>
          </w:footnotePr>
          <w:pgSz w:w="12240" w:h="15840"/>
          <w:pgMar w:top="1440" w:right="1440" w:bottom="1440" w:left="1440" w:header="720" w:footer="720" w:gutter="0"/>
          <w:cols w:space="720"/>
          <w:docGrid w:linePitch="600" w:charSpace="32768"/>
        </w:sectPr>
      </w:pPr>
      <w:r>
        <w:fldChar w:fldCharType="end"/>
      </w:r>
    </w:p>
    <w:p w:rsidR="00A357E2" w:rsidRDefault="00405002">
      <w:pPr>
        <w:pStyle w:val="Heading1"/>
      </w:pPr>
      <w:bookmarkStart w:id="0" w:name="_Toc6004"/>
      <w:r>
        <w:lastRenderedPageBreak/>
        <w:t>INTRODUCTION</w:t>
      </w:r>
      <w:bookmarkEnd w:id="0"/>
    </w:p>
    <w:p w:rsidR="00A357E2" w:rsidRDefault="00405002">
      <w:r>
        <w:tab/>
        <w:t>The facilitation and benefit of care for the elderly can advance their independence in self-care and general well-being. Care giver focus on the actions and behaviour that cause older people to become dependent and also support them to engage with their own health. Health care professional work with older people to encourage them towards self care and allow them  make an effective decision by their own</w:t>
      </w:r>
      <w:r>
        <w:rPr>
          <w:lang w:val="en-IN"/>
        </w:rPr>
        <w:t xml:space="preserve"> </w:t>
      </w:r>
      <w:r>
        <w:t>(Pana and et. al., 2022)</w:t>
      </w:r>
      <w:r>
        <w:rPr>
          <w:lang w:val="en-IN"/>
        </w:rPr>
        <w:t>.</w:t>
      </w:r>
      <w:r>
        <w:t xml:space="preserve">With the help of an effective care and support, older people become able to complete self care activities by their own and needs and they are under supervision </w:t>
      </w:r>
      <w:r>
        <w:rPr>
          <w:lang w:val="en-IN"/>
        </w:rPr>
        <w:t>of a</w:t>
      </w:r>
      <w:r>
        <w:t xml:space="preserve"> care </w:t>
      </w:r>
      <w:r>
        <w:rPr>
          <w:lang w:val="en-IN"/>
        </w:rPr>
        <w:t>provider</w:t>
      </w:r>
      <w:r>
        <w:t xml:space="preserve"> as </w:t>
      </w:r>
      <w:r>
        <w:rPr>
          <w:lang w:val="en-IN"/>
        </w:rPr>
        <w:t>maintain</w:t>
      </w:r>
      <w:r>
        <w:t xml:space="preserve"> independence and can provide them a </w:t>
      </w:r>
      <w:r>
        <w:rPr>
          <w:lang w:val="en-IN"/>
        </w:rPr>
        <w:t>sense of</w:t>
      </w:r>
      <w:r>
        <w:t xml:space="preserve"> accomplishment and the ability to maintain independence for longer. Care </w:t>
      </w:r>
      <w:r>
        <w:rPr>
          <w:lang w:val="en-IN"/>
        </w:rPr>
        <w:t>providers</w:t>
      </w:r>
      <w:r>
        <w:t xml:space="preserve"> keep track of the daily activities of the </w:t>
      </w:r>
      <w:r>
        <w:rPr>
          <w:lang w:val="en-IN"/>
        </w:rPr>
        <w:t>elderly,</w:t>
      </w:r>
      <w:r>
        <w:t xml:space="preserve"> which </w:t>
      </w:r>
      <w:r>
        <w:rPr>
          <w:lang w:val="en-IN"/>
        </w:rPr>
        <w:t>provides</w:t>
      </w:r>
      <w:r>
        <w:t xml:space="preserve"> the performance record and  decreases the level of dependency of older people. This report highlights the impact of loneliness on the elderly population,UK based policies for care of older people with another country</w:t>
      </w:r>
      <w:r>
        <w:rPr>
          <w:lang w:val="en-IN"/>
        </w:rPr>
        <w:t xml:space="preserve"> </w:t>
      </w:r>
      <w:r>
        <w:t>(Shannon Bail and Neville, 2019)</w:t>
      </w:r>
      <w:r>
        <w:rPr>
          <w:lang w:val="en-IN"/>
        </w:rPr>
        <w:t>.</w:t>
      </w:r>
      <w:r>
        <w:t xml:space="preserve"> Lastly, it also includes the change in programme aimed at addressing the problems of loneliness among the elderly. </w:t>
      </w:r>
    </w:p>
    <w:p w:rsidR="00A357E2" w:rsidRDefault="00405002">
      <w:pPr>
        <w:pStyle w:val="Heading1"/>
      </w:pPr>
      <w:bookmarkStart w:id="1" w:name="_Toc20601"/>
      <w:r>
        <w:t>MAIN BODY</w:t>
      </w:r>
      <w:bookmarkEnd w:id="1"/>
    </w:p>
    <w:p w:rsidR="00A357E2" w:rsidRDefault="00405002">
      <w:pPr>
        <w:pStyle w:val="Heading2"/>
      </w:pPr>
      <w:bookmarkStart w:id="2" w:name="_Toc21875"/>
      <w:r>
        <w:t xml:space="preserve">What it means to be elderly in the UK and </w:t>
      </w:r>
      <w:r>
        <w:rPr>
          <w:lang w:val="en-IN"/>
        </w:rPr>
        <w:t>Australia</w:t>
      </w:r>
      <w:bookmarkEnd w:id="2"/>
      <w:r>
        <w:tab/>
      </w:r>
    </w:p>
    <w:p w:rsidR="00A357E2" w:rsidRDefault="00405002">
      <w:pPr>
        <w:ind w:firstLine="720"/>
        <w:rPr>
          <w:lang w:val="en-IN"/>
        </w:rPr>
      </w:pPr>
      <w:r>
        <w:t>In the UK, being an elderly person is often associated with retirement, as the official retirement age is around 65-67 years, depending on the individual's birth year. Many seniors in the UK may enjoy their retirement years by taking part in leisure activities such as gardening, walking, or socializing with friends and family</w:t>
      </w:r>
      <w:r>
        <w:rPr>
          <w:lang w:val="en-IN"/>
        </w:rPr>
        <w:t xml:space="preserve">  </w:t>
      </w:r>
      <w:r>
        <w:t>(Yang and et. al., 2020)</w:t>
      </w:r>
      <w:r>
        <w:rPr>
          <w:lang w:val="en-IN"/>
        </w:rPr>
        <w:t>.</w:t>
      </w:r>
      <w:r>
        <w:t xml:space="preserve"> They may also access healthcare through the National Health Service (NHS), which provides free or subsidized healthcare to all UK citizens, including seniors. It is essential that older people are supported to make them healthy and independent as possible for as long as possible and they receive the highest quality care which can make improvement and promote the well-being of older people</w:t>
      </w:r>
      <w:r>
        <w:rPr>
          <w:lang w:val="en-IN"/>
        </w:rPr>
        <w:t>.</w:t>
      </w:r>
      <w:r>
        <w:t xml:space="preserve"> Health communities  and care </w:t>
      </w:r>
      <w:r>
        <w:rPr>
          <w:lang w:val="en-IN"/>
        </w:rPr>
        <w:t>providers</w:t>
      </w:r>
      <w:r>
        <w:t xml:space="preserve"> </w:t>
      </w:r>
      <w:r>
        <w:rPr>
          <w:lang w:val="en-IN"/>
        </w:rPr>
        <w:t>in the</w:t>
      </w:r>
      <w:r>
        <w:t xml:space="preserve"> UK </w:t>
      </w:r>
      <w:r>
        <w:rPr>
          <w:lang w:val="en-IN"/>
        </w:rPr>
        <w:t>support</w:t>
      </w:r>
      <w:r>
        <w:t xml:space="preserve"> public services to work together to support people  and identify the common health  </w:t>
      </w:r>
      <w:r>
        <w:rPr>
          <w:lang w:val="en-IN"/>
        </w:rPr>
        <w:t>issues</w:t>
      </w:r>
      <w:r>
        <w:t>. Being an elderly person, also known as a senior citizen or a senior, can vary in meaning and experience depending on the country and culture</w:t>
      </w:r>
      <w:r>
        <w:rPr>
          <w:lang w:val="en-IN"/>
        </w:rPr>
        <w:t xml:space="preserve"> </w:t>
      </w:r>
      <w:r>
        <w:t>(Hemberg,  Nyqvist and Näsman, 2019)</w:t>
      </w:r>
      <w:r>
        <w:rPr>
          <w:lang w:val="en-IN"/>
        </w:rPr>
        <w:t xml:space="preserve">. In Australia, being an elderly person is often referred to as a "senior" or "older person." Australia has an aging population, and seniors are generally respected and valued for their contributions to society. The retirement age in Australia </w:t>
      </w:r>
      <w:r>
        <w:rPr>
          <w:lang w:val="en-IN"/>
        </w:rPr>
        <w:lastRenderedPageBreak/>
        <w:t xml:space="preserve">is currently 67 years, although it may vary depending on the individual's birth year.  The UK and Australia may also face challenges such as social isolation, access to appropriate healthcare services, and financial concerns, particularly for those with limited financial resources or complex health needs. Similarities in terms of retirement age, access to healthcare, and social support programs for the elderly between the UK and Australia  </w:t>
      </w:r>
      <w:r>
        <w:t>(Salma and Salami, 2020)</w:t>
      </w:r>
      <w:r>
        <w:rPr>
          <w:lang w:val="en-IN"/>
        </w:rPr>
        <w:t>. There may also be cultural and country-specific differences in how seniors are perceived and the challenges they face.</w:t>
      </w:r>
    </w:p>
    <w:p w:rsidR="00A357E2" w:rsidRDefault="00405002">
      <w:pPr>
        <w:pStyle w:val="Heading2"/>
      </w:pPr>
      <w:bookmarkStart w:id="3" w:name="_Toc12120"/>
      <w:r>
        <w:t>Provide statistics on the ageing population and how these have changed in recent years.</w:t>
      </w:r>
      <w:bookmarkEnd w:id="3"/>
      <w:r>
        <w:t xml:space="preserve"> </w:t>
      </w:r>
    </w:p>
    <w:p w:rsidR="00A357E2" w:rsidRDefault="00405002">
      <w:pPr>
        <w:rPr>
          <w:lang w:val="en-IN"/>
        </w:rPr>
      </w:pPr>
      <w:r>
        <w:rPr>
          <w:lang w:val="en-IN"/>
        </w:rPr>
        <w:tab/>
        <w:t xml:space="preserve">The percentage of elderly people (65 and over) in the UK has been rising over time. The Office for National Statistics (ONS) estimates that 12.4 million people in the UK were 65 and over as of the middle of 2020, making up of 18.4% of the country's total population </w:t>
      </w:r>
      <w:r>
        <w:t>(Gyasi and et. al., 2021</w:t>
      </w:r>
      <w:r>
        <w:rPr>
          <w:lang w:val="en-IN"/>
        </w:rPr>
        <w:t>). One in four individuals in the UK will reportedly be 65 or older by 2043, according to estimates, and this trend is expected to continue (</w:t>
      </w:r>
      <w:r>
        <w:rPr>
          <w:i/>
          <w:iCs/>
          <w:lang w:val="en-IN"/>
        </w:rPr>
        <w:t>Forecasting the care needs of the older population in England over the next 20 years: estimates from the Population Ageing and Care Simulation (PACSim) modelling study</w:t>
      </w:r>
      <w:r>
        <w:rPr>
          <w:lang w:val="en-IN"/>
        </w:rPr>
        <w:t xml:space="preserve">, 2018).  In the UK, life expectancy, or the typical number of years one may expect to live, has been rising. Males' life expectancy at birth in 2019 was 79.4 years, while females' life expectancy at birth was 83.1 year, according to the ONS. Although there have been some recent tendencies of levelling out or even modest drops in life expectancy in some regions of the UK, this has usually been rising over the previous few decades. In the UK, there are now more persons over the age of 65 for every 100 people who are working-age (16 to 64), a statistic known as the old age dependence ratio  </w:t>
      </w:r>
      <w:r>
        <w:t>(Patel, Wardle and Parikh, 2019)</w:t>
      </w:r>
      <w:r>
        <w:rPr>
          <w:lang w:val="en-IN"/>
        </w:rPr>
        <w:t>. The ONS estimates that as of mid-2020, there were 33.8 people over 65 who could possibly use healthcare, social care, and other support services for every 100 people of working age.  These statistics highlight the current demographic changes and challenges associated with the aging population in the UK. As the proportion of elderly individuals continues to increase, it is important for policymakers, healthcare providers, and society at large to plan and prepare for the evolving needs of older adults, including healthcare, social care, and other support services.</w:t>
      </w:r>
    </w:p>
    <w:p w:rsidR="00A357E2" w:rsidRDefault="00405002">
      <w:pPr>
        <w:pStyle w:val="Heading2"/>
      </w:pPr>
      <w:r>
        <w:t xml:space="preserve"> </w:t>
      </w:r>
      <w:bookmarkStart w:id="4" w:name="_Toc15454"/>
      <w:r>
        <w:t xml:space="preserve">Explore the ideas related </w:t>
      </w:r>
      <w:r>
        <w:rPr>
          <w:lang w:val="en-IN"/>
        </w:rPr>
        <w:t>to</w:t>
      </w:r>
      <w:r>
        <w:t xml:space="preserve"> loneliness and isolation and explore the concepts associated with loneliness</w:t>
      </w:r>
      <w:bookmarkEnd w:id="4"/>
      <w:r>
        <w:rPr>
          <w:lang w:val="en-IN"/>
        </w:rPr>
        <w:t xml:space="preserve">. </w:t>
      </w:r>
    </w:p>
    <w:p w:rsidR="00A357E2" w:rsidRDefault="00405002">
      <w:pPr>
        <w:rPr>
          <w:lang w:val="en-IN"/>
        </w:rPr>
      </w:pPr>
      <w:r>
        <w:rPr>
          <w:lang w:val="en-IN"/>
        </w:rPr>
        <w:tab/>
        <w:t xml:space="preserve">Loneliness and isolation among older adults in the UK is a complex and multifaceted issue that has been widely studied in literature and social sciences. Several relevant theories can </w:t>
      </w:r>
      <w:r>
        <w:rPr>
          <w:lang w:val="en-IN"/>
        </w:rPr>
        <w:lastRenderedPageBreak/>
        <w:t>help us understand the concepts associated with loneliness among older people in the UK (</w:t>
      </w:r>
      <w:r>
        <w:rPr>
          <w:i/>
          <w:iCs/>
          <w:lang w:val="en-IN"/>
        </w:rPr>
        <w:t>Social Isolation’s Influence on Loneliness among Older Adults</w:t>
      </w:r>
      <w:r>
        <w:rPr>
          <w:lang w:val="en-IN"/>
        </w:rPr>
        <w:t xml:space="preserve">, 2019).  The complex and diverse topic of loneliness and isolation among older individuals in the UK has received extensive study in both literature and the social sciences </w:t>
      </w:r>
      <w:r>
        <w:t>(Henning-Smith and et. al., 2022)</w:t>
      </w:r>
      <w:r>
        <w:rPr>
          <w:lang w:val="en-IN"/>
        </w:rPr>
        <w:t xml:space="preserve">. There are some relevant theories </w:t>
      </w:r>
      <w:r>
        <w:t xml:space="preserve">of loneliness and isolation </w:t>
      </w:r>
      <w:r>
        <w:rPr>
          <w:lang w:val="en-IN"/>
        </w:rPr>
        <w:t>are mentioned below-</w:t>
      </w:r>
    </w:p>
    <w:p w:rsidR="00A357E2" w:rsidRDefault="00405002">
      <w:pPr>
        <w:numPr>
          <w:ilvl w:val="0"/>
          <w:numId w:val="2"/>
        </w:numPr>
        <w:tabs>
          <w:tab w:val="left" w:pos="420"/>
        </w:tabs>
        <w:rPr>
          <w:lang w:val="en-IN"/>
        </w:rPr>
      </w:pPr>
      <w:r>
        <w:rPr>
          <w:lang w:val="en-IN"/>
        </w:rPr>
        <w:t>The life course theory- The life-course approach places special emphasis on how an individual's experiences, changes, and social positions throughout their lifetime affect how lonely they feel. Feelings of loneliness and social isolation can be exacerbated for older people in the UK by life-course events like retirement, the death of a spouse or close friend, deteriorating health, and changes in social roles.</w:t>
      </w:r>
    </w:p>
    <w:p w:rsidR="00A357E2" w:rsidRDefault="00405002">
      <w:pPr>
        <w:numPr>
          <w:ilvl w:val="0"/>
          <w:numId w:val="2"/>
        </w:numPr>
        <w:tabs>
          <w:tab w:val="left" w:pos="420"/>
        </w:tabs>
        <w:rPr>
          <w:lang w:val="en-IN"/>
        </w:rPr>
      </w:pPr>
      <w:r>
        <w:rPr>
          <w:lang w:val="en-IN"/>
        </w:rPr>
        <w:t xml:space="preserve">Strengths-based Perspective: This perspective highlights the importance of identifying and building upon an individual's strengths, resources, and capabilities, rather than solely focusing on deficits or limitations </w:t>
      </w:r>
      <w:r>
        <w:t>(Lazzari and Rabottini, 2022)</w:t>
      </w:r>
      <w:r>
        <w:rPr>
          <w:lang w:val="en-IN"/>
        </w:rPr>
        <w:t>. Older people who are able to leverage their personal strengths, such as resilience, social skills, and coping strategies, may be more resilient to loneliness and better equipped to maintain social connections and social engagement.</w:t>
      </w:r>
    </w:p>
    <w:p w:rsidR="00A357E2" w:rsidRDefault="00405002">
      <w:pPr>
        <w:numPr>
          <w:ilvl w:val="0"/>
          <w:numId w:val="2"/>
        </w:numPr>
        <w:tabs>
          <w:tab w:val="left" w:pos="420"/>
        </w:tabs>
        <w:rPr>
          <w:lang w:val="en-IN"/>
        </w:rPr>
      </w:pPr>
      <w:r>
        <w:rPr>
          <w:lang w:val="en-IN"/>
        </w:rPr>
        <w:t xml:space="preserve">Socioemotional Selectivity Theory: According to the socioemotional selectivity theory, as people get older, they put less of an emphasis on social exploration and growth and instead concentrate more on achieving their emotional goals and preserving important social connections. </w:t>
      </w:r>
      <w:r>
        <w:t>(McCarthy and et. al., 2022)</w:t>
      </w:r>
      <w:r>
        <w:rPr>
          <w:lang w:val="en-IN"/>
        </w:rPr>
        <w:t xml:space="preserve">. </w:t>
      </w:r>
    </w:p>
    <w:p w:rsidR="00A357E2" w:rsidRDefault="00405002">
      <w:pPr>
        <w:ind w:firstLine="720"/>
        <w:rPr>
          <w:lang w:val="en-IN"/>
        </w:rPr>
      </w:pPr>
      <w:r>
        <w:rPr>
          <w:lang w:val="en-IN"/>
        </w:rPr>
        <w:t>These theories persistent important light on the complex and multifaceted nature of isolation and loneliness in older people. Understanding these beliefs can assist in guiding programme and tactics designed to combat loneliness while fostering social interaction and long-term well-being.</w:t>
      </w:r>
    </w:p>
    <w:p w:rsidR="00A357E2" w:rsidRDefault="00405002">
      <w:pPr>
        <w:pStyle w:val="Heading2"/>
      </w:pPr>
      <w:bookmarkStart w:id="5" w:name="_Toc1436"/>
      <w:r>
        <w:t>Discuss the impact of loneliness and isolation on an older person living within a care setting.</w:t>
      </w:r>
      <w:bookmarkEnd w:id="5"/>
    </w:p>
    <w:p w:rsidR="00A357E2" w:rsidRDefault="00405002">
      <w:pPr>
        <w:ind w:firstLine="720"/>
        <w:rPr>
          <w:lang w:val="en-IN"/>
        </w:rPr>
      </w:pPr>
      <w:r>
        <w:t>Loneliness and isolation can have a significant and complex effect on an elderly person living in a care facility. Older persons who may be experiencing physical or cognitive difficulties are intended to receive care and support in care settings like nursing homes, assisted living communities, or residential care homes</w:t>
      </w:r>
      <w:r>
        <w:rPr>
          <w:lang w:val="en-IN"/>
        </w:rPr>
        <w:t xml:space="preserve">  </w:t>
      </w:r>
      <w:r>
        <w:t>(Farhang and et. al., 2022)</w:t>
      </w:r>
      <w:r>
        <w:rPr>
          <w:lang w:val="en-IN"/>
        </w:rPr>
        <w:t xml:space="preserve">. </w:t>
      </w:r>
      <w:r>
        <w:t xml:space="preserve">Older people who move into a care environment may lose their independence and autonomy because they may need to rely on carers or adhere to facility policies and procedures. A feeling of social alienation and loneliness </w:t>
      </w:r>
      <w:r>
        <w:lastRenderedPageBreak/>
        <w:t>can result from this lack of control over one's day-to-day activities and decision-making.</w:t>
      </w:r>
      <w:r>
        <w:rPr>
          <w:lang w:val="en-IN"/>
        </w:rPr>
        <w:t xml:space="preserve"> In a care setting,</w:t>
      </w:r>
      <w:r>
        <w:t xml:space="preserve"> older adults may receive care that is standardized and not tailored to their individual needs, preferences, or interests. This lack of individualized care can result in a sense of depersonalization and disconnection from others, leading to feelings of loneliness and isolation.</w:t>
      </w:r>
      <w:r>
        <w:rPr>
          <w:lang w:val="en-IN"/>
        </w:rPr>
        <w:t xml:space="preserve"> Older adults living in care settings may also experience mental health issues, such as depression, anxiety, or cognitive decline, which can exacerbate feelings of loneliness and isolation </w:t>
      </w:r>
      <w:r>
        <w:t>(Azios and et. al., 2022)</w:t>
      </w:r>
      <w:r>
        <w:rPr>
          <w:lang w:val="en-IN"/>
        </w:rPr>
        <w:t>. Mental health issues can further impact an older person's ability to engage in social activities and connect with others, leading to a negative cycle of loneliness and isolation.</w:t>
      </w:r>
    </w:p>
    <w:p w:rsidR="00A357E2" w:rsidRDefault="00405002">
      <w:r>
        <w:rPr>
          <w:lang w:val="en-IN"/>
        </w:rPr>
        <w:t xml:space="preserve">The impact of loneliness and isolation on older adults living in care settings can have significant consequences on their overall well-being, including their mental health, physical health, and quality of life. It can also increase the risk of other health issues, such as cognitive decline, depression, and mortality. Therefore, it is important for care settings to prioritize the social and emotional well-being of older adults, and implement strategies to promote social engagement, meaningful connections, and individualized care to prevent or mitigate the negative effects of loneliness and isolation </w:t>
      </w:r>
      <w:r>
        <w:t>(Yap, Xu and Tan, 2021)</w:t>
      </w:r>
      <w:r>
        <w:rPr>
          <w:lang w:val="en-IN"/>
        </w:rPr>
        <w:t>. This may include providing opportunities for social interaction, maintaining connections with the wider community, promoting resident autonomy and independence, and addressing mental health needs of older adults in care settings.</w:t>
      </w:r>
    </w:p>
    <w:p w:rsidR="00A357E2" w:rsidRDefault="00405002">
      <w:pPr>
        <w:pStyle w:val="Heading2"/>
        <w:rPr>
          <w:lang w:val="en-IN"/>
        </w:rPr>
      </w:pPr>
      <w:bookmarkStart w:id="6" w:name="_Toc22435"/>
      <w:r>
        <w:rPr>
          <w:lang w:val="en-IN"/>
        </w:rPr>
        <w:t>Examine the laws and regulations currently in effect that are meant to prevent, raise awareness or minimise elderly isolation and loneliness.</w:t>
      </w:r>
      <w:bookmarkEnd w:id="6"/>
      <w:r>
        <w:rPr>
          <w:lang w:val="en-IN"/>
        </w:rPr>
        <w:t xml:space="preserve"> </w:t>
      </w:r>
    </w:p>
    <w:p w:rsidR="00A357E2" w:rsidRDefault="00405002">
      <w:pPr>
        <w:ind w:firstLine="720"/>
        <w:rPr>
          <w:lang w:val="en-IN"/>
        </w:rPr>
      </w:pPr>
      <w:r>
        <w:rPr>
          <w:lang w:val="en-IN"/>
        </w:rPr>
        <w:t>L</w:t>
      </w:r>
      <w:r>
        <w:t>egislation and policies in the UK that aim to raise awareness and reduce loneliness and isolation among the elderly population.</w:t>
      </w:r>
      <w:r>
        <w:rPr>
          <w:lang w:val="en-IN"/>
        </w:rPr>
        <w:t xml:space="preserve"> </w:t>
      </w:r>
      <w:r>
        <w:t xml:space="preserve">UK legislation with an emphasis on social care for people, particularly the elderly, is the Care Act 2014. In order to avoid or lessen loneliness and isolation among older individuals, local authorities must take action. Local governments are expected to evaluate people's requirements, including their social </w:t>
      </w:r>
      <w:r>
        <w:rPr>
          <w:lang w:val="en-IN"/>
        </w:rPr>
        <w:t>well-being</w:t>
      </w:r>
      <w:r>
        <w:t xml:space="preserve">, and to offer or make arrangements for </w:t>
      </w:r>
      <w:r>
        <w:rPr>
          <w:lang w:val="en-IN"/>
        </w:rPr>
        <w:t>programme</w:t>
      </w:r>
      <w:r>
        <w:t xml:space="preserve"> that can help senior citizens maintain their social networks and engage in their communities.</w:t>
      </w:r>
      <w:r>
        <w:rPr>
          <w:lang w:val="en-IN"/>
        </w:rPr>
        <w:t xml:space="preserve"> In 2018, the UK government launched the Loneliness Strategy, which is a cross-government initiative aimed at tackling loneliness and social isolation across all age groups, including the elderly </w:t>
      </w:r>
      <w:r>
        <w:t>(Jansson,  Karisto and Pitkälä, 2022)</w:t>
      </w:r>
      <w:r>
        <w:rPr>
          <w:lang w:val="en-IN"/>
        </w:rPr>
        <w:t>. The strategy includes measures to raise awareness about the negative impact of loneliness and isolation, and promotes community-based interventions, such as social prescribing and befriending services, to help older adults connect with others and reduce loneliness. The Campaign to End Loneliness is a UK-</w:t>
      </w:r>
      <w:r>
        <w:rPr>
          <w:lang w:val="en-IN"/>
        </w:rPr>
        <w:lastRenderedPageBreak/>
        <w:t>based charity that raises awareness about the issue of loneliness and social isolation among older adults, and advocates for policy changes and interventions to address the issue. The campaign works with policymakers, service providers, and communities to promote initiatives that help older adults maintain social connections and reduce loneliness, such as befriending schemes, community groups, and inter-generational programs.</w:t>
      </w:r>
    </w:p>
    <w:p w:rsidR="00A357E2" w:rsidRDefault="00405002">
      <w:pPr>
        <w:pStyle w:val="Heading2"/>
        <w:rPr>
          <w:lang w:val="en-IN"/>
        </w:rPr>
      </w:pPr>
      <w:bookmarkStart w:id="7" w:name="_Toc7228"/>
      <w:r>
        <w:rPr>
          <w:lang w:val="en-IN"/>
        </w:rPr>
        <w:t>Examine and compare the local, national, and international delivery of services for the elderly in  current initiatives and policies.</w:t>
      </w:r>
      <w:bookmarkEnd w:id="7"/>
    </w:p>
    <w:p w:rsidR="00A357E2" w:rsidRDefault="00405002">
      <w:pPr>
        <w:ind w:firstLine="720"/>
        <w:rPr>
          <w:lang w:val="en-IN"/>
        </w:rPr>
      </w:pPr>
      <w:r>
        <w:rPr>
          <w:lang w:val="en-IN"/>
        </w:rPr>
        <w:t xml:space="preserve">In both the UK and Australia, local delivery of services for the elderly is typically managed by local governments and communities. These services may include home care, community-based services, and support programs that cater to the specific needs of the elderly population in a particular locality. Local delivery of services often involves close collaboration with local service providers, non-profit organizations, and community groups to ensure that elderly individuals receive appropriate care and support tailored to their needs. In the UK, the National Health Service (NHS) is the primary national provider of healthcare services, including services for the elderly  </w:t>
      </w:r>
      <w:r>
        <w:t>(Abelsen and et. al., 2021)</w:t>
      </w:r>
      <w:r>
        <w:rPr>
          <w:lang w:val="en-IN"/>
        </w:rPr>
        <w:t>.</w:t>
      </w:r>
    </w:p>
    <w:p w:rsidR="00A357E2" w:rsidRDefault="00405002">
      <w:pPr>
        <w:ind w:firstLine="720"/>
        <w:rPr>
          <w:lang w:val="en-IN"/>
        </w:rPr>
      </w:pPr>
      <w:r>
        <w:rPr>
          <w:lang w:val="en-IN"/>
        </w:rPr>
        <w:t>The NHS provides a wide range of services for the elderly, such as hospital care, primary care, and specialized care for conditions such as dementia and frailty. The UK government also has policies in place to provide financial support to elderly individuals through programs such as pensions and social care funding. The delivery of services for the elderly in the UK and Australia, there are also some differences. In the UK, the NHS plays a more prominent role as the primary national provider of healthcare services, whereas in Australia, the government oversees the regulation and funding of aged care services through specialized agencies. Additionally, the UK has specific legislation, such as the Care Act 2014, that sets out legal requirements for social care services, which is not replicated in Australia. However, both countries have implemented initiatives and policies to improve the quality of care and support for the elderly,</w:t>
      </w:r>
    </w:p>
    <w:p w:rsidR="00A357E2" w:rsidRDefault="00405002">
      <w:pPr>
        <w:pStyle w:val="Heading2"/>
      </w:pPr>
      <w:bookmarkStart w:id="8" w:name="_Toc4755"/>
      <w:r>
        <w:t xml:space="preserve">Examine how the care of the elderly might develop in the future; Examine the potential </w:t>
      </w:r>
      <w:r>
        <w:rPr>
          <w:lang w:val="en-IN"/>
        </w:rPr>
        <w:t>changes to</w:t>
      </w:r>
      <w:r>
        <w:t xml:space="preserve"> initiatives designed to address the issue of loneliness among the elderly. </w:t>
      </w:r>
      <w:r>
        <w:rPr>
          <w:lang w:val="en-IN"/>
        </w:rPr>
        <w:t>H</w:t>
      </w:r>
      <w:r>
        <w:t>ow technology could be used to provide care for elderly people</w:t>
      </w:r>
      <w:bookmarkEnd w:id="8"/>
    </w:p>
    <w:p w:rsidR="00A357E2" w:rsidRDefault="00405002">
      <w:pPr>
        <w:ind w:firstLine="720"/>
        <w:rPr>
          <w:lang w:val="en-IN"/>
        </w:rPr>
      </w:pPr>
      <w:r>
        <w:t xml:space="preserve">The prospective future of care for the elderly will likely be shaped by several factors, including demographic shifts, technological advancements, changing social attitudes, and </w:t>
      </w:r>
      <w:r>
        <w:lastRenderedPageBreak/>
        <w:t>evolving policies and initiatives. As the global population continues to age, there will be an increasing demand for innovative approaches to address the unique needs and challenges faced by older individuals, including the issue of loneliness.</w:t>
      </w:r>
      <w:r>
        <w:rPr>
          <w:lang w:val="en-IN"/>
        </w:rPr>
        <w:t xml:space="preserve">  Person-centered care approaches could help address loneliness among the elderly </w:t>
      </w:r>
      <w:r>
        <w:t>(Menghi, Papetti and Germani, 2019)</w:t>
      </w:r>
      <w:r>
        <w:rPr>
          <w:lang w:val="en-IN"/>
        </w:rPr>
        <w:t xml:space="preserve">. </w:t>
      </w:r>
    </w:p>
    <w:p w:rsidR="00A357E2" w:rsidRDefault="00405002">
      <w:pPr>
        <w:rPr>
          <w:lang w:val="en-IN"/>
        </w:rPr>
      </w:pPr>
      <w:r>
        <w:rPr>
          <w:lang w:val="en-IN"/>
        </w:rPr>
        <w:t xml:space="preserve"> This involves recognizing the unique preferences, needs, and interests of each individual and tailoring care plans accordingly. Programs that focus on building and strengthening community connections for the elderly can be effective in addressing loneliness. Community-based initiatives such as social clubs, senior centers, inter-generational programs, and volunteer opportunities can provide opportunities for social interaction, engagement, and mutual support (</w:t>
      </w:r>
      <w:r>
        <w:t>Banbury</w:t>
      </w:r>
      <w:r>
        <w:rPr>
          <w:lang w:val="en-IN"/>
        </w:rPr>
        <w:t xml:space="preserve"> and et. al., </w:t>
      </w:r>
      <w:r>
        <w:t>2020</w:t>
      </w:r>
      <w:r>
        <w:rPr>
          <w:lang w:val="en-IN"/>
        </w:rPr>
        <w:t>). Collaborations with local community organizations, businesses, and schools can also help create inclusive and age-friendly communities that promote social inclusion for older individuals.  Technology can be applied in various ways to provide care and address loneliness among older individuals. Virtual communication tools, telehealth and telecare services, social media and online communities and training and education programs can all contribute to promoting social connections, engagement, and well-being among lonely older persons  (</w:t>
      </w:r>
      <w:r>
        <w:t>Yang and Duncan, 2021</w:t>
      </w:r>
      <w:r>
        <w:rPr>
          <w:lang w:val="en-IN"/>
        </w:rPr>
        <w:t xml:space="preserve">).  </w:t>
      </w:r>
    </w:p>
    <w:p w:rsidR="00A357E2" w:rsidRDefault="00405002">
      <w:pPr>
        <w:pStyle w:val="Heading1"/>
      </w:pPr>
      <w:bookmarkStart w:id="9" w:name="_Toc18072"/>
      <w:r>
        <w:t>Recommendations</w:t>
      </w:r>
      <w:bookmarkEnd w:id="9"/>
    </w:p>
    <w:p w:rsidR="00A357E2" w:rsidRDefault="00405002">
      <w:pPr>
        <w:rPr>
          <w:lang w:val="en-IN"/>
        </w:rPr>
      </w:pPr>
      <w:r>
        <w:rPr>
          <w:lang w:val="en-IN"/>
        </w:rPr>
        <w:tab/>
        <w:t>It is recommended to make improvements in programme aimed at addressing the problem of loneliness among the elderly  by a  person-centered approach that takes into consideration the unique needs, preferences, and interests of each individual. Intergenerational programs that promote interaction between older adults and younger generations can also be effective in addressing loneliness among the elderly  (</w:t>
      </w:r>
      <w:r>
        <w:t>Meshi, Cotten and Bender,  2020</w:t>
      </w:r>
      <w:r>
        <w:rPr>
          <w:lang w:val="en-IN"/>
        </w:rPr>
        <w:t xml:space="preserve">). Technology can play a crucial role in addressing loneliness among the elderly, such as telehealth and telecare solutions can provide remote access to healthcare services and enable virtual social interactions, reducing social isolation. </w:t>
      </w:r>
    </w:p>
    <w:p w:rsidR="00A357E2" w:rsidRDefault="00405002">
      <w:pPr>
        <w:pStyle w:val="Heading1"/>
      </w:pPr>
      <w:bookmarkStart w:id="10" w:name="_Toc31517"/>
      <w:r>
        <w:t>CONCLUSION</w:t>
      </w:r>
      <w:bookmarkEnd w:id="10"/>
    </w:p>
    <w:p w:rsidR="00A357E2" w:rsidRDefault="00405002">
      <w:pPr>
        <w:rPr>
          <w:lang w:val="en-IN"/>
        </w:rPr>
      </w:pPr>
      <w:r>
        <w:rPr>
          <w:lang w:val="en-IN"/>
        </w:rPr>
        <w:tab/>
        <w:t xml:space="preserve">From the above discussion, it is concluded that the UK considers that people aged </w:t>
      </w:r>
      <w:r>
        <w:t xml:space="preserve"> 65-67 years</w:t>
      </w:r>
      <w:r>
        <w:rPr>
          <w:lang w:val="en-IN"/>
        </w:rPr>
        <w:t xml:space="preserve"> are elderly and they need support and care to seek a better lifestyle. Retirement age, healthcare access, and elderly social support programme in the UK and Australia. The Care Act 2014 set out  the rules for adult social care in England. It emphasises how crucial it is to </w:t>
      </w:r>
      <w:r>
        <w:rPr>
          <w:lang w:val="en-IN"/>
        </w:rPr>
        <w:lastRenderedPageBreak/>
        <w:t>safeguard older people’s well-being and avoid social isolation and loneliness. Person-centered care emphasizes building meaningful relationships, promoting autonomy, and fostering a sense of purpose and belonging, which can help combat loneliness.</w:t>
      </w:r>
    </w:p>
    <w:p w:rsidR="00A357E2" w:rsidRDefault="00405002">
      <w:pPr>
        <w:pStyle w:val="Heading1"/>
        <w:pageBreakBefore/>
        <w:rPr>
          <w:u w:val="single"/>
        </w:rPr>
      </w:pPr>
      <w:bookmarkStart w:id="11" w:name="_Toc27333"/>
      <w:r>
        <w:lastRenderedPageBreak/>
        <w:t>REFERENCES</w:t>
      </w:r>
      <w:bookmarkEnd w:id="11"/>
      <w:r>
        <w:t xml:space="preserve"> </w:t>
      </w:r>
    </w:p>
    <w:p w:rsidR="00A357E2" w:rsidRDefault="00405002">
      <w:r>
        <w:rPr>
          <w:u w:val="single"/>
        </w:rPr>
        <w:t xml:space="preserve">Books and Journals </w:t>
      </w:r>
    </w:p>
    <w:p w:rsidR="00A357E2" w:rsidRDefault="00405002">
      <w:pPr>
        <w:spacing w:line="240" w:lineRule="auto"/>
        <w:ind w:left="832" w:hanging="805"/>
      </w:pPr>
      <w:r>
        <w:t xml:space="preserve">Abelsen, S.N., Vatne, S.H., Mikalef, P. and Choudrie, J., 2021. Digital working during the COVID-19 pandemic: how task–technology fit improves work performance and lessens feelings of loneliness. </w:t>
      </w:r>
      <w:r>
        <w:rPr>
          <w:i/>
        </w:rPr>
        <w:t>Information Technology &amp; People</w:t>
      </w:r>
      <w:r>
        <w:t>, (ahead-of-print).</w:t>
      </w:r>
    </w:p>
    <w:p w:rsidR="00A357E2" w:rsidRDefault="00405002">
      <w:pPr>
        <w:spacing w:line="240" w:lineRule="auto"/>
        <w:ind w:left="832" w:hanging="805"/>
      </w:pPr>
      <w:r>
        <w:t xml:space="preserve">Azios, J.H., Strong, K.A., Archer, B., Douglas, N.F., Simmons-Mackie, N. and Worrall, L., 2022. Friendship matters: A research agenda for aphasia. </w:t>
      </w:r>
      <w:r>
        <w:rPr>
          <w:i/>
        </w:rPr>
        <w:t>Aphasiology</w:t>
      </w:r>
      <w:r>
        <w:t xml:space="preserve">, </w:t>
      </w:r>
      <w:r>
        <w:rPr>
          <w:i/>
        </w:rPr>
        <w:t>36</w:t>
      </w:r>
      <w:r>
        <w:t>(3), pp.317-336.</w:t>
      </w:r>
    </w:p>
    <w:p w:rsidR="00A357E2" w:rsidRDefault="00405002">
      <w:pPr>
        <w:spacing w:line="240" w:lineRule="auto"/>
        <w:ind w:left="832" w:hanging="805"/>
      </w:pPr>
      <w:r>
        <w:t>Banbury, A., Nancarrow, S., Dart, J., Gray, L., Dodson, S., Osborne, R. and Parkinson, L., 2020. Adding value to remote monitoring: Co-design of a health literacy intervention for older people with chronic disease delivered by telehealth-The telehealth literacy project. Patient education and counseling, 103(3), pp.597-606.</w:t>
      </w:r>
    </w:p>
    <w:p w:rsidR="00A357E2" w:rsidRDefault="00405002">
      <w:pPr>
        <w:spacing w:line="240" w:lineRule="auto"/>
        <w:ind w:left="832" w:hanging="805"/>
      </w:pPr>
      <w:r>
        <w:t xml:space="preserve">Farhang, M., Miranda-Castillo, C., Behrens, M.I., Castillo, E., Mosquera Amar, S. and Rojas, G., 2022. Impact of social isolation and coping strategies in older adults with mild cognitive impairment during the covid-19 pandemic: A qualitative study. </w:t>
      </w:r>
      <w:r>
        <w:rPr>
          <w:i/>
        </w:rPr>
        <w:t>Aging &amp; Mental Health</w:t>
      </w:r>
      <w:r>
        <w:t xml:space="preserve">, </w:t>
      </w:r>
      <w:r>
        <w:rPr>
          <w:i/>
        </w:rPr>
        <w:t>26</w:t>
      </w:r>
      <w:r>
        <w:t>(7), pp.1395-1416.</w:t>
      </w:r>
    </w:p>
    <w:p w:rsidR="00A357E2" w:rsidRDefault="00405002">
      <w:pPr>
        <w:spacing w:line="240" w:lineRule="auto"/>
        <w:ind w:left="832" w:hanging="805"/>
      </w:pPr>
      <w:r>
        <w:t xml:space="preserve">Gyasi, R.M., Phillips, D.R., Asante, F. and Boateng, S., 2021. Physical activity and predictors of loneliness in community-dwelling older adults: The role of social connectedness. </w:t>
      </w:r>
      <w:r>
        <w:rPr>
          <w:i/>
        </w:rPr>
        <w:t>Geriatric nursing</w:t>
      </w:r>
      <w:r>
        <w:t xml:space="preserve">, </w:t>
      </w:r>
      <w:r>
        <w:rPr>
          <w:i/>
        </w:rPr>
        <w:t>42</w:t>
      </w:r>
      <w:r>
        <w:t>(2), pp.592-598.</w:t>
      </w:r>
    </w:p>
    <w:p w:rsidR="00A357E2" w:rsidRDefault="00405002">
      <w:pPr>
        <w:spacing w:line="240" w:lineRule="auto"/>
        <w:ind w:left="832" w:hanging="805"/>
      </w:pPr>
      <w:r>
        <w:t xml:space="preserve">Hemberg, J., Nyqvist, F. and Näsman, M., 2019. “Homeless in life”–loneliness experienced as existential suffering by older adults living at home: A caring science perspective. </w:t>
      </w:r>
      <w:r>
        <w:rPr>
          <w:i/>
        </w:rPr>
        <w:t>Scandinavian Journal of Caring Sciences</w:t>
      </w:r>
      <w:r>
        <w:t xml:space="preserve">, </w:t>
      </w:r>
      <w:r>
        <w:rPr>
          <w:i/>
        </w:rPr>
        <w:t>33</w:t>
      </w:r>
      <w:r>
        <w:t>(2), pp.446-456.</w:t>
      </w:r>
    </w:p>
    <w:p w:rsidR="00A357E2" w:rsidRDefault="00405002">
      <w:pPr>
        <w:spacing w:line="240" w:lineRule="auto"/>
        <w:ind w:left="832" w:hanging="805"/>
      </w:pPr>
      <w:r>
        <w:t xml:space="preserve">Henning-Smith, C., Alberth, A., Bjornestad, A., Becot, F. and Inwood, S., 2022. Farmer mental health in the US Midwest: key informant perspectives. </w:t>
      </w:r>
      <w:r>
        <w:rPr>
          <w:i/>
        </w:rPr>
        <w:t>Journal of agromedicine</w:t>
      </w:r>
      <w:r>
        <w:t xml:space="preserve">, </w:t>
      </w:r>
      <w:r>
        <w:rPr>
          <w:i/>
        </w:rPr>
        <w:t>27</w:t>
      </w:r>
      <w:r>
        <w:t>(1), pp.15-24.</w:t>
      </w:r>
    </w:p>
    <w:p w:rsidR="00A357E2" w:rsidRDefault="00405002">
      <w:pPr>
        <w:spacing w:line="240" w:lineRule="auto"/>
        <w:ind w:left="832" w:hanging="805"/>
      </w:pPr>
      <w:r>
        <w:t xml:space="preserve">Jansson, A.H., Karisto, A. and Pitkälä, K.H., 2022. Listening to the voice of older people: dimensions of loneliness in long-term care facilities. </w:t>
      </w:r>
      <w:r>
        <w:rPr>
          <w:i/>
        </w:rPr>
        <w:t>Ageing &amp; Society</w:t>
      </w:r>
      <w:r>
        <w:t>, pp.1-18.</w:t>
      </w:r>
    </w:p>
    <w:p w:rsidR="00A357E2" w:rsidRDefault="00405002">
      <w:pPr>
        <w:spacing w:line="240" w:lineRule="auto"/>
        <w:ind w:left="832" w:hanging="805"/>
      </w:pPr>
      <w:r>
        <w:t xml:space="preserve">Lazzari, C. and Rabottini, M., 2022. COVID-19, loneliness, social isolation and risk of dementia in older people: a systematic review and meta-analysis of the relevant literature. </w:t>
      </w:r>
      <w:r>
        <w:rPr>
          <w:i/>
        </w:rPr>
        <w:t>International Journal of Psychiatry in Clinical Practice</w:t>
      </w:r>
      <w:r>
        <w:t xml:space="preserve">, </w:t>
      </w:r>
      <w:r>
        <w:rPr>
          <w:i/>
        </w:rPr>
        <w:t>26</w:t>
      </w:r>
      <w:r>
        <w:t>(2), pp.196-207.</w:t>
      </w:r>
    </w:p>
    <w:p w:rsidR="00A357E2" w:rsidRDefault="00405002">
      <w:pPr>
        <w:spacing w:line="240" w:lineRule="auto"/>
        <w:ind w:left="832" w:hanging="805"/>
      </w:pPr>
      <w:r>
        <w:t xml:space="preserve">McCarthy, S., Pitt, H., Bellringer, M.E. and Thomas, S.L., 2022. Electronic gambling machine harm in older women: a public health determinants perspective. </w:t>
      </w:r>
      <w:r>
        <w:rPr>
          <w:i/>
        </w:rPr>
        <w:t>Addiction Research &amp; Theory</w:t>
      </w:r>
      <w:r>
        <w:t xml:space="preserve">, </w:t>
      </w:r>
      <w:r>
        <w:rPr>
          <w:i/>
        </w:rPr>
        <w:t>30</w:t>
      </w:r>
      <w:r>
        <w:t>(1), pp.41-50.</w:t>
      </w:r>
    </w:p>
    <w:p w:rsidR="00A357E2" w:rsidRDefault="00405002">
      <w:pPr>
        <w:spacing w:line="240" w:lineRule="auto"/>
        <w:ind w:left="832" w:hanging="805"/>
      </w:pPr>
      <w:r>
        <w:t xml:space="preserve">Menghi, R., Papetti, A. and Germani, M., 2019. Product Service Platform to improve care systems for elderly living at home. </w:t>
      </w:r>
      <w:r>
        <w:rPr>
          <w:i/>
        </w:rPr>
        <w:t>Health Policy and Technology</w:t>
      </w:r>
      <w:r>
        <w:t xml:space="preserve">, </w:t>
      </w:r>
      <w:r>
        <w:rPr>
          <w:i/>
        </w:rPr>
        <w:t>8</w:t>
      </w:r>
      <w:r>
        <w:t>(4), pp.393-401.</w:t>
      </w:r>
    </w:p>
    <w:p w:rsidR="00A357E2" w:rsidRDefault="00405002">
      <w:pPr>
        <w:spacing w:line="240" w:lineRule="auto"/>
        <w:ind w:left="832" w:hanging="805"/>
      </w:pPr>
      <w:r>
        <w:t>Meshi, D., Cotten, S.R. and Bender, A.R., 2020. Problematic social media use and perceived social isolation in older adults: a cross-sectional study. Gerontology, 66(2), pp.160-168.</w:t>
      </w:r>
    </w:p>
    <w:p w:rsidR="00A357E2" w:rsidRDefault="00405002">
      <w:pPr>
        <w:spacing w:line="240" w:lineRule="auto"/>
        <w:ind w:left="832" w:hanging="805"/>
      </w:pPr>
      <w:r>
        <w:t xml:space="preserve">Pana, A., Sourtzi, P., Kalokairinou, A. and Velonaki, V.S., 2022. Sarcopenia and polypharmacy among older adults: A scoping review of the literature. </w:t>
      </w:r>
      <w:r>
        <w:rPr>
          <w:i/>
        </w:rPr>
        <w:t>Archives of Gerontology and Geriatrics</w:t>
      </w:r>
      <w:r>
        <w:t xml:space="preserve">, </w:t>
      </w:r>
      <w:r>
        <w:rPr>
          <w:i/>
        </w:rPr>
        <w:t>98</w:t>
      </w:r>
      <w:r>
        <w:t>, p.104520.</w:t>
      </w:r>
    </w:p>
    <w:p w:rsidR="00A357E2" w:rsidRDefault="00405002">
      <w:pPr>
        <w:spacing w:line="240" w:lineRule="auto"/>
        <w:ind w:left="832" w:hanging="805"/>
      </w:pPr>
      <w:r>
        <w:t xml:space="preserve">Patel, R.S., Wardle, K. and Parikh, R.J., 2019. Loneliness: the present and the future. </w:t>
      </w:r>
      <w:r>
        <w:rPr>
          <w:i/>
        </w:rPr>
        <w:t>Age and ageing</w:t>
      </w:r>
      <w:r>
        <w:t xml:space="preserve">, </w:t>
      </w:r>
      <w:r>
        <w:rPr>
          <w:i/>
        </w:rPr>
        <w:t>48</w:t>
      </w:r>
      <w:r>
        <w:t>(4), pp.476-477.</w:t>
      </w:r>
    </w:p>
    <w:p w:rsidR="00A357E2" w:rsidRDefault="00405002">
      <w:pPr>
        <w:spacing w:line="240" w:lineRule="auto"/>
        <w:ind w:left="832" w:hanging="805"/>
      </w:pPr>
      <w:r>
        <w:t xml:space="preserve">Salma, J. and Salami, B., 2020. “Growing old is not for the weak of heart”: Social isolation and loneliness in Muslim immigrant older adults in Canada. </w:t>
      </w:r>
      <w:r>
        <w:rPr>
          <w:i/>
        </w:rPr>
        <w:t>Health &amp; Social Care in the Community</w:t>
      </w:r>
      <w:r>
        <w:t xml:space="preserve">, </w:t>
      </w:r>
      <w:r>
        <w:rPr>
          <w:i/>
        </w:rPr>
        <w:t>28</w:t>
      </w:r>
      <w:r>
        <w:t>(2), pp.615-623.</w:t>
      </w:r>
    </w:p>
    <w:p w:rsidR="00A357E2" w:rsidRDefault="00405002">
      <w:pPr>
        <w:spacing w:line="240" w:lineRule="auto"/>
        <w:ind w:left="832" w:hanging="805"/>
      </w:pPr>
      <w:r>
        <w:lastRenderedPageBreak/>
        <w:t xml:space="preserve">Shannon, K., Bail, K. and Neville, S., 2019. Dementia‐friendly community initiatives: An integrative review. </w:t>
      </w:r>
      <w:r>
        <w:rPr>
          <w:i/>
        </w:rPr>
        <w:t>Journal of Clinical Nursing</w:t>
      </w:r>
      <w:r>
        <w:t xml:space="preserve">, </w:t>
      </w:r>
      <w:r>
        <w:rPr>
          <w:i/>
        </w:rPr>
        <w:t>28</w:t>
      </w:r>
      <w:r>
        <w:t>(11-12), pp.2035-2045.</w:t>
      </w:r>
    </w:p>
    <w:p w:rsidR="00A357E2" w:rsidRDefault="00405002">
      <w:pPr>
        <w:spacing w:line="240" w:lineRule="auto"/>
        <w:ind w:left="832" w:hanging="805"/>
      </w:pPr>
      <w:r>
        <w:t xml:space="preserve">Yang, R., Wang, H., Edelman, L.S., Tracy, E.L., Demiris, G., Sward, K.A. and Donaldson, G.W., 2020. Loneliness as a mediator of the impact of social isolation on cognitive functioning of Chinese older adults. </w:t>
      </w:r>
      <w:r>
        <w:rPr>
          <w:i/>
        </w:rPr>
        <w:t>Age and Ageing</w:t>
      </w:r>
      <w:r>
        <w:t xml:space="preserve">, </w:t>
      </w:r>
      <w:r>
        <w:rPr>
          <w:i/>
        </w:rPr>
        <w:t>49</w:t>
      </w:r>
      <w:r>
        <w:t>(4), pp.599-604.</w:t>
      </w:r>
    </w:p>
    <w:p w:rsidR="00A357E2" w:rsidRDefault="00405002">
      <w:pPr>
        <w:spacing w:line="240" w:lineRule="auto"/>
        <w:ind w:left="832" w:hanging="805"/>
      </w:pPr>
      <w:r>
        <w:t>Yang, T. and Duncan, T.V., 2021. Challenges and potential solutions for nanosensors intended for use with foods. Nature nanotechnology, 16(3), pp.251-265.</w:t>
      </w:r>
    </w:p>
    <w:p w:rsidR="00A357E2" w:rsidRDefault="00405002">
      <w:pPr>
        <w:spacing w:line="240" w:lineRule="auto"/>
        <w:ind w:left="832" w:hanging="805"/>
      </w:pPr>
      <w:r>
        <w:t xml:space="preserve">Yap, S.F., Xu, Y. and Tan, L., 2021. Coping with crisis: The paradox of technology and consumer vulnerability. </w:t>
      </w:r>
      <w:r>
        <w:rPr>
          <w:i/>
        </w:rPr>
        <w:t>International Journal of Consumer Studies</w:t>
      </w:r>
      <w:r>
        <w:t xml:space="preserve">, </w:t>
      </w:r>
      <w:r>
        <w:rPr>
          <w:i/>
        </w:rPr>
        <w:t>45</w:t>
      </w:r>
      <w:r>
        <w:t>(6), pp.1239-1257.</w:t>
      </w:r>
    </w:p>
    <w:p w:rsidR="00A357E2" w:rsidRDefault="00405002">
      <w:pPr>
        <w:rPr>
          <w:lang w:val="en-IN"/>
        </w:rPr>
      </w:pPr>
      <w:r>
        <w:rPr>
          <w:lang w:val="en-IN"/>
        </w:rPr>
        <w:t>Online-</w:t>
      </w:r>
    </w:p>
    <w:p w:rsidR="00A357E2" w:rsidRDefault="00405002" w:rsidP="001709EA">
      <w:pPr>
        <w:spacing w:line="240" w:lineRule="auto"/>
        <w:ind w:left="797" w:hangingChars="332" w:hanging="797"/>
        <w:rPr>
          <w:lang w:val="en-IN"/>
        </w:rPr>
      </w:pPr>
      <w:r>
        <w:rPr>
          <w:i/>
          <w:iCs/>
          <w:lang w:val="en-IN"/>
        </w:rPr>
        <w:t>Social Isolation’s Influence on Loneliness among Older Adults</w:t>
      </w:r>
      <w:r>
        <w:rPr>
          <w:lang w:val="en-IN"/>
        </w:rPr>
        <w:t>, 2019 [Online ] Available through &lt;https://www.ncbi.nlm.nih.gov/pmc/articles/PMC7747874/&gt;</w:t>
      </w:r>
    </w:p>
    <w:p w:rsidR="00A357E2" w:rsidRDefault="00405002">
      <w:pPr>
        <w:spacing w:line="240" w:lineRule="auto"/>
        <w:ind w:left="799" w:hangingChars="333" w:hanging="799"/>
        <w:rPr>
          <w:lang w:val="en-IN"/>
        </w:rPr>
      </w:pPr>
      <w:r>
        <w:rPr>
          <w:i/>
          <w:iCs/>
          <w:lang w:val="en-IN"/>
        </w:rPr>
        <w:t>Forecasting the care needs of the older population in England over the next 20 years: estimates from the Population Ageing and Care Simulation (PACSim) modelling study</w:t>
      </w:r>
      <w:r>
        <w:rPr>
          <w:lang w:val="en-IN"/>
        </w:rPr>
        <w:t>, 2018  [Online] Available through &lt;https://www.ncbi.nlm.nih.gov/pmc/articles/PMC6123499/&gt;</w:t>
      </w:r>
    </w:p>
    <w:p w:rsidR="00A357E2" w:rsidRDefault="00A357E2"/>
    <w:p w:rsidR="00A357E2" w:rsidRDefault="00A357E2"/>
    <w:p w:rsidR="00A357E2" w:rsidRDefault="00A357E2"/>
    <w:p w:rsidR="00A357E2" w:rsidRDefault="00A357E2"/>
    <w:p w:rsidR="00A357E2" w:rsidRDefault="00A357E2">
      <w:pPr>
        <w:spacing w:line="240" w:lineRule="auto"/>
      </w:pPr>
    </w:p>
    <w:p w:rsidR="00A357E2" w:rsidRDefault="00A357E2">
      <w:pPr>
        <w:pStyle w:val="Heading1"/>
        <w:jc w:val="center"/>
        <w:rPr>
          <w:sz w:val="44"/>
          <w:szCs w:val="44"/>
        </w:rPr>
      </w:pPr>
    </w:p>
    <w:p w:rsidR="00A357E2" w:rsidRDefault="00A357E2">
      <w:pPr>
        <w:pStyle w:val="Heading1"/>
        <w:jc w:val="center"/>
        <w:rPr>
          <w:sz w:val="44"/>
          <w:szCs w:val="44"/>
        </w:rPr>
      </w:pPr>
      <w:bookmarkStart w:id="12" w:name="__RefHeading__34751_973807481"/>
      <w:bookmarkEnd w:id="12"/>
    </w:p>
    <w:p w:rsidR="00A357E2" w:rsidRDefault="00A357E2">
      <w:pPr>
        <w:pStyle w:val="Heading1"/>
        <w:jc w:val="center"/>
        <w:rPr>
          <w:b w:val="0"/>
          <w:color w:val="222222"/>
          <w:sz w:val="24"/>
          <w:szCs w:val="24"/>
          <w:shd w:val="clear" w:color="auto" w:fill="FFFFFF"/>
        </w:rPr>
      </w:pPr>
    </w:p>
    <w:p w:rsidR="00405002" w:rsidRDefault="00405002">
      <w:pPr>
        <w:spacing w:line="100" w:lineRule="atLeast"/>
        <w:ind w:left="845" w:hanging="845"/>
      </w:pPr>
    </w:p>
    <w:sectPr w:rsidR="00405002" w:rsidSect="00A357E2">
      <w:footerReference w:type="default" r:id="rId7"/>
      <w:footnotePr>
        <w:pos w:val="beneathText"/>
      </w:footnotePr>
      <w:pgSz w:w="12240" w:h="15840"/>
      <w:pgMar w:top="1440" w:right="1440" w:bottom="1440" w:left="1432" w:header="720" w:footer="720" w:gutter="0"/>
      <w:pgNumType w:start="1"/>
      <w:cols w:space="720"/>
      <w:docGrid w:linePitch="600" w:charSpace="3276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43070" w:rsidRDefault="00243070">
      <w:pPr>
        <w:spacing w:line="240" w:lineRule="auto"/>
      </w:pPr>
      <w:r>
        <w:separator/>
      </w:r>
    </w:p>
  </w:endnote>
  <w:endnote w:type="continuationSeparator" w:id="1">
    <w:p w:rsidR="00243070" w:rsidRDefault="00243070">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modern"/>
    <w:pitch w:val="default"/>
    <w:sig w:usb0="00000000" w:usb1="00000000" w:usb2="00000000" w:usb3="00000000" w:csb0="00040001" w:csb1="00000000"/>
  </w:font>
  <w:font w:name="DejaVu Sans">
    <w:altName w:val="MS Gothic"/>
    <w:charset w:val="80"/>
    <w:family w:val="auto"/>
    <w:pitch w:val="default"/>
    <w:sig w:usb0="00000000" w:usb1="00000000" w:usb2="00000000" w:usb3="00000000" w:csb0="00040001" w:csb1="00000000"/>
  </w:font>
  <w:font w:name="Cambria">
    <w:panose1 w:val="02040503050406030204"/>
    <w:charset w:val="00"/>
    <w:family w:val="roman"/>
    <w:pitch w:val="variable"/>
    <w:sig w:usb0="E00006FF" w:usb1="420024FF" w:usb2="02000000" w:usb3="00000000" w:csb0="0000019F" w:csb1="00000000"/>
  </w:font>
  <w:font w:name="Symbol">
    <w:panose1 w:val="05050102010706020507"/>
    <w:charset w:val="02"/>
    <w:family w:val="roman"/>
    <w:pitch w:val="variable"/>
    <w:sig w:usb0="00000000" w:usb1="10000000" w:usb2="00000000" w:usb3="00000000" w:csb0="80000000" w:csb1="00000000"/>
  </w:font>
  <w:font w:name="OpenSymbol">
    <w:altName w:val="Malgun Gothic Semilight"/>
    <w:charset w:val="80"/>
    <w:family w:val="auto"/>
    <w:pitch w:val="default"/>
    <w:sig w:usb0="00000000" w:usb1="00000000" w:usb2="00000000" w:usb3="00000000" w:csb0="00040001" w:csb1="00000000"/>
  </w:font>
  <w:font w:name="Courier New">
    <w:panose1 w:val="02070309020205020404"/>
    <w:charset w:val="00"/>
    <w:family w:val="modern"/>
    <w:pitch w:val="fixed"/>
    <w:sig w:usb0="E0002EFF" w:usb1="C0007843" w:usb2="00000009" w:usb3="00000000" w:csb0="000001FF" w:csb1="00000000"/>
  </w:font>
  <w:font w:name="Tinos">
    <w:altName w:val="Malgun Gothic Semilight"/>
    <w:charset w:val="80"/>
    <w:family w:val="roman"/>
    <w:pitch w:val="default"/>
    <w:sig w:usb0="00000000" w:usb1="00000000" w:usb2="00000000" w:usb3="00000000" w:csb0="00040001" w:csb1="00000000"/>
  </w:font>
  <w:font w:name="DejaVu Sans Mono">
    <w:altName w:val="Malgun Gothic Semilight"/>
    <w:charset w:val="80"/>
    <w:family w:val="modern"/>
    <w:pitch w:val="default"/>
    <w:sig w:usb0="00000000" w:usb1="00000000" w:usb2="00000000" w:usb3="00000000" w:csb0="0004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357E2" w:rsidRDefault="00A357E2">
    <w:pPr>
      <w:pStyle w:val="Footer"/>
      <w:jc w:val="center"/>
    </w:pPr>
    <w:r>
      <w:fldChar w:fldCharType="begin"/>
    </w:r>
    <w:r w:rsidR="00405002">
      <w:instrText xml:space="preserve"> PAGE </w:instrText>
    </w:r>
    <w:r>
      <w:fldChar w:fldCharType="separate"/>
    </w:r>
    <w:r w:rsidR="000177F5">
      <w:rPr>
        <w:noProof/>
      </w:rPr>
      <w:t>9</w:t>
    </w:r>
    <w:r>
      <w:fldChar w:fldCharType="end"/>
    </w:r>
  </w:p>
  <w:p w:rsidR="00A357E2" w:rsidRDefault="00A357E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43070" w:rsidRDefault="00243070">
      <w:pPr>
        <w:spacing w:line="240" w:lineRule="auto"/>
      </w:pPr>
      <w:r>
        <w:separator/>
      </w:r>
    </w:p>
  </w:footnote>
  <w:footnote w:type="continuationSeparator" w:id="1">
    <w:p w:rsidR="00243070" w:rsidRDefault="00243070">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4A7AF31"/>
    <w:multiLevelType w:val="singleLevel"/>
    <w:tmpl w:val="04A7AF31"/>
    <w:lvl w:ilvl="0">
      <w:start w:val="1"/>
      <w:numFmt w:val="bullet"/>
      <w:lvlText w:val=""/>
      <w:lvlJc w:val="left"/>
      <w:pPr>
        <w:tabs>
          <w:tab w:val="num" w:pos="420"/>
        </w:tabs>
        <w:ind w:left="420" w:hanging="42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2"/>
  <w:stylePaneFormatFilter w:val="0000"/>
  <w:defaultTabStop w:val="720"/>
  <w:drawingGridHorizontalSpacing w:val="0"/>
  <w:drawingGridVerticalSpacing w:val="0"/>
  <w:doNotUseMarginsForDrawingGridOrigin/>
  <w:drawingGridHorizontalOrigin w:val="0"/>
  <w:drawingGridVerticalOrigin w:val="0"/>
  <w:noPunctuationKerning/>
  <w:characterSpacingControl w:val="doNotCompress"/>
  <w:doNotValidateAgainstSchema/>
  <w:doNotDemarcateInvalidXml/>
  <w:footnotePr>
    <w:pos w:val="beneathText"/>
    <w:footnote w:id="0"/>
    <w:footnote w:id="1"/>
  </w:footnotePr>
  <w:endnotePr>
    <w:endnote w:id="0"/>
    <w:endnote w:id="1"/>
  </w:endnotePr>
  <w:compat>
    <w:doNotExpandShiftReturn/>
    <w:useFELayout/>
  </w:compat>
  <w:rsids>
    <w:rsidRoot w:val="001709EA"/>
    <w:rsid w:val="000177F5"/>
    <w:rsid w:val="001709EA"/>
    <w:rsid w:val="00243070"/>
    <w:rsid w:val="00360144"/>
    <w:rsid w:val="00405002"/>
    <w:rsid w:val="00A357E2"/>
    <w:rsid w:val="019B1886"/>
    <w:rsid w:val="02C848FD"/>
    <w:rsid w:val="09BF167E"/>
    <w:rsid w:val="10036F74"/>
    <w:rsid w:val="1120692E"/>
    <w:rsid w:val="15385887"/>
    <w:rsid w:val="158B322B"/>
    <w:rsid w:val="199E7CF0"/>
    <w:rsid w:val="19C01A32"/>
    <w:rsid w:val="1AF56A13"/>
    <w:rsid w:val="1BB500A4"/>
    <w:rsid w:val="1CB25FAA"/>
    <w:rsid w:val="1E8F585C"/>
    <w:rsid w:val="1F095C2A"/>
    <w:rsid w:val="22853819"/>
    <w:rsid w:val="234436D4"/>
    <w:rsid w:val="24A63500"/>
    <w:rsid w:val="24E8008F"/>
    <w:rsid w:val="253F4153"/>
    <w:rsid w:val="271A1D00"/>
    <w:rsid w:val="29C015DB"/>
    <w:rsid w:val="29EE7EF6"/>
    <w:rsid w:val="2BB138D1"/>
    <w:rsid w:val="2C2045B2"/>
    <w:rsid w:val="2CE51A84"/>
    <w:rsid w:val="2D452523"/>
    <w:rsid w:val="2F811EC8"/>
    <w:rsid w:val="3273368E"/>
    <w:rsid w:val="328533C1"/>
    <w:rsid w:val="33A16D82"/>
    <w:rsid w:val="34515C51"/>
    <w:rsid w:val="37D528D2"/>
    <w:rsid w:val="3AE50EA1"/>
    <w:rsid w:val="3B516536"/>
    <w:rsid w:val="3C393259"/>
    <w:rsid w:val="3E0D0E3B"/>
    <w:rsid w:val="4072775B"/>
    <w:rsid w:val="407E7DCE"/>
    <w:rsid w:val="427E6D76"/>
    <w:rsid w:val="42F56341"/>
    <w:rsid w:val="43210EA0"/>
    <w:rsid w:val="433B55EE"/>
    <w:rsid w:val="486B27D4"/>
    <w:rsid w:val="4958156F"/>
    <w:rsid w:val="4A475385"/>
    <w:rsid w:val="4A657908"/>
    <w:rsid w:val="4ABC06CB"/>
    <w:rsid w:val="4BC24B77"/>
    <w:rsid w:val="4C9550EF"/>
    <w:rsid w:val="4D324CD8"/>
    <w:rsid w:val="58FD39DC"/>
    <w:rsid w:val="595A6BC4"/>
    <w:rsid w:val="5A24333C"/>
    <w:rsid w:val="5B484E08"/>
    <w:rsid w:val="62EE44E7"/>
    <w:rsid w:val="66173D55"/>
    <w:rsid w:val="67DB24B6"/>
    <w:rsid w:val="681C7129"/>
    <w:rsid w:val="6A94006A"/>
    <w:rsid w:val="6A9C70AE"/>
    <w:rsid w:val="6B655563"/>
    <w:rsid w:val="6D6B17C3"/>
    <w:rsid w:val="705A3773"/>
    <w:rsid w:val="70F05AF9"/>
    <w:rsid w:val="714E1D84"/>
    <w:rsid w:val="71551BD5"/>
    <w:rsid w:val="72477770"/>
    <w:rsid w:val="74D6302D"/>
    <w:rsid w:val="74DA2B1D"/>
    <w:rsid w:val="77E048EF"/>
    <w:rsid w:val="78526E6F"/>
    <w:rsid w:val="79BC009F"/>
    <w:rsid w:val="7B61437D"/>
    <w:rsid w:val="7C574A54"/>
    <w:rsid w:val="7DDD71D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267">
    <w:lsdException w:name="Normal" w:uiPriority="6" w:qFormat="1"/>
    <w:lsdException w:name="heading 1" w:uiPriority="6" w:qFormat="1"/>
    <w:lsdException w:name="heading 2" w:uiPriority="6" w:qFormat="1"/>
    <w:lsdException w:name="heading 3" w:uiPriority="6" w:qFormat="1"/>
    <w:lsdException w:name="heading 4" w:uiPriority="6" w:qFormat="1"/>
    <w:lsdException w:name="heading 5" w:uiPriority="6" w:qFormat="1"/>
    <w:lsdException w:name="heading 6" w:uiPriority="6" w:qFormat="1"/>
    <w:lsdException w:name="heading 7" w:uiPriority="6" w:qFormat="1"/>
    <w:lsdException w:name="heading 8" w:semiHidden="1" w:unhideWhenUsed="1" w:qFormat="1"/>
    <w:lsdException w:name="heading 9" w:semiHidden="1" w:unhideWhenUsed="1" w:qFormat="1"/>
    <w:lsdException w:name="toc 1" w:uiPriority="6"/>
    <w:lsdException w:name="toc 2" w:uiPriority="6"/>
    <w:lsdException w:name="toc 3" w:uiPriority="6"/>
    <w:lsdException w:name="toc 4" w:uiPriority="6"/>
    <w:lsdException w:name="toc 5" w:uiPriority="6"/>
    <w:lsdException w:name="toc 6" w:uiPriority="6"/>
    <w:lsdException w:name="toc 7" w:uiPriority="6"/>
    <w:lsdException w:name="toc 8" w:uiPriority="6"/>
    <w:lsdException w:name="toc 9" w:uiPriority="6"/>
    <w:lsdException w:name="footnote text" w:uiPriority="6"/>
    <w:lsdException w:name="header" w:uiPriority="6"/>
    <w:lsdException w:name="footer" w:uiPriority="6"/>
    <w:lsdException w:name="caption" w:semiHidden="1" w:unhideWhenUsed="1" w:qFormat="1"/>
    <w:lsdException w:name="List" w:uiPriority="7"/>
    <w:lsdException w:name="Title" w:uiPriority="7" w:qFormat="1"/>
    <w:lsdException w:name="Default Paragraph Font" w:semiHidden="1"/>
    <w:lsdException w:name="Body Text" w:uiPriority="7"/>
    <w:lsdException w:name="Subtitle" w:uiPriority="6" w:qFormat="1"/>
    <w:lsdException w:name="Hyperlink" w:uiPriority="7"/>
    <w:lsdException w:name="Strong" w:uiPriority="7" w:qFormat="1"/>
    <w:lsdException w:name="Emphasis" w:qFormat="1"/>
    <w:lsdException w:name="HTML Top of Form" w:semiHidden="1" w:uiPriority="99" w:unhideWhenUsed="1"/>
    <w:lsdException w:name="HTML Bottom of Form" w:semiHidden="1" w:uiPriority="99" w:unhideWhenUsed="1"/>
    <w:lsdException w:name="Normal Table" w:semiHidden="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uiPriority="99"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99" w:qFormat="1"/>
    <w:lsdException w:name="Quote" w:uiPriority="99" w:qFormat="1"/>
    <w:lsdException w:name="Intense Quote" w:uiPriority="99"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uiPriority w:val="6"/>
    <w:qFormat/>
    <w:rsid w:val="00A357E2"/>
    <w:pPr>
      <w:suppressAutoHyphens/>
      <w:spacing w:line="360" w:lineRule="auto"/>
      <w:jc w:val="both"/>
    </w:pPr>
    <w:rPr>
      <w:rFonts w:eastAsia="Calibri"/>
      <w:color w:val="000000"/>
      <w:sz w:val="24"/>
      <w:szCs w:val="22"/>
      <w:lang w:eastAsia="ar-SA"/>
    </w:rPr>
  </w:style>
  <w:style w:type="paragraph" w:styleId="Heading1">
    <w:name w:val="heading 1"/>
    <w:basedOn w:val="Normal"/>
    <w:next w:val="Normal"/>
    <w:uiPriority w:val="6"/>
    <w:qFormat/>
    <w:rsid w:val="00A357E2"/>
    <w:pPr>
      <w:keepNext/>
      <w:keepLines/>
      <w:tabs>
        <w:tab w:val="left" w:pos="0"/>
      </w:tabs>
      <w:spacing w:before="113"/>
      <w:ind w:left="432" w:hanging="432"/>
      <w:outlineLvl w:val="0"/>
    </w:pPr>
    <w:rPr>
      <w:rFonts w:eastAsia="Times New Roman"/>
      <w:b/>
      <w:bCs/>
      <w:sz w:val="28"/>
      <w:szCs w:val="28"/>
    </w:rPr>
  </w:style>
  <w:style w:type="paragraph" w:styleId="Heading2">
    <w:name w:val="heading 2"/>
    <w:basedOn w:val="Normal"/>
    <w:next w:val="Normal"/>
    <w:link w:val="Heading2Char1"/>
    <w:uiPriority w:val="6"/>
    <w:qFormat/>
    <w:rsid w:val="00A357E2"/>
    <w:pPr>
      <w:keepNext/>
      <w:keepLines/>
      <w:tabs>
        <w:tab w:val="left" w:pos="0"/>
      </w:tabs>
      <w:spacing w:before="113"/>
      <w:ind w:left="576" w:hanging="576"/>
      <w:outlineLvl w:val="1"/>
    </w:pPr>
    <w:rPr>
      <w:rFonts w:eastAsia="Times New Roman"/>
      <w:bCs/>
      <w:szCs w:val="26"/>
      <w:u w:val="single"/>
    </w:rPr>
  </w:style>
  <w:style w:type="paragraph" w:styleId="Heading3">
    <w:name w:val="heading 3"/>
    <w:basedOn w:val="Heading"/>
    <w:next w:val="BodyText"/>
    <w:uiPriority w:val="6"/>
    <w:qFormat/>
    <w:rsid w:val="00A357E2"/>
    <w:pPr>
      <w:tabs>
        <w:tab w:val="left" w:pos="0"/>
      </w:tabs>
      <w:ind w:left="720" w:hanging="720"/>
      <w:outlineLvl w:val="2"/>
    </w:pPr>
    <w:rPr>
      <w:b/>
      <w:bCs/>
    </w:rPr>
  </w:style>
  <w:style w:type="paragraph" w:styleId="Heading4">
    <w:name w:val="heading 4"/>
    <w:basedOn w:val="Heading"/>
    <w:next w:val="BodyText"/>
    <w:uiPriority w:val="6"/>
    <w:qFormat/>
    <w:rsid w:val="00A357E2"/>
    <w:pPr>
      <w:tabs>
        <w:tab w:val="left" w:pos="0"/>
      </w:tabs>
      <w:ind w:left="864" w:hanging="864"/>
      <w:outlineLvl w:val="3"/>
    </w:pPr>
    <w:rPr>
      <w:b/>
      <w:bCs/>
      <w:i/>
      <w:iCs/>
      <w:sz w:val="24"/>
      <w:szCs w:val="24"/>
    </w:rPr>
  </w:style>
  <w:style w:type="paragraph" w:styleId="Heading5">
    <w:name w:val="heading 5"/>
    <w:basedOn w:val="Heading"/>
    <w:next w:val="BodyText"/>
    <w:uiPriority w:val="6"/>
    <w:qFormat/>
    <w:rsid w:val="00A357E2"/>
    <w:pPr>
      <w:tabs>
        <w:tab w:val="left" w:pos="0"/>
      </w:tabs>
      <w:ind w:left="1008" w:hanging="1008"/>
      <w:outlineLvl w:val="4"/>
    </w:pPr>
    <w:rPr>
      <w:b/>
      <w:bCs/>
      <w:sz w:val="24"/>
      <w:szCs w:val="24"/>
    </w:rPr>
  </w:style>
  <w:style w:type="paragraph" w:styleId="Heading6">
    <w:name w:val="heading 6"/>
    <w:basedOn w:val="Heading"/>
    <w:next w:val="BodyText"/>
    <w:uiPriority w:val="6"/>
    <w:qFormat/>
    <w:rsid w:val="00A357E2"/>
    <w:pPr>
      <w:tabs>
        <w:tab w:val="left" w:pos="0"/>
      </w:tabs>
      <w:ind w:left="1152" w:hanging="1152"/>
      <w:outlineLvl w:val="5"/>
    </w:pPr>
    <w:rPr>
      <w:b/>
      <w:bCs/>
      <w:sz w:val="21"/>
      <w:szCs w:val="21"/>
    </w:rPr>
  </w:style>
  <w:style w:type="paragraph" w:styleId="Heading7">
    <w:name w:val="heading 7"/>
    <w:basedOn w:val="Heading"/>
    <w:next w:val="BodyText"/>
    <w:uiPriority w:val="6"/>
    <w:qFormat/>
    <w:rsid w:val="00A357E2"/>
    <w:pPr>
      <w:tabs>
        <w:tab w:val="left" w:pos="0"/>
      </w:tabs>
      <w:ind w:left="1296" w:hanging="1296"/>
      <w:outlineLvl w:val="6"/>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1">
    <w:name w:val="Heading 2 Char1"/>
    <w:link w:val="Heading2"/>
    <w:uiPriority w:val="6"/>
    <w:rsid w:val="00A357E2"/>
    <w:rPr>
      <w:rFonts w:eastAsia="Times New Roman"/>
      <w:bCs/>
      <w:color w:val="000000"/>
      <w:sz w:val="24"/>
      <w:szCs w:val="26"/>
      <w:u w:val="single"/>
      <w:lang w:eastAsia="ar-SA"/>
    </w:rPr>
  </w:style>
  <w:style w:type="paragraph" w:customStyle="1" w:styleId="Heading">
    <w:name w:val="Heading"/>
    <w:basedOn w:val="Normal"/>
    <w:next w:val="BodyText"/>
    <w:uiPriority w:val="6"/>
    <w:rsid w:val="00A357E2"/>
    <w:pPr>
      <w:keepNext/>
      <w:spacing w:before="240" w:after="120"/>
    </w:pPr>
    <w:rPr>
      <w:rFonts w:ascii="Arial" w:eastAsia="Droid Sans" w:hAnsi="Arial" w:cs="DejaVu Sans"/>
      <w:sz w:val="28"/>
      <w:szCs w:val="28"/>
    </w:rPr>
  </w:style>
  <w:style w:type="paragraph" w:styleId="BodyText">
    <w:name w:val="Body Text"/>
    <w:basedOn w:val="Normal"/>
    <w:uiPriority w:val="7"/>
    <w:rsid w:val="00A357E2"/>
  </w:style>
  <w:style w:type="paragraph" w:styleId="Footer">
    <w:name w:val="footer"/>
    <w:basedOn w:val="Normal"/>
    <w:uiPriority w:val="6"/>
    <w:rsid w:val="00A357E2"/>
    <w:pPr>
      <w:tabs>
        <w:tab w:val="center" w:pos="4680"/>
        <w:tab w:val="right" w:pos="9360"/>
      </w:tabs>
      <w:spacing w:line="240" w:lineRule="auto"/>
    </w:pPr>
  </w:style>
  <w:style w:type="paragraph" w:styleId="FootnoteText">
    <w:name w:val="footnote text"/>
    <w:basedOn w:val="Normal"/>
    <w:uiPriority w:val="6"/>
    <w:rsid w:val="00A357E2"/>
    <w:pPr>
      <w:suppressLineNumbers/>
      <w:ind w:left="283" w:hanging="283"/>
    </w:pPr>
    <w:rPr>
      <w:sz w:val="20"/>
      <w:szCs w:val="20"/>
    </w:rPr>
  </w:style>
  <w:style w:type="paragraph" w:styleId="Header">
    <w:name w:val="header"/>
    <w:basedOn w:val="Normal"/>
    <w:uiPriority w:val="6"/>
    <w:rsid w:val="00A357E2"/>
    <w:pPr>
      <w:tabs>
        <w:tab w:val="center" w:pos="4680"/>
        <w:tab w:val="right" w:pos="9360"/>
      </w:tabs>
      <w:spacing w:line="240" w:lineRule="auto"/>
    </w:pPr>
  </w:style>
  <w:style w:type="character" w:styleId="Hyperlink">
    <w:name w:val="Hyperlink"/>
    <w:uiPriority w:val="7"/>
    <w:rsid w:val="00A357E2"/>
    <w:rPr>
      <w:color w:val="000080"/>
      <w:u w:val="single"/>
    </w:rPr>
  </w:style>
  <w:style w:type="paragraph" w:styleId="List">
    <w:name w:val="List"/>
    <w:basedOn w:val="BodyText"/>
    <w:uiPriority w:val="7"/>
    <w:rsid w:val="00A357E2"/>
    <w:rPr>
      <w:rFonts w:cs="DejaVu Sans"/>
    </w:rPr>
  </w:style>
  <w:style w:type="paragraph" w:styleId="NormalWeb">
    <w:name w:val="Normal (Web)"/>
    <w:rsid w:val="00A357E2"/>
    <w:pPr>
      <w:spacing w:before="100" w:beforeAutospacing="1" w:after="100" w:afterAutospacing="1"/>
    </w:pPr>
    <w:rPr>
      <w:sz w:val="24"/>
      <w:szCs w:val="24"/>
      <w:lang w:val="en-US" w:eastAsia="zh-CN"/>
    </w:rPr>
  </w:style>
  <w:style w:type="character" w:styleId="Strong">
    <w:name w:val="Strong"/>
    <w:uiPriority w:val="7"/>
    <w:qFormat/>
    <w:rsid w:val="00A357E2"/>
    <w:rPr>
      <w:b/>
      <w:bCs/>
    </w:rPr>
  </w:style>
  <w:style w:type="paragraph" w:styleId="Subtitle">
    <w:name w:val="Subtitle"/>
    <w:basedOn w:val="Heading"/>
    <w:next w:val="BodyText"/>
    <w:uiPriority w:val="6"/>
    <w:qFormat/>
    <w:rsid w:val="00A357E2"/>
    <w:pPr>
      <w:jc w:val="center"/>
    </w:pPr>
    <w:rPr>
      <w:i/>
      <w:iCs/>
    </w:rPr>
  </w:style>
  <w:style w:type="paragraph" w:styleId="Title">
    <w:name w:val="Title"/>
    <w:basedOn w:val="Normal"/>
    <w:next w:val="Normal"/>
    <w:uiPriority w:val="7"/>
    <w:qFormat/>
    <w:rsid w:val="00A357E2"/>
    <w:pPr>
      <w:spacing w:before="240" w:after="60"/>
      <w:jc w:val="center"/>
    </w:pPr>
    <w:rPr>
      <w:rFonts w:ascii="Cambria" w:eastAsia="Times New Roman" w:hAnsi="Cambria"/>
      <w:b/>
      <w:bCs/>
      <w:kern w:val="1"/>
      <w:sz w:val="32"/>
      <w:szCs w:val="32"/>
    </w:rPr>
  </w:style>
  <w:style w:type="paragraph" w:styleId="TOC1">
    <w:name w:val="toc 1"/>
    <w:basedOn w:val="Index"/>
    <w:uiPriority w:val="6"/>
    <w:rsid w:val="00A357E2"/>
    <w:pPr>
      <w:tabs>
        <w:tab w:val="right" w:leader="dot" w:pos="9360"/>
      </w:tabs>
    </w:pPr>
  </w:style>
  <w:style w:type="paragraph" w:customStyle="1" w:styleId="Index">
    <w:name w:val="Index"/>
    <w:basedOn w:val="Normal"/>
    <w:uiPriority w:val="6"/>
    <w:rsid w:val="00A357E2"/>
    <w:pPr>
      <w:suppressLineNumbers/>
    </w:pPr>
    <w:rPr>
      <w:rFonts w:cs="DejaVu Sans"/>
    </w:rPr>
  </w:style>
  <w:style w:type="paragraph" w:styleId="TOC2">
    <w:name w:val="toc 2"/>
    <w:basedOn w:val="Index"/>
    <w:uiPriority w:val="6"/>
    <w:rsid w:val="00A357E2"/>
    <w:pPr>
      <w:tabs>
        <w:tab w:val="right" w:leader="dot" w:pos="9077"/>
      </w:tabs>
      <w:ind w:left="283"/>
    </w:pPr>
  </w:style>
  <w:style w:type="paragraph" w:styleId="TOC3">
    <w:name w:val="toc 3"/>
    <w:basedOn w:val="Index"/>
    <w:uiPriority w:val="6"/>
    <w:rsid w:val="00A357E2"/>
    <w:pPr>
      <w:tabs>
        <w:tab w:val="right" w:leader="dot" w:pos="9072"/>
      </w:tabs>
      <w:ind w:left="566"/>
    </w:pPr>
  </w:style>
  <w:style w:type="paragraph" w:styleId="TOC4">
    <w:name w:val="toc 4"/>
    <w:basedOn w:val="Index"/>
    <w:uiPriority w:val="6"/>
    <w:rsid w:val="00A357E2"/>
    <w:pPr>
      <w:tabs>
        <w:tab w:val="right" w:leader="dot" w:pos="8789"/>
      </w:tabs>
      <w:ind w:left="849"/>
    </w:pPr>
  </w:style>
  <w:style w:type="paragraph" w:styleId="TOC5">
    <w:name w:val="toc 5"/>
    <w:basedOn w:val="Index"/>
    <w:uiPriority w:val="6"/>
    <w:rsid w:val="00A357E2"/>
    <w:pPr>
      <w:tabs>
        <w:tab w:val="right" w:leader="dot" w:pos="8506"/>
      </w:tabs>
      <w:ind w:left="1132"/>
    </w:pPr>
  </w:style>
  <w:style w:type="paragraph" w:styleId="TOC6">
    <w:name w:val="toc 6"/>
    <w:basedOn w:val="Index"/>
    <w:uiPriority w:val="6"/>
    <w:rsid w:val="00A357E2"/>
    <w:pPr>
      <w:tabs>
        <w:tab w:val="right" w:leader="dot" w:pos="8223"/>
      </w:tabs>
      <w:ind w:left="1415"/>
    </w:pPr>
  </w:style>
  <w:style w:type="paragraph" w:styleId="TOC7">
    <w:name w:val="toc 7"/>
    <w:basedOn w:val="Index"/>
    <w:uiPriority w:val="6"/>
    <w:rsid w:val="00A357E2"/>
    <w:pPr>
      <w:tabs>
        <w:tab w:val="right" w:leader="dot" w:pos="7940"/>
      </w:tabs>
      <w:ind w:left="1698"/>
    </w:pPr>
  </w:style>
  <w:style w:type="paragraph" w:styleId="TOC8">
    <w:name w:val="toc 8"/>
    <w:basedOn w:val="Index"/>
    <w:uiPriority w:val="6"/>
    <w:rsid w:val="00A357E2"/>
    <w:pPr>
      <w:tabs>
        <w:tab w:val="right" w:leader="dot" w:pos="7657"/>
      </w:tabs>
      <w:ind w:left="1981"/>
    </w:pPr>
  </w:style>
  <w:style w:type="paragraph" w:styleId="TOC9">
    <w:name w:val="toc 9"/>
    <w:basedOn w:val="Index"/>
    <w:uiPriority w:val="6"/>
    <w:rsid w:val="00A357E2"/>
    <w:pPr>
      <w:tabs>
        <w:tab w:val="right" w:leader="dot" w:pos="7374"/>
      </w:tabs>
      <w:ind w:left="2264"/>
    </w:pPr>
  </w:style>
  <w:style w:type="character" w:customStyle="1" w:styleId="WW8Num1z0">
    <w:name w:val="WW8Num1z0"/>
    <w:uiPriority w:val="3"/>
    <w:rsid w:val="00A357E2"/>
  </w:style>
  <w:style w:type="character" w:customStyle="1" w:styleId="WW8Num1z1">
    <w:name w:val="WW8Num1z1"/>
    <w:uiPriority w:val="3"/>
    <w:rsid w:val="00A357E2"/>
  </w:style>
  <w:style w:type="character" w:customStyle="1" w:styleId="WW8Num1z2">
    <w:name w:val="WW8Num1z2"/>
    <w:uiPriority w:val="3"/>
    <w:rsid w:val="00A357E2"/>
  </w:style>
  <w:style w:type="character" w:customStyle="1" w:styleId="WW8Num1z3">
    <w:name w:val="WW8Num1z3"/>
    <w:uiPriority w:val="3"/>
    <w:rsid w:val="00A357E2"/>
  </w:style>
  <w:style w:type="character" w:customStyle="1" w:styleId="WW8Num1z4">
    <w:name w:val="WW8Num1z4"/>
    <w:uiPriority w:val="3"/>
    <w:rsid w:val="00A357E2"/>
  </w:style>
  <w:style w:type="character" w:customStyle="1" w:styleId="WW8Num1z5">
    <w:name w:val="WW8Num1z5"/>
    <w:uiPriority w:val="3"/>
    <w:rsid w:val="00A357E2"/>
  </w:style>
  <w:style w:type="character" w:customStyle="1" w:styleId="WW8Num1z6">
    <w:name w:val="WW8Num1z6"/>
    <w:uiPriority w:val="3"/>
    <w:rsid w:val="00A357E2"/>
  </w:style>
  <w:style w:type="character" w:customStyle="1" w:styleId="WW8Num1z7">
    <w:name w:val="WW8Num1z7"/>
    <w:uiPriority w:val="3"/>
    <w:rsid w:val="00A357E2"/>
  </w:style>
  <w:style w:type="character" w:customStyle="1" w:styleId="WW8Num1z8">
    <w:name w:val="WW8Num1z8"/>
    <w:uiPriority w:val="3"/>
    <w:rsid w:val="00A357E2"/>
  </w:style>
  <w:style w:type="character" w:customStyle="1" w:styleId="WW8Num2z0">
    <w:name w:val="WW8Num2z0"/>
    <w:uiPriority w:val="3"/>
    <w:rsid w:val="00A357E2"/>
    <w:rPr>
      <w:rFonts w:ascii="Symbol" w:eastAsia="Droid Sans" w:hAnsi="Symbol" w:cs="OpenSymbol"/>
      <w:szCs w:val="24"/>
      <w:lang w:val="en-GB"/>
    </w:rPr>
  </w:style>
  <w:style w:type="character" w:customStyle="1" w:styleId="WW8Num2z1">
    <w:name w:val="WW8Num2z1"/>
    <w:uiPriority w:val="3"/>
    <w:rsid w:val="00A357E2"/>
    <w:rPr>
      <w:rFonts w:ascii="OpenSymbol" w:hAnsi="OpenSymbol" w:cs="OpenSymbol"/>
    </w:rPr>
  </w:style>
  <w:style w:type="character" w:customStyle="1" w:styleId="WW8Num2z2">
    <w:name w:val="WW8Num2z2"/>
    <w:uiPriority w:val="3"/>
    <w:rsid w:val="00A357E2"/>
    <w:rPr>
      <w:rFonts w:ascii="Wingdings" w:hAnsi="Wingdings" w:cs="Wingdings" w:hint="default"/>
    </w:rPr>
  </w:style>
  <w:style w:type="character" w:customStyle="1" w:styleId="WW8Num3z0">
    <w:name w:val="WW8Num3z0"/>
    <w:uiPriority w:val="3"/>
    <w:rsid w:val="00A357E2"/>
    <w:rPr>
      <w:rFonts w:ascii="Symbol" w:hAnsi="Symbol" w:cs="OpenSymbol"/>
      <w:lang w:val="en-GB"/>
    </w:rPr>
  </w:style>
  <w:style w:type="character" w:customStyle="1" w:styleId="WW8Num3z1">
    <w:name w:val="WW8Num3z1"/>
    <w:uiPriority w:val="3"/>
    <w:rsid w:val="00A357E2"/>
    <w:rPr>
      <w:rFonts w:ascii="OpenSymbol" w:hAnsi="OpenSymbol" w:cs="OpenSymbol"/>
    </w:rPr>
  </w:style>
  <w:style w:type="character" w:customStyle="1" w:styleId="WW8Num3z2">
    <w:name w:val="WW8Num3z2"/>
    <w:uiPriority w:val="3"/>
    <w:rsid w:val="00A357E2"/>
    <w:rPr>
      <w:rFonts w:ascii="Wingdings" w:hAnsi="Wingdings" w:cs="Wingdings" w:hint="default"/>
    </w:rPr>
  </w:style>
  <w:style w:type="character" w:customStyle="1" w:styleId="WW8Num4z0">
    <w:name w:val="WW8Num4z0"/>
    <w:uiPriority w:val="3"/>
    <w:rsid w:val="00A357E2"/>
    <w:rPr>
      <w:rFonts w:cs="Times New Roman"/>
      <w:lang w:val="en-GB"/>
    </w:rPr>
  </w:style>
  <w:style w:type="character" w:customStyle="1" w:styleId="WW8Num4z1">
    <w:name w:val="WW8Num4z1"/>
    <w:uiPriority w:val="3"/>
    <w:rsid w:val="00A357E2"/>
  </w:style>
  <w:style w:type="character" w:customStyle="1" w:styleId="WW8Num4z2">
    <w:name w:val="WW8Num4z2"/>
    <w:uiPriority w:val="3"/>
    <w:rsid w:val="00A357E2"/>
  </w:style>
  <w:style w:type="character" w:customStyle="1" w:styleId="WW8Num4z4">
    <w:name w:val="WW8Num4z4"/>
    <w:uiPriority w:val="3"/>
    <w:rsid w:val="00A357E2"/>
  </w:style>
  <w:style w:type="character" w:customStyle="1" w:styleId="WW8Num5z0">
    <w:name w:val="WW8Num5z0"/>
    <w:uiPriority w:val="3"/>
    <w:rsid w:val="00A357E2"/>
    <w:rPr>
      <w:rFonts w:ascii="Symbol" w:hAnsi="Symbol" w:cs="OpenSymbol"/>
    </w:rPr>
  </w:style>
  <w:style w:type="character" w:customStyle="1" w:styleId="WW8Num5z1">
    <w:name w:val="WW8Num5z1"/>
    <w:uiPriority w:val="3"/>
    <w:rsid w:val="00A357E2"/>
    <w:rPr>
      <w:rFonts w:ascii="OpenSymbol" w:hAnsi="OpenSymbol" w:cs="OpenSymbol"/>
    </w:rPr>
  </w:style>
  <w:style w:type="character" w:customStyle="1" w:styleId="WW8Num5z2">
    <w:name w:val="WW8Num5z2"/>
    <w:uiPriority w:val="3"/>
    <w:rsid w:val="00A357E2"/>
    <w:rPr>
      <w:rFonts w:ascii="Wingdings" w:hAnsi="Wingdings" w:cs="Wingdings" w:hint="default"/>
    </w:rPr>
  </w:style>
  <w:style w:type="character" w:customStyle="1" w:styleId="WW8Num6z0">
    <w:name w:val="WW8Num6z0"/>
    <w:uiPriority w:val="3"/>
    <w:rsid w:val="00A357E2"/>
    <w:rPr>
      <w:rFonts w:ascii="Symbol" w:eastAsia="Droid Sans" w:hAnsi="Symbol" w:cs="OpenSymbol"/>
      <w:szCs w:val="24"/>
    </w:rPr>
  </w:style>
  <w:style w:type="character" w:customStyle="1" w:styleId="WW8Num6z1">
    <w:name w:val="WW8Num6z1"/>
    <w:uiPriority w:val="3"/>
    <w:rsid w:val="00A357E2"/>
    <w:rPr>
      <w:rFonts w:ascii="OpenSymbol" w:hAnsi="OpenSymbol" w:cs="OpenSymbol"/>
    </w:rPr>
  </w:style>
  <w:style w:type="character" w:customStyle="1" w:styleId="WW8Num6z2">
    <w:name w:val="WW8Num6z2"/>
    <w:uiPriority w:val="3"/>
    <w:rsid w:val="00A357E2"/>
    <w:rPr>
      <w:rFonts w:ascii="Wingdings" w:hAnsi="Wingdings" w:cs="Wingdings" w:hint="default"/>
    </w:rPr>
  </w:style>
  <w:style w:type="character" w:customStyle="1" w:styleId="WW8Num7z0">
    <w:name w:val="WW8Num7z0"/>
    <w:uiPriority w:val="3"/>
    <w:rsid w:val="00A357E2"/>
    <w:rPr>
      <w:rFonts w:ascii="Symbol" w:hAnsi="Symbol" w:cs="OpenSymbol"/>
      <w:color w:val="ED7D31"/>
    </w:rPr>
  </w:style>
  <w:style w:type="character" w:customStyle="1" w:styleId="WW8Num7z1">
    <w:name w:val="WW8Num7z1"/>
    <w:uiPriority w:val="3"/>
    <w:rsid w:val="00A357E2"/>
    <w:rPr>
      <w:rFonts w:ascii="OpenSymbol" w:hAnsi="OpenSymbol" w:cs="OpenSymbol"/>
    </w:rPr>
  </w:style>
  <w:style w:type="character" w:customStyle="1" w:styleId="WW8Num7z2">
    <w:name w:val="WW8Num7z2"/>
    <w:uiPriority w:val="3"/>
    <w:rsid w:val="00A357E2"/>
  </w:style>
  <w:style w:type="character" w:customStyle="1" w:styleId="WW8Num8z0">
    <w:name w:val="WW8Num8z0"/>
    <w:uiPriority w:val="3"/>
    <w:rsid w:val="00A357E2"/>
    <w:rPr>
      <w:rFonts w:ascii="Symbol" w:hAnsi="Symbol" w:cs="OpenSymbol"/>
      <w:caps w:val="0"/>
      <w:smallCaps w:val="0"/>
      <w:color w:val="ED7D31"/>
      <w:spacing w:val="0"/>
      <w:sz w:val="24"/>
    </w:rPr>
  </w:style>
  <w:style w:type="character" w:customStyle="1" w:styleId="WW8Num8z1">
    <w:name w:val="WW8Num8z1"/>
    <w:uiPriority w:val="3"/>
    <w:rsid w:val="00A357E2"/>
    <w:rPr>
      <w:rFonts w:ascii="OpenSymbol" w:hAnsi="OpenSymbol" w:cs="OpenSymbol"/>
    </w:rPr>
  </w:style>
  <w:style w:type="character" w:customStyle="1" w:styleId="WW8Num8z2">
    <w:name w:val="WW8Num8z2"/>
    <w:uiPriority w:val="3"/>
    <w:rsid w:val="00A357E2"/>
    <w:rPr>
      <w:rFonts w:ascii="Wingdings" w:hAnsi="Wingdings" w:cs="Wingdings" w:hint="default"/>
    </w:rPr>
  </w:style>
  <w:style w:type="character" w:customStyle="1" w:styleId="WW8Num9z0">
    <w:name w:val="WW8Num9z0"/>
    <w:uiPriority w:val="3"/>
    <w:rsid w:val="00A357E2"/>
    <w:rPr>
      <w:rFonts w:ascii="Symbol" w:eastAsia="Droid Sans" w:hAnsi="Symbol" w:cs="OpenSymbol"/>
      <w:color w:val="ED7D31"/>
      <w:szCs w:val="24"/>
    </w:rPr>
  </w:style>
  <w:style w:type="character" w:customStyle="1" w:styleId="WW8Num9z1">
    <w:name w:val="WW8Num9z1"/>
    <w:uiPriority w:val="3"/>
    <w:rsid w:val="00A357E2"/>
    <w:rPr>
      <w:rFonts w:ascii="OpenSymbol" w:hAnsi="OpenSymbol" w:cs="OpenSymbol"/>
    </w:rPr>
  </w:style>
  <w:style w:type="character" w:customStyle="1" w:styleId="WW8Num9z2">
    <w:name w:val="WW8Num9z2"/>
    <w:uiPriority w:val="3"/>
    <w:rsid w:val="00A357E2"/>
    <w:rPr>
      <w:rFonts w:ascii="Wingdings" w:hAnsi="Wingdings" w:cs="Wingdings" w:hint="default"/>
    </w:rPr>
  </w:style>
  <w:style w:type="character" w:customStyle="1" w:styleId="WW8Num10z0">
    <w:name w:val="WW8Num10z0"/>
    <w:uiPriority w:val="3"/>
    <w:rsid w:val="00A357E2"/>
    <w:rPr>
      <w:rFonts w:ascii="Symbol" w:hAnsi="Symbol" w:cs="Symbol" w:hint="default"/>
    </w:rPr>
  </w:style>
  <w:style w:type="character" w:customStyle="1" w:styleId="WW8Num10z1">
    <w:name w:val="WW8Num10z1"/>
    <w:uiPriority w:val="3"/>
    <w:rsid w:val="00A357E2"/>
    <w:rPr>
      <w:rFonts w:ascii="Courier New" w:hAnsi="Courier New" w:cs="Courier New" w:hint="default"/>
    </w:rPr>
  </w:style>
  <w:style w:type="character" w:customStyle="1" w:styleId="WW8Num10z2">
    <w:name w:val="WW8Num10z2"/>
    <w:uiPriority w:val="3"/>
    <w:rsid w:val="00A357E2"/>
    <w:rPr>
      <w:rFonts w:ascii="Wingdings" w:hAnsi="Wingdings" w:cs="Wingdings" w:hint="default"/>
    </w:rPr>
  </w:style>
  <w:style w:type="character" w:customStyle="1" w:styleId="WW8Num11z0">
    <w:name w:val="WW8Num11z0"/>
    <w:uiPriority w:val="3"/>
    <w:rsid w:val="00A357E2"/>
    <w:rPr>
      <w:rFonts w:ascii="Symbol" w:hAnsi="Symbol" w:cs="Symbol" w:hint="default"/>
    </w:rPr>
  </w:style>
  <w:style w:type="character" w:customStyle="1" w:styleId="WW8Num11z1">
    <w:name w:val="WW8Num11z1"/>
    <w:uiPriority w:val="3"/>
    <w:rsid w:val="00A357E2"/>
    <w:rPr>
      <w:rFonts w:ascii="Courier New" w:hAnsi="Courier New" w:cs="Courier New" w:hint="default"/>
    </w:rPr>
  </w:style>
  <w:style w:type="character" w:customStyle="1" w:styleId="WW8Num11z2">
    <w:name w:val="WW8Num11z2"/>
    <w:uiPriority w:val="3"/>
    <w:rsid w:val="00A357E2"/>
    <w:rPr>
      <w:rFonts w:ascii="Wingdings" w:hAnsi="Wingdings" w:cs="Wingdings" w:hint="default"/>
    </w:rPr>
  </w:style>
  <w:style w:type="character" w:customStyle="1" w:styleId="WW8Num12z0">
    <w:name w:val="WW8Num12z0"/>
    <w:uiPriority w:val="3"/>
    <w:rsid w:val="00A357E2"/>
    <w:rPr>
      <w:rFonts w:ascii="Symbol" w:hAnsi="Symbol" w:cs="Symbol" w:hint="default"/>
    </w:rPr>
  </w:style>
  <w:style w:type="character" w:customStyle="1" w:styleId="WW8Num12z1">
    <w:name w:val="WW8Num12z1"/>
    <w:uiPriority w:val="3"/>
    <w:rsid w:val="00A357E2"/>
    <w:rPr>
      <w:rFonts w:ascii="Courier New" w:hAnsi="Courier New" w:cs="Courier New" w:hint="default"/>
    </w:rPr>
  </w:style>
  <w:style w:type="character" w:customStyle="1" w:styleId="WW8Num12z2">
    <w:name w:val="WW8Num12z2"/>
    <w:uiPriority w:val="3"/>
    <w:rsid w:val="00A357E2"/>
    <w:rPr>
      <w:rFonts w:ascii="Wingdings" w:hAnsi="Wingdings" w:cs="Wingdings" w:hint="default"/>
    </w:rPr>
  </w:style>
  <w:style w:type="character" w:customStyle="1" w:styleId="WW8Num13z0">
    <w:name w:val="WW8Num13z0"/>
    <w:uiPriority w:val="3"/>
    <w:rsid w:val="00A357E2"/>
    <w:rPr>
      <w:rFonts w:ascii="Symbol" w:hAnsi="Symbol" w:cs="Symbol" w:hint="default"/>
    </w:rPr>
  </w:style>
  <w:style w:type="character" w:customStyle="1" w:styleId="WW8Num13z1">
    <w:name w:val="WW8Num13z1"/>
    <w:uiPriority w:val="3"/>
    <w:rsid w:val="00A357E2"/>
    <w:rPr>
      <w:rFonts w:ascii="Courier New" w:hAnsi="Courier New" w:cs="Courier New" w:hint="default"/>
    </w:rPr>
  </w:style>
  <w:style w:type="character" w:customStyle="1" w:styleId="WW8Num13z2">
    <w:name w:val="WW8Num13z2"/>
    <w:uiPriority w:val="3"/>
    <w:rsid w:val="00A357E2"/>
    <w:rPr>
      <w:rFonts w:ascii="Wingdings" w:hAnsi="Wingdings" w:cs="Wingdings" w:hint="default"/>
    </w:rPr>
  </w:style>
  <w:style w:type="character" w:customStyle="1" w:styleId="WW8Num14z0">
    <w:name w:val="WW8Num14z0"/>
    <w:uiPriority w:val="3"/>
    <w:rsid w:val="00A357E2"/>
    <w:rPr>
      <w:rFonts w:ascii="Symbol" w:hAnsi="Symbol" w:cs="Symbol" w:hint="default"/>
    </w:rPr>
  </w:style>
  <w:style w:type="character" w:customStyle="1" w:styleId="WW8Num14z1">
    <w:name w:val="WW8Num14z1"/>
    <w:uiPriority w:val="3"/>
    <w:rsid w:val="00A357E2"/>
    <w:rPr>
      <w:rFonts w:ascii="Courier New" w:hAnsi="Courier New" w:cs="Courier New" w:hint="default"/>
    </w:rPr>
  </w:style>
  <w:style w:type="character" w:customStyle="1" w:styleId="WW8Num14z2">
    <w:name w:val="WW8Num14z2"/>
    <w:uiPriority w:val="3"/>
    <w:rsid w:val="00A357E2"/>
    <w:rPr>
      <w:rFonts w:ascii="Wingdings" w:hAnsi="Wingdings" w:cs="Wingdings" w:hint="default"/>
    </w:rPr>
  </w:style>
  <w:style w:type="character" w:customStyle="1" w:styleId="WW8Num15z0">
    <w:name w:val="WW8Num15z0"/>
    <w:uiPriority w:val="3"/>
    <w:rsid w:val="00A357E2"/>
    <w:rPr>
      <w:rFonts w:ascii="Symbol" w:hAnsi="Symbol" w:cs="Symbol" w:hint="default"/>
    </w:rPr>
  </w:style>
  <w:style w:type="character" w:customStyle="1" w:styleId="WW8Num15z1">
    <w:name w:val="WW8Num15z1"/>
    <w:uiPriority w:val="3"/>
    <w:rsid w:val="00A357E2"/>
    <w:rPr>
      <w:rFonts w:ascii="Courier New" w:hAnsi="Courier New" w:cs="Courier New" w:hint="default"/>
    </w:rPr>
  </w:style>
  <w:style w:type="character" w:customStyle="1" w:styleId="WW8Num15z2">
    <w:name w:val="WW8Num15z2"/>
    <w:uiPriority w:val="3"/>
    <w:rsid w:val="00A357E2"/>
    <w:rPr>
      <w:rFonts w:ascii="Wingdings" w:hAnsi="Wingdings" w:cs="Wingdings" w:hint="default"/>
    </w:rPr>
  </w:style>
  <w:style w:type="character" w:customStyle="1" w:styleId="WW8Num16z0">
    <w:name w:val="WW8Num16z0"/>
    <w:uiPriority w:val="3"/>
    <w:rsid w:val="00A357E2"/>
    <w:rPr>
      <w:rFonts w:ascii="Symbol" w:hAnsi="Symbol" w:cs="Symbol" w:hint="default"/>
    </w:rPr>
  </w:style>
  <w:style w:type="character" w:customStyle="1" w:styleId="WW8Num16z1">
    <w:name w:val="WW8Num16z1"/>
    <w:uiPriority w:val="3"/>
    <w:rsid w:val="00A357E2"/>
    <w:rPr>
      <w:rFonts w:ascii="Courier New" w:hAnsi="Courier New" w:cs="Courier New" w:hint="default"/>
    </w:rPr>
  </w:style>
  <w:style w:type="character" w:customStyle="1" w:styleId="WW8Num16z2">
    <w:name w:val="WW8Num16z2"/>
    <w:uiPriority w:val="3"/>
    <w:rsid w:val="00A357E2"/>
    <w:rPr>
      <w:rFonts w:ascii="Wingdings" w:hAnsi="Wingdings" w:cs="Wingdings" w:hint="default"/>
    </w:rPr>
  </w:style>
  <w:style w:type="character" w:customStyle="1" w:styleId="DefaultParagraphFont1">
    <w:name w:val="Default Paragraph Font1"/>
    <w:uiPriority w:val="6"/>
    <w:rsid w:val="00A357E2"/>
  </w:style>
  <w:style w:type="character" w:customStyle="1" w:styleId="WW-DefaultParagraphFont">
    <w:name w:val="WW-Default Paragraph Font"/>
    <w:uiPriority w:val="2"/>
    <w:rsid w:val="00A357E2"/>
  </w:style>
  <w:style w:type="character" w:customStyle="1" w:styleId="WW8Num4z3">
    <w:name w:val="WW8Num4z3"/>
    <w:uiPriority w:val="3"/>
    <w:rsid w:val="00A357E2"/>
  </w:style>
  <w:style w:type="character" w:customStyle="1" w:styleId="WW8Num4z5">
    <w:name w:val="WW8Num4z5"/>
    <w:uiPriority w:val="3"/>
    <w:rsid w:val="00A357E2"/>
  </w:style>
  <w:style w:type="character" w:customStyle="1" w:styleId="WW8Num4z6">
    <w:name w:val="WW8Num4z6"/>
    <w:uiPriority w:val="3"/>
    <w:rsid w:val="00A357E2"/>
  </w:style>
  <w:style w:type="character" w:customStyle="1" w:styleId="WW8Num4z7">
    <w:name w:val="WW8Num4z7"/>
    <w:uiPriority w:val="3"/>
    <w:rsid w:val="00A357E2"/>
  </w:style>
  <w:style w:type="character" w:customStyle="1" w:styleId="WW8Num4z8">
    <w:name w:val="WW8Num4z8"/>
    <w:uiPriority w:val="3"/>
    <w:rsid w:val="00A357E2"/>
  </w:style>
  <w:style w:type="character" w:customStyle="1" w:styleId="WW-DefaultParagraphFont1">
    <w:name w:val="WW-Default Paragraph Font1"/>
    <w:uiPriority w:val="2"/>
    <w:rsid w:val="00A357E2"/>
  </w:style>
  <w:style w:type="character" w:customStyle="1" w:styleId="WW-DefaultParagraphFont11">
    <w:name w:val="WW-Default Paragraph Font11"/>
    <w:uiPriority w:val="2"/>
    <w:rsid w:val="00A357E2"/>
  </w:style>
  <w:style w:type="character" w:customStyle="1" w:styleId="WW-DefaultParagraphFont111">
    <w:name w:val="WW-Default Paragraph Font111"/>
    <w:uiPriority w:val="2"/>
    <w:rsid w:val="00A357E2"/>
  </w:style>
  <w:style w:type="character" w:customStyle="1" w:styleId="HeaderChar">
    <w:name w:val="Header Char"/>
    <w:basedOn w:val="WW-DefaultParagraphFont111"/>
    <w:uiPriority w:val="6"/>
    <w:rsid w:val="00A357E2"/>
  </w:style>
  <w:style w:type="character" w:customStyle="1" w:styleId="FooterChar">
    <w:name w:val="Footer Char"/>
    <w:basedOn w:val="WW-DefaultParagraphFont111"/>
    <w:uiPriority w:val="6"/>
    <w:rsid w:val="00A357E2"/>
  </w:style>
  <w:style w:type="character" w:customStyle="1" w:styleId="Heading1Char">
    <w:name w:val="Heading 1 Char"/>
    <w:uiPriority w:val="6"/>
    <w:rsid w:val="00A357E2"/>
    <w:rPr>
      <w:rFonts w:ascii="Times New Roman" w:eastAsia="Times New Roman" w:hAnsi="Times New Roman" w:cs="Times New Roman"/>
      <w:b/>
      <w:bCs/>
      <w:sz w:val="28"/>
      <w:szCs w:val="28"/>
    </w:rPr>
  </w:style>
  <w:style w:type="character" w:customStyle="1" w:styleId="Heading2Char">
    <w:name w:val="Heading 2 Char"/>
    <w:uiPriority w:val="6"/>
    <w:rsid w:val="00A357E2"/>
    <w:rPr>
      <w:rFonts w:ascii="Times New Roman" w:eastAsia="Times New Roman" w:hAnsi="Times New Roman" w:cs="Times New Roman"/>
      <w:bCs/>
      <w:sz w:val="24"/>
      <w:szCs w:val="26"/>
      <w:u w:val="single"/>
    </w:rPr>
  </w:style>
  <w:style w:type="character" w:customStyle="1" w:styleId="Bullets">
    <w:name w:val="Bullets"/>
    <w:uiPriority w:val="6"/>
    <w:rsid w:val="00A357E2"/>
    <w:rPr>
      <w:rFonts w:ascii="OpenSymbol" w:eastAsia="OpenSymbol" w:hAnsi="OpenSymbol" w:cs="OpenSymbol"/>
    </w:rPr>
  </w:style>
  <w:style w:type="character" w:customStyle="1" w:styleId="CommentReference1">
    <w:name w:val="Comment Reference1"/>
    <w:uiPriority w:val="6"/>
    <w:rsid w:val="00A357E2"/>
    <w:rPr>
      <w:sz w:val="16"/>
      <w:szCs w:val="16"/>
    </w:rPr>
  </w:style>
  <w:style w:type="character" w:customStyle="1" w:styleId="WW8Num7z3">
    <w:name w:val="WW8Num7z3"/>
    <w:uiPriority w:val="3"/>
    <w:rsid w:val="00A357E2"/>
  </w:style>
  <w:style w:type="character" w:customStyle="1" w:styleId="WW8Num7z4">
    <w:name w:val="WW8Num7z4"/>
    <w:uiPriority w:val="3"/>
    <w:rsid w:val="00A357E2"/>
  </w:style>
  <w:style w:type="character" w:customStyle="1" w:styleId="WW8Num7z5">
    <w:name w:val="WW8Num7z5"/>
    <w:uiPriority w:val="3"/>
    <w:rsid w:val="00A357E2"/>
  </w:style>
  <w:style w:type="character" w:customStyle="1" w:styleId="WW8Num7z6">
    <w:name w:val="WW8Num7z6"/>
    <w:uiPriority w:val="3"/>
    <w:rsid w:val="00A357E2"/>
  </w:style>
  <w:style w:type="character" w:customStyle="1" w:styleId="WW8Num7z7">
    <w:name w:val="WW8Num7z7"/>
    <w:uiPriority w:val="3"/>
    <w:rsid w:val="00A357E2"/>
  </w:style>
  <w:style w:type="character" w:customStyle="1" w:styleId="WW8Num7z8">
    <w:name w:val="WW8Num7z8"/>
    <w:uiPriority w:val="3"/>
    <w:rsid w:val="00A357E2"/>
  </w:style>
  <w:style w:type="character" w:customStyle="1" w:styleId="NumberingSymbols">
    <w:name w:val="Numbering Symbols"/>
    <w:uiPriority w:val="6"/>
    <w:rsid w:val="00A357E2"/>
  </w:style>
  <w:style w:type="character" w:customStyle="1" w:styleId="FootnoteCharacters">
    <w:name w:val="Footnote Characters"/>
    <w:uiPriority w:val="6"/>
    <w:rsid w:val="00A357E2"/>
  </w:style>
  <w:style w:type="character" w:customStyle="1" w:styleId="FootnoteReference1">
    <w:name w:val="Footnote Reference1"/>
    <w:uiPriority w:val="6"/>
    <w:rsid w:val="00A357E2"/>
    <w:rPr>
      <w:vertAlign w:val="superscript"/>
    </w:rPr>
  </w:style>
  <w:style w:type="character" w:customStyle="1" w:styleId="EndnoteCharacters">
    <w:name w:val="Endnote Characters"/>
    <w:uiPriority w:val="6"/>
    <w:rsid w:val="00A357E2"/>
    <w:rPr>
      <w:vertAlign w:val="superscript"/>
    </w:rPr>
  </w:style>
  <w:style w:type="character" w:customStyle="1" w:styleId="WW-EndnoteCharacters">
    <w:name w:val="WW-Endnote Characters"/>
    <w:uiPriority w:val="2"/>
    <w:rsid w:val="00A357E2"/>
  </w:style>
  <w:style w:type="character" w:customStyle="1" w:styleId="IndexLink">
    <w:name w:val="Index Link"/>
    <w:uiPriority w:val="6"/>
    <w:rsid w:val="00A357E2"/>
  </w:style>
  <w:style w:type="character" w:customStyle="1" w:styleId="TitleChar">
    <w:name w:val="Title Char"/>
    <w:uiPriority w:val="7"/>
    <w:rsid w:val="00A357E2"/>
    <w:rPr>
      <w:rFonts w:ascii="Cambria" w:eastAsia="Times New Roman" w:hAnsi="Cambria" w:cs="Times New Roman"/>
      <w:b/>
      <w:bCs/>
      <w:color w:val="000000"/>
      <w:kern w:val="1"/>
      <w:sz w:val="32"/>
      <w:szCs w:val="32"/>
      <w:lang w:val="en-GB"/>
    </w:rPr>
  </w:style>
  <w:style w:type="paragraph" w:customStyle="1" w:styleId="Caption1">
    <w:name w:val="Caption1"/>
    <w:basedOn w:val="Normal"/>
    <w:uiPriority w:val="7"/>
    <w:rsid w:val="00A357E2"/>
    <w:pPr>
      <w:suppressLineNumbers/>
      <w:spacing w:before="120" w:after="120"/>
    </w:pPr>
    <w:rPr>
      <w:rFonts w:cs="DejaVu Sans"/>
      <w:i/>
      <w:iCs/>
      <w:szCs w:val="24"/>
    </w:rPr>
  </w:style>
  <w:style w:type="paragraph" w:customStyle="1" w:styleId="ContentsHeading">
    <w:name w:val="Contents Heading"/>
    <w:basedOn w:val="Heading"/>
    <w:uiPriority w:val="6"/>
    <w:rsid w:val="00A357E2"/>
    <w:pPr>
      <w:suppressLineNumbers/>
      <w:jc w:val="center"/>
    </w:pPr>
    <w:rPr>
      <w:rFonts w:ascii="Times New Roman" w:hAnsi="Times New Roman" w:cs="Times New Roman"/>
      <w:b/>
      <w:bCs/>
      <w:szCs w:val="32"/>
    </w:rPr>
  </w:style>
  <w:style w:type="paragraph" w:customStyle="1" w:styleId="NoSpacing1">
    <w:name w:val="No Spacing1"/>
    <w:uiPriority w:val="2"/>
    <w:rsid w:val="00A357E2"/>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uiPriority w:val="6"/>
    <w:rsid w:val="00A357E2"/>
    <w:pPr>
      <w:suppressLineNumbers/>
    </w:pPr>
  </w:style>
  <w:style w:type="paragraph" w:customStyle="1" w:styleId="TableHeading">
    <w:name w:val="Table Heading"/>
    <w:basedOn w:val="TableContents"/>
    <w:uiPriority w:val="6"/>
    <w:rsid w:val="00A357E2"/>
    <w:pPr>
      <w:jc w:val="center"/>
    </w:pPr>
    <w:rPr>
      <w:b/>
      <w:bCs/>
    </w:rPr>
  </w:style>
  <w:style w:type="paragraph" w:customStyle="1" w:styleId="PreformattedText">
    <w:name w:val="Preformatted Text"/>
    <w:basedOn w:val="Normal"/>
    <w:uiPriority w:val="6"/>
    <w:rsid w:val="00A357E2"/>
    <w:rPr>
      <w:rFonts w:ascii="DejaVu Sans Mono" w:eastAsia="Droid Sans" w:hAnsi="DejaVu Sans Mono" w:cs="DejaVu Sans Mono"/>
      <w:sz w:val="20"/>
      <w:szCs w:val="20"/>
    </w:rPr>
  </w:style>
  <w:style w:type="paragraph" w:customStyle="1" w:styleId="ListParagraph1">
    <w:name w:val="List Paragraph1"/>
    <w:basedOn w:val="Normal"/>
    <w:uiPriority w:val="7"/>
    <w:rsid w:val="00A357E2"/>
  </w:style>
  <w:style w:type="paragraph" w:customStyle="1" w:styleId="Contents10">
    <w:name w:val="Contents 10"/>
    <w:basedOn w:val="Index"/>
    <w:uiPriority w:val="6"/>
    <w:rsid w:val="00A357E2"/>
    <w:pPr>
      <w:tabs>
        <w:tab w:val="right" w:leader="dot" w:pos="7091"/>
      </w:tabs>
      <w:ind w:left="2547"/>
    </w:pPr>
  </w:style>
  <w:style w:type="paragraph" w:customStyle="1" w:styleId="NormalWeb1">
    <w:name w:val="Normal (Web)1"/>
    <w:basedOn w:val="Normal"/>
    <w:uiPriority w:val="7"/>
    <w:rsid w:val="00A357E2"/>
    <w:pPr>
      <w:spacing w:line="100" w:lineRule="atLeast"/>
    </w:pPr>
    <w:rPr>
      <w:szCs w:val="24"/>
    </w:rPr>
  </w:style>
</w:styles>
</file>

<file path=word/webSettings.xml><?xml version="1.0" encoding="utf-8"?>
<w:webSettings xmlns:r="http://schemas.openxmlformats.org/officeDocument/2006/relationships" xmlns:w="http://schemas.openxmlformats.org/wordprocessingml/2006/main">
  <w:encoding w:val="utf-8"/>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11</Pages>
  <Words>3304</Words>
  <Characters>18838</Characters>
  <Application>Microsoft Office Word</Application>
  <DocSecurity>0</DocSecurity>
  <Lines>156</Lines>
  <Paragraphs>44</Paragraphs>
  <ScaleCrop>false</ScaleCrop>
  <Company/>
  <LinksUpToDate>false</LinksUpToDate>
  <CharactersWithSpaces>22098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Sakshi Pathak X-D</dc:creator>
  <cp:lastModifiedBy>ASUS</cp:lastModifiedBy>
  <cp:revision>4</cp:revision>
  <dcterms:created xsi:type="dcterms:W3CDTF">2023-04-21T07:49:00Z</dcterms:created>
  <dcterms:modified xsi:type="dcterms:W3CDTF">2023-04-21T08:00:00Z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_Grammarly_42___1">
    <vt:lpwstr>H4sIAAAAAAAEAKtWcslP9kxRslIyNDayNDAwMDGwNDY1NDIyNrBU0lEKTi0uzszPAykwNKwFAIOJomotAAAA</vt:lpwstr>
  </property>
  <property fmtid="{D5CDD505-2E9C-101B-9397-08002B2CF9AE}" pid="3" name="__Grammarly_42____i">
    <vt:lpwstr>H4sIAAAAAAAEAKtWckksSQxILCpxzi/NK1GyMqwFAAEhoTITAAAA</vt:lpwstr>
  </property>
  <property fmtid="{D5CDD505-2E9C-101B-9397-08002B2CF9AE}" pid="4" name="KSOProductBuildVer">
    <vt:lpwstr>1033-11.2.0.11516</vt:lpwstr>
  </property>
  <property fmtid="{D5CDD505-2E9C-101B-9397-08002B2CF9AE}" pid="5" name="ICV">
    <vt:lpwstr>83C71E8109F043B98A39178A3800607C</vt:lpwstr>
  </property>
</Properties>
</file>