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E5C" w:rsidRDefault="00456E5C" w:rsidP="00456E5C">
      <w:pPr>
        <w:spacing w:after="0" w:line="240" w:lineRule="auto"/>
        <w:ind w:left="-180" w:right="-334"/>
        <w:rPr>
          <w:rFonts w:ascii="Arial" w:eastAsia="SimSun" w:hAnsi="Arial" w:cs="Arial"/>
          <w:b/>
          <w:color w:val="000000"/>
          <w:sz w:val="28"/>
          <w:szCs w:val="28"/>
          <w:lang w:val="cy-GB" w:eastAsia="zh-CN"/>
        </w:rPr>
      </w:pPr>
      <w:r>
        <w:rPr>
          <w:noProof/>
          <w:lang w:eastAsia="en-GB"/>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56E5C" w:rsidRPr="00456E5C" w:rsidRDefault="00456E5C" w:rsidP="00A2275C">
      <w:pPr>
        <w:spacing w:after="0" w:line="240" w:lineRule="auto"/>
        <w:ind w:left="1440" w:right="-334" w:firstLine="720"/>
        <w:rPr>
          <w:rFonts w:ascii="Arial" w:eastAsia="SimSun" w:hAnsi="Arial" w:cs="Arial"/>
          <w:b/>
          <w:color w:val="000000"/>
          <w:sz w:val="28"/>
          <w:szCs w:val="28"/>
          <w:lang w:val="cy-GB" w:eastAsia="zh-CN"/>
        </w:rPr>
      </w:pPr>
      <w:r w:rsidRPr="00456E5C">
        <w:rPr>
          <w:rFonts w:ascii="Arial" w:eastAsia="SimSun" w:hAnsi="Arial" w:cs="Arial"/>
          <w:b/>
          <w:color w:val="000000"/>
          <w:sz w:val="28"/>
          <w:szCs w:val="28"/>
          <w:lang w:val="cy-GB" w:eastAsia="zh-CN"/>
        </w:rPr>
        <w:t xml:space="preserve">Postgraduate/Distance Learning </w:t>
      </w:r>
    </w:p>
    <w:p w:rsidR="00456E5C" w:rsidRPr="00456E5C" w:rsidRDefault="00456E5C" w:rsidP="00456E5C">
      <w:pPr>
        <w:spacing w:after="0" w:line="240" w:lineRule="auto"/>
        <w:ind w:left="-180" w:right="-334"/>
        <w:jc w:val="center"/>
        <w:rPr>
          <w:rFonts w:ascii="Arial" w:eastAsia="SimSun" w:hAnsi="Arial" w:cs="Arial"/>
          <w:b/>
          <w:color w:val="000000"/>
          <w:sz w:val="28"/>
          <w:szCs w:val="28"/>
          <w:lang w:eastAsia="zh-CN"/>
        </w:rPr>
      </w:pPr>
      <w:r w:rsidRPr="00456E5C">
        <w:rPr>
          <w:rFonts w:ascii="Arial" w:eastAsia="SimSun" w:hAnsi="Arial" w:cs="Arial"/>
          <w:b/>
          <w:color w:val="000000"/>
          <w:sz w:val="28"/>
          <w:szCs w:val="28"/>
          <w:lang w:val="cy-GB" w:eastAsia="zh-CN"/>
        </w:rPr>
        <w:t>Assignment coversheet &amp; feedback form</w:t>
      </w:r>
    </w:p>
    <w:p w:rsidR="00456E5C" w:rsidRPr="00456E5C" w:rsidRDefault="00456E5C" w:rsidP="00456E5C">
      <w:pPr>
        <w:spacing w:after="0" w:line="240" w:lineRule="auto"/>
        <w:rPr>
          <w:rFonts w:ascii="Arial" w:eastAsia="SimSun" w:hAnsi="Arial" w:cs="Arial"/>
          <w:sz w:val="28"/>
          <w:szCs w:val="28"/>
          <w:lang w:val="cy-GB" w:eastAsia="zh-CN"/>
        </w:rPr>
      </w:pPr>
    </w:p>
    <w:p w:rsidR="00456E5C" w:rsidRPr="00456E5C" w:rsidRDefault="00456E5C" w:rsidP="00456E5C">
      <w:pPr>
        <w:keepNext/>
        <w:spacing w:after="0" w:line="240" w:lineRule="auto"/>
        <w:ind w:left="720"/>
        <w:jc w:val="center"/>
        <w:outlineLvl w:val="2"/>
        <w:rPr>
          <w:rFonts w:ascii="Tahoma" w:eastAsia="SimSun" w:hAnsi="Tahoma" w:cs="Tahoma"/>
          <w:b/>
          <w:bCs/>
          <w:sz w:val="20"/>
          <w:szCs w:val="20"/>
          <w:lang w:val="cy-GB" w:eastAsia="zh-CN"/>
        </w:rPr>
      </w:pPr>
      <w:r w:rsidRPr="00456E5C">
        <w:rPr>
          <w:rFonts w:ascii="Tahoma" w:eastAsia="SimSun" w:hAnsi="Tahoma" w:cs="Tahoma"/>
          <w:b/>
          <w:bCs/>
          <w:sz w:val="20"/>
          <w:szCs w:val="20"/>
          <w:lang w:val="cy-GB" w:eastAsia="zh-CN"/>
        </w:rPr>
        <w:t>THIS SHEET MUST BE THE FIRST PAGE OF THE ASSIGNMENT YOU ARE SUBMITTING  (DO NOT SEND AS A SEPARATE FILE)</w:t>
      </w:r>
    </w:p>
    <w:p w:rsidR="00456E5C" w:rsidRPr="00456E5C" w:rsidRDefault="00456E5C" w:rsidP="00456E5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6E5C" w:rsidRPr="00456E5C" w:rsidTr="005022D7">
        <w:trPr>
          <w:trHeight w:val="614"/>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b/>
                <w:color w:val="000000"/>
                <w:lang w:eastAsia="zh-CN"/>
              </w:rPr>
              <w:t>For completion by the student</w:t>
            </w:r>
            <w:r w:rsidRPr="00456E5C">
              <w:rPr>
                <w:rFonts w:ascii="Arial" w:eastAsia="SimSun" w:hAnsi="Arial" w:cs="Arial"/>
                <w:color w:val="000000"/>
                <w:lang w:eastAsia="zh-CN"/>
              </w:rPr>
              <w:t>:</w:t>
            </w:r>
          </w:p>
        </w:tc>
      </w:tr>
      <w:tr w:rsidR="00456E5C" w:rsidRPr="00456E5C" w:rsidTr="005022D7">
        <w:trPr>
          <w:trHeight w:val="718"/>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Name: Niema Bohrayba</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Student </w:t>
            </w:r>
            <w:r w:rsidRPr="00456E5C">
              <w:rPr>
                <w:rFonts w:ascii="Arial" w:eastAsia="SimSun" w:hAnsi="Arial" w:cs="Arial"/>
                <w:b/>
                <w:bCs/>
                <w:color w:val="000000"/>
                <w:u w:val="single"/>
                <w:lang w:eastAsia="zh-CN"/>
              </w:rPr>
              <w:t>University</w:t>
            </w:r>
            <w:r w:rsidRPr="00456E5C">
              <w:rPr>
                <w:rFonts w:ascii="Arial" w:eastAsia="SimSun" w:hAnsi="Arial" w:cs="Arial"/>
                <w:color w:val="000000"/>
                <w:u w:val="single"/>
                <w:lang w:eastAsia="zh-CN"/>
              </w:rPr>
              <w:t xml:space="preserve"> </w:t>
            </w:r>
            <w:r w:rsidRPr="00456E5C">
              <w:rPr>
                <w:rFonts w:ascii="Arial" w:eastAsia="SimSun" w:hAnsi="Arial" w:cs="Arial"/>
                <w:color w:val="000000"/>
                <w:lang w:eastAsia="zh-CN"/>
              </w:rPr>
              <w:t xml:space="preserve">Email: </w:t>
            </w:r>
            <w:r w:rsidRPr="00456E5C">
              <w:rPr>
                <w:rFonts w:ascii="Arial" w:eastAsia="SimSun" w:hAnsi="Arial" w:cs="Arial"/>
                <w:color w:val="333333"/>
                <w:sz w:val="21"/>
                <w:szCs w:val="21"/>
                <w:lang w:eastAsia="zh-CN"/>
              </w:rPr>
              <w:t>1707539@student.uwtsd.ac.uk</w:t>
            </w:r>
          </w:p>
        </w:tc>
      </w:tr>
      <w:tr w:rsidR="00456E5C" w:rsidRPr="00456E5C" w:rsidTr="005022D7">
        <w:trPr>
          <w:trHeight w:val="849"/>
        </w:trPr>
        <w:tc>
          <w:tcPr>
            <w:tcW w:w="4788" w:type="dxa"/>
          </w:tcPr>
          <w:p w:rsidR="00456E5C" w:rsidRPr="00456E5C" w:rsidRDefault="00456E5C" w:rsidP="003901E7">
            <w:pPr>
              <w:spacing w:after="0" w:line="240" w:lineRule="auto"/>
              <w:ind w:right="34"/>
              <w:jc w:val="both"/>
              <w:rPr>
                <w:rFonts w:ascii="Arial" w:eastAsia="SimSun" w:hAnsi="Arial" w:cs="Arial"/>
                <w:color w:val="000000"/>
                <w:lang w:eastAsia="zh-CN"/>
              </w:rPr>
            </w:pPr>
            <w:r w:rsidRPr="00456E5C">
              <w:rPr>
                <w:rFonts w:ascii="Arial" w:eastAsia="SimSun" w:hAnsi="Arial" w:cs="Arial"/>
                <w:color w:val="000000"/>
                <w:lang w:eastAsia="zh-CN"/>
              </w:rPr>
              <w:t xml:space="preserve">Module code: </w:t>
            </w:r>
            <w:r w:rsidR="003901E7">
              <w:rPr>
                <w:rFonts w:ascii="Arial" w:hAnsi="Arial" w:cs="Arial"/>
                <w:color w:val="333333"/>
                <w:sz w:val="21"/>
                <w:szCs w:val="21"/>
              </w:rPr>
              <w:t>HPCA7002</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3901E7" w:rsidRDefault="00456E5C" w:rsidP="003901E7">
            <w:pPr>
              <w:pStyle w:val="Default"/>
            </w:pPr>
            <w:r w:rsidRPr="00456E5C">
              <w:rPr>
                <w:rFonts w:eastAsia="SimSun"/>
                <w:lang w:eastAsia="zh-CN"/>
              </w:rPr>
              <w:t xml:space="preserve">Module title: </w:t>
            </w:r>
            <w:r w:rsidR="003901E7">
              <w:rPr>
                <w:b/>
                <w:bCs/>
                <w:sz w:val="22"/>
                <w:szCs w:val="22"/>
              </w:rPr>
              <w:t>Researching Contemporary Cosmologies</w:t>
            </w:r>
          </w:p>
          <w:p w:rsidR="00456E5C" w:rsidRPr="00456E5C" w:rsidRDefault="00456E5C" w:rsidP="00456E5C">
            <w:pPr>
              <w:spacing w:after="0" w:line="240" w:lineRule="auto"/>
              <w:ind w:right="34"/>
              <w:rPr>
                <w:rFonts w:ascii="Arial" w:eastAsia="SimSun" w:hAnsi="Arial" w:cs="Arial"/>
                <w:color w:val="000000"/>
                <w:lang w:eastAsia="zh-CN"/>
              </w:rPr>
            </w:pPr>
          </w:p>
        </w:tc>
        <w:tc>
          <w:tcPr>
            <w:tcW w:w="2266" w:type="dxa"/>
            <w:gridSpan w:val="3"/>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ID number:</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Times New Roman" w:hAnsi="Arial" w:cs="Arial"/>
                <w:color w:val="000000"/>
                <w:sz w:val="21"/>
                <w:szCs w:val="21"/>
                <w:lang w:eastAsia="zh-CN"/>
              </w:rPr>
              <w:t>1707539</w:t>
            </w:r>
          </w:p>
        </w:tc>
        <w:tc>
          <w:tcPr>
            <w:tcW w:w="1802"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Educational support needs: No</w:t>
            </w:r>
          </w:p>
        </w:tc>
      </w:tr>
      <w:tr w:rsidR="00456E5C" w:rsidRPr="00456E5C" w:rsidTr="005022D7">
        <w:trPr>
          <w:trHeight w:val="1139"/>
        </w:trPr>
        <w:tc>
          <w:tcPr>
            <w:tcW w:w="8856" w:type="dxa"/>
            <w:gridSpan w:val="5"/>
          </w:tcPr>
          <w:p w:rsidR="003901E7" w:rsidRPr="003901E7" w:rsidRDefault="00456E5C" w:rsidP="003901E7">
            <w:pPr>
              <w:rPr>
                <w:rFonts w:ascii="Arial" w:hAnsi="Arial" w:cs="Arial"/>
                <w:sz w:val="24"/>
                <w:szCs w:val="24"/>
              </w:rPr>
            </w:pPr>
            <w:r w:rsidRPr="00456E5C">
              <w:rPr>
                <w:rFonts w:ascii="Arial" w:eastAsia="SimSun" w:hAnsi="Arial" w:cs="Arial"/>
                <w:lang w:eastAsia="zh-CN"/>
              </w:rPr>
              <w:t>Assignment title:</w:t>
            </w:r>
            <w:r w:rsidR="003901E7">
              <w:rPr>
                <w:rFonts w:ascii="Arial" w:hAnsi="Arial" w:cs="Arial"/>
                <w:b/>
                <w:sz w:val="24"/>
                <w:szCs w:val="24"/>
              </w:rPr>
              <w:t xml:space="preserve"> </w:t>
            </w:r>
            <w:r w:rsidR="003901E7" w:rsidRPr="003901E7">
              <w:rPr>
                <w:rFonts w:ascii="Arial" w:hAnsi="Arial" w:cs="Arial"/>
                <w:sz w:val="24"/>
                <w:szCs w:val="24"/>
              </w:rPr>
              <w:t>The role of Lunar rituals in a small group of professionals in Devon.</w:t>
            </w:r>
          </w:p>
          <w:p w:rsidR="008E501A" w:rsidRDefault="00456E5C" w:rsidP="008E501A">
            <w:pPr>
              <w:spacing w:line="360" w:lineRule="auto"/>
              <w:rPr>
                <w:rFonts w:ascii="Arial" w:hAnsi="Arial" w:cs="Arial"/>
                <w:sz w:val="24"/>
                <w:szCs w:val="24"/>
              </w:rPr>
            </w:pPr>
            <w:r w:rsidRPr="00456E5C">
              <w:rPr>
                <w:rFonts w:ascii="Arial" w:eastAsia="SimSun" w:hAnsi="Arial" w:cs="Arial"/>
                <w:lang w:eastAsia="zh-CN"/>
              </w:rPr>
              <w:t xml:space="preserve"> </w:t>
            </w:r>
          </w:p>
          <w:p w:rsidR="00456E5C" w:rsidRPr="00456E5C" w:rsidRDefault="00456E5C" w:rsidP="00456E5C">
            <w:pPr>
              <w:spacing w:after="0" w:line="240" w:lineRule="auto"/>
              <w:rPr>
                <w:rFonts w:ascii="Arial" w:eastAsia="Calibri" w:hAnsi="Arial" w:cs="Arial"/>
                <w:sz w:val="24"/>
                <w:szCs w:val="24"/>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3901E7"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13.05</w:t>
            </w:r>
            <w:r w:rsidR="008E501A">
              <w:rPr>
                <w:rFonts w:ascii="Arial" w:eastAsia="SimSun" w:hAnsi="Arial" w:cs="Arial"/>
                <w:color w:val="000000"/>
                <w:lang w:eastAsia="zh-CN"/>
              </w:rPr>
              <w:t>.2019</w:t>
            </w:r>
          </w:p>
        </w:tc>
      </w:tr>
      <w:tr w:rsidR="00456E5C" w:rsidRPr="00456E5C" w:rsidTr="005022D7">
        <w:trPr>
          <w:trHeight w:val="978"/>
        </w:trPr>
        <w:tc>
          <w:tcPr>
            <w:tcW w:w="8856" w:type="dxa"/>
            <w:gridSpan w:val="5"/>
            <w:tcBorders>
              <w:bottom w:val="single" w:sz="4" w:space="0" w:color="000000"/>
            </w:tcBorders>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This assignment is for the       1</w:t>
            </w:r>
            <w:r w:rsidRPr="00456E5C">
              <w:rPr>
                <w:rFonts w:ascii="Arial" w:eastAsia="SimSun" w:hAnsi="Arial" w:cs="Arial"/>
                <w:vertAlign w:val="superscript"/>
                <w:lang w:eastAsia="zh-CN"/>
              </w:rPr>
              <w:t xml:space="preserve">st </w:t>
            </w:r>
            <w:r w:rsidRPr="00456E5C">
              <w:rPr>
                <w:rFonts w:ascii="Arial" w:eastAsia="SimSun" w:hAnsi="Arial" w:cs="Arial"/>
                <w:lang w:eastAsia="zh-CN"/>
              </w:rPr>
              <w:t>X    2</w:t>
            </w:r>
            <w:r w:rsidRPr="00456E5C">
              <w:rPr>
                <w:rFonts w:ascii="Arial" w:eastAsia="SimSun" w:hAnsi="Arial" w:cs="Arial"/>
                <w:vertAlign w:val="superscript"/>
                <w:lang w:eastAsia="zh-CN"/>
              </w:rPr>
              <w:t>nd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4"/>
                  <w:enabled/>
                  <w:calcOnExit w:val="0"/>
                  <w:checkBox>
                    <w:sizeAuto/>
                    <w:default w:val="0"/>
                  </w:checkBox>
                </w:ffData>
              </w:fldChar>
            </w:r>
            <w:bookmarkStart w:id="0" w:name="Check14"/>
            <w:r w:rsidRPr="00456E5C">
              <w:rPr>
                <w:rFonts w:ascii="Arial" w:eastAsia="SimSun" w:hAnsi="Arial" w:cs="Arial"/>
                <w:lang w:eastAsia="zh-CN"/>
              </w:rPr>
              <w:instrText xml:space="preserve"> FORMCHECKBOX </w:instrText>
            </w:r>
            <w:r w:rsidR="00336FC3">
              <w:rPr>
                <w:rFonts w:ascii="Arial" w:eastAsia="SimSun" w:hAnsi="Arial" w:cs="Arial"/>
                <w:lang w:eastAsia="zh-CN"/>
              </w:rPr>
            </w:r>
            <w:r w:rsidR="00336FC3">
              <w:rPr>
                <w:rFonts w:ascii="Arial" w:eastAsia="SimSun" w:hAnsi="Arial" w:cs="Arial"/>
                <w:lang w:eastAsia="zh-CN"/>
              </w:rPr>
              <w:fldChar w:fldCharType="separate"/>
            </w:r>
            <w:r w:rsidRPr="00456E5C">
              <w:rPr>
                <w:rFonts w:ascii="Arial" w:eastAsia="SimSun" w:hAnsi="Arial" w:cs="Arial"/>
                <w:lang w:eastAsia="zh-CN"/>
              </w:rPr>
              <w:fldChar w:fldCharType="end"/>
            </w:r>
            <w:bookmarkEnd w:id="0"/>
            <w:r w:rsidRPr="00456E5C">
              <w:rPr>
                <w:rFonts w:ascii="Arial" w:eastAsia="SimSun" w:hAnsi="Arial" w:cs="Arial"/>
                <w:lang w:eastAsia="zh-CN"/>
              </w:rPr>
              <w:t xml:space="preserve">     3</w:t>
            </w:r>
            <w:r w:rsidRPr="00456E5C">
              <w:rPr>
                <w:rFonts w:ascii="Arial" w:eastAsia="SimSun" w:hAnsi="Arial" w:cs="Arial"/>
                <w:vertAlign w:val="superscript"/>
                <w:lang w:eastAsia="zh-CN"/>
              </w:rPr>
              <w:t>rd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5"/>
                  <w:enabled/>
                  <w:calcOnExit w:val="0"/>
                  <w:checkBox>
                    <w:sizeAuto/>
                    <w:default w:val="0"/>
                  </w:checkBox>
                </w:ffData>
              </w:fldChar>
            </w:r>
            <w:bookmarkStart w:id="1" w:name="Check15"/>
            <w:r w:rsidRPr="00456E5C">
              <w:rPr>
                <w:rFonts w:ascii="Arial" w:eastAsia="SimSun" w:hAnsi="Arial" w:cs="Arial"/>
                <w:lang w:eastAsia="zh-CN"/>
              </w:rPr>
              <w:instrText xml:space="preserve"> FORMCHECKBOX </w:instrText>
            </w:r>
            <w:r w:rsidR="00336FC3">
              <w:rPr>
                <w:rFonts w:ascii="Arial" w:eastAsia="SimSun" w:hAnsi="Arial" w:cs="Arial"/>
                <w:lang w:eastAsia="zh-CN"/>
              </w:rPr>
            </w:r>
            <w:r w:rsidR="00336FC3">
              <w:rPr>
                <w:rFonts w:ascii="Arial" w:eastAsia="SimSun" w:hAnsi="Arial" w:cs="Arial"/>
                <w:lang w:eastAsia="zh-CN"/>
              </w:rPr>
              <w:fldChar w:fldCharType="separate"/>
            </w:r>
            <w:r w:rsidRPr="00456E5C">
              <w:rPr>
                <w:rFonts w:ascii="Arial" w:eastAsia="SimSun" w:hAnsi="Arial" w:cs="Arial"/>
                <w:lang w:eastAsia="zh-CN"/>
              </w:rPr>
              <w:fldChar w:fldCharType="end"/>
            </w:r>
            <w:bookmarkEnd w:id="1"/>
            <w:r w:rsidRPr="00456E5C">
              <w:rPr>
                <w:rFonts w:ascii="Arial" w:eastAsia="SimSun" w:hAnsi="Arial" w:cs="Arial"/>
                <w:lang w:eastAsia="zh-CN"/>
              </w:rPr>
              <w:t xml:space="preserve">      4</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6"/>
                  <w:enabled/>
                  <w:calcOnExit w:val="0"/>
                  <w:checkBox>
                    <w:sizeAuto/>
                    <w:default w:val="0"/>
                  </w:checkBox>
                </w:ffData>
              </w:fldChar>
            </w:r>
            <w:bookmarkStart w:id="2" w:name="Check16"/>
            <w:r w:rsidRPr="00456E5C">
              <w:rPr>
                <w:rFonts w:ascii="Arial" w:eastAsia="SimSun" w:hAnsi="Arial" w:cs="Arial"/>
                <w:lang w:eastAsia="zh-CN"/>
              </w:rPr>
              <w:instrText xml:space="preserve"> FORMCHECKBOX </w:instrText>
            </w:r>
            <w:r w:rsidR="00336FC3">
              <w:rPr>
                <w:rFonts w:ascii="Arial" w:eastAsia="SimSun" w:hAnsi="Arial" w:cs="Arial"/>
                <w:lang w:eastAsia="zh-CN"/>
              </w:rPr>
            </w:r>
            <w:r w:rsidR="00336FC3">
              <w:rPr>
                <w:rFonts w:ascii="Arial" w:eastAsia="SimSun" w:hAnsi="Arial" w:cs="Arial"/>
                <w:lang w:eastAsia="zh-CN"/>
              </w:rPr>
              <w:fldChar w:fldCharType="separate"/>
            </w:r>
            <w:r w:rsidRPr="00456E5C">
              <w:rPr>
                <w:rFonts w:ascii="Arial" w:eastAsia="SimSun" w:hAnsi="Arial" w:cs="Arial"/>
                <w:lang w:eastAsia="zh-CN"/>
              </w:rPr>
              <w:fldChar w:fldCharType="end"/>
            </w:r>
            <w:bookmarkEnd w:id="2"/>
            <w:r w:rsidRPr="00456E5C">
              <w:rPr>
                <w:rFonts w:ascii="Arial" w:eastAsia="SimSun" w:hAnsi="Arial" w:cs="Arial"/>
                <w:lang w:eastAsia="zh-CN"/>
              </w:rPr>
              <w:t xml:space="preserve">      5</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7"/>
                  <w:enabled/>
                  <w:calcOnExit w:val="0"/>
                  <w:checkBox>
                    <w:sizeAuto/>
                    <w:default w:val="0"/>
                  </w:checkBox>
                </w:ffData>
              </w:fldChar>
            </w:r>
            <w:bookmarkStart w:id="3" w:name="Check17"/>
            <w:r w:rsidRPr="00456E5C">
              <w:rPr>
                <w:rFonts w:ascii="Arial" w:eastAsia="SimSun" w:hAnsi="Arial" w:cs="Arial"/>
                <w:lang w:eastAsia="zh-CN"/>
              </w:rPr>
              <w:instrText xml:space="preserve"> FORMCHECKBOX </w:instrText>
            </w:r>
            <w:r w:rsidR="00336FC3">
              <w:rPr>
                <w:rFonts w:ascii="Arial" w:eastAsia="SimSun" w:hAnsi="Arial" w:cs="Arial"/>
                <w:lang w:eastAsia="zh-CN"/>
              </w:rPr>
            </w:r>
            <w:r w:rsidR="00336FC3">
              <w:rPr>
                <w:rFonts w:ascii="Arial" w:eastAsia="SimSun" w:hAnsi="Arial" w:cs="Arial"/>
                <w:lang w:eastAsia="zh-CN"/>
              </w:rPr>
              <w:fldChar w:fldCharType="separate"/>
            </w:r>
            <w:r w:rsidRPr="00456E5C">
              <w:rPr>
                <w:rFonts w:ascii="Arial" w:eastAsia="SimSun" w:hAnsi="Arial" w:cs="Arial"/>
                <w:lang w:eastAsia="zh-CN"/>
              </w:rPr>
              <w:fldChar w:fldCharType="end"/>
            </w:r>
            <w:bookmarkEnd w:id="3"/>
            <w:r w:rsidRPr="00456E5C">
              <w:rPr>
                <w:rFonts w:ascii="Arial" w:eastAsia="SimSun" w:hAnsi="Arial" w:cs="Arial"/>
                <w:lang w:eastAsia="zh-CN"/>
              </w:rPr>
              <w:t xml:space="preserve">      6</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8"/>
                  <w:enabled/>
                  <w:calcOnExit w:val="0"/>
                  <w:checkBox>
                    <w:sizeAuto/>
                    <w:default w:val="0"/>
                  </w:checkBox>
                </w:ffData>
              </w:fldChar>
            </w:r>
            <w:bookmarkStart w:id="4" w:name="Check18"/>
            <w:r w:rsidRPr="00456E5C">
              <w:rPr>
                <w:rFonts w:ascii="Arial" w:eastAsia="SimSun" w:hAnsi="Arial" w:cs="Arial"/>
                <w:lang w:eastAsia="zh-CN"/>
              </w:rPr>
              <w:instrText xml:space="preserve"> FORMCHECKBOX </w:instrText>
            </w:r>
            <w:r w:rsidR="00336FC3">
              <w:rPr>
                <w:rFonts w:ascii="Arial" w:eastAsia="SimSun" w:hAnsi="Arial" w:cs="Arial"/>
                <w:lang w:eastAsia="zh-CN"/>
              </w:rPr>
            </w:r>
            <w:r w:rsidR="00336FC3">
              <w:rPr>
                <w:rFonts w:ascii="Arial" w:eastAsia="SimSun" w:hAnsi="Arial" w:cs="Arial"/>
                <w:lang w:eastAsia="zh-CN"/>
              </w:rPr>
              <w:fldChar w:fldCharType="separate"/>
            </w:r>
            <w:r w:rsidRPr="00456E5C">
              <w:rPr>
                <w:rFonts w:ascii="Arial" w:eastAsia="SimSun" w:hAnsi="Arial" w:cs="Arial"/>
                <w:lang w:eastAsia="zh-CN"/>
              </w:rPr>
              <w:fldChar w:fldCharType="end"/>
            </w:r>
            <w:bookmarkEnd w:id="4"/>
            <w:r w:rsidRPr="00456E5C">
              <w:rPr>
                <w:rFonts w:ascii="Arial" w:eastAsia="SimSun" w:hAnsi="Arial" w:cs="Arial"/>
                <w:b/>
                <w:lang w:eastAsia="zh-CN"/>
              </w:rPr>
              <w:t xml:space="preserve">   </w:t>
            </w:r>
            <w:r w:rsidRPr="00456E5C">
              <w:rPr>
                <w:rFonts w:ascii="Arial" w:eastAsia="SimSun" w:hAnsi="Arial" w:cs="Arial"/>
                <w:lang w:eastAsia="zh-CN"/>
              </w:rPr>
              <w:t>module of the degree</w:t>
            </w:r>
          </w:p>
        </w:tc>
      </w:tr>
      <w:tr w:rsidR="00456E5C" w:rsidRPr="00456E5C" w:rsidTr="005022D7">
        <w:trPr>
          <w:trHeight w:val="978"/>
        </w:trPr>
        <w:tc>
          <w:tcPr>
            <w:tcW w:w="8856" w:type="dxa"/>
            <w:gridSpan w:val="5"/>
            <w:shd w:val="clear" w:color="auto" w:fill="D9D9D9"/>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I confirm that this is my original work and that I have adhered to the University policy on plagiarism.</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Signed …</w:t>
            </w:r>
            <w:r w:rsidR="00746DFA">
              <w:rPr>
                <w:rFonts w:ascii="Arial" w:eastAsia="SimSun" w:hAnsi="Arial" w:cs="Arial"/>
                <w:color w:val="000000"/>
                <w:lang w:eastAsia="zh-CN"/>
              </w:rPr>
              <w:t>Niema Bohrayba</w:t>
            </w:r>
            <w:r w:rsidRPr="00456E5C">
              <w:rPr>
                <w:rFonts w:ascii="Arial" w:eastAsia="SimSun" w:hAnsi="Arial" w:cs="Arial"/>
                <w:color w:val="000000"/>
                <w:lang w:eastAsia="zh-CN"/>
              </w:rPr>
              <w:t>…………………………………………………………</w:t>
            </w:r>
          </w:p>
          <w:p w:rsidR="00456E5C" w:rsidRPr="00456E5C" w:rsidRDefault="00456E5C" w:rsidP="00456E5C">
            <w:pPr>
              <w:spacing w:after="0" w:line="240" w:lineRule="auto"/>
              <w:ind w:right="34"/>
              <w:rPr>
                <w:rFonts w:ascii="Calibri" w:eastAsia="SimSun" w:hAnsi="Calibri" w:cs="Calibri"/>
                <w:b/>
                <w:color w:val="000000"/>
                <w:sz w:val="44"/>
                <w:szCs w:val="44"/>
                <w:lang w:eastAsia="zh-CN"/>
              </w:rPr>
            </w:pPr>
            <w:r w:rsidRPr="00456E5C">
              <w:rPr>
                <w:rFonts w:ascii="Calibri" w:eastAsia="SimSun" w:hAnsi="Calibri" w:cs="Tahoma"/>
                <w:b/>
                <w:color w:val="000000"/>
                <w:sz w:val="24"/>
                <w:szCs w:val="24"/>
                <w:lang w:eastAsia="zh-CN"/>
              </w:rPr>
              <w:t xml:space="preserve">Email submission:if you are submitting this form via email, please tick this box </w:t>
            </w:r>
            <w:r w:rsidRPr="00456E5C">
              <w:rPr>
                <w:rFonts w:ascii="Calibri" w:eastAsia="SimSun" w:hAnsi="Calibri" w:cs="Calibri"/>
                <w:b/>
                <w:color w:val="000000"/>
                <w:sz w:val="44"/>
                <w:szCs w:val="44"/>
                <w:lang w:eastAsia="zh-CN"/>
              </w:rPr>
              <w:t>□</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Calibri" w:eastAsia="SimSun" w:hAnsi="Calibri" w:cs="Tahoma"/>
                <w:b/>
                <w:color w:val="000000"/>
                <w:sz w:val="24"/>
                <w:szCs w:val="24"/>
                <w:lang w:eastAsia="zh-CN"/>
              </w:rPr>
              <w:t>(as a substitute for your signature) to confirm that you agree to the above declaration.</w:t>
            </w:r>
          </w:p>
        </w:tc>
      </w:tr>
      <w:tr w:rsidR="00456E5C" w:rsidRPr="00456E5C" w:rsidTr="005022D7">
        <w:trPr>
          <w:trHeight w:val="3972"/>
        </w:trPr>
        <w:tc>
          <w:tcPr>
            <w:tcW w:w="8856" w:type="dxa"/>
            <w:gridSpan w:val="5"/>
          </w:tcPr>
          <w:p w:rsidR="00456E5C" w:rsidRPr="00456E5C" w:rsidRDefault="00456E5C" w:rsidP="00456E5C">
            <w:pPr>
              <w:spacing w:after="0" w:line="240" w:lineRule="auto"/>
              <w:rPr>
                <w:rFonts w:ascii="Arial" w:eastAsia="SimSun" w:hAnsi="Arial" w:cs="Times New Roman"/>
                <w:b/>
                <w:sz w:val="24"/>
                <w:szCs w:val="24"/>
                <w:lang w:eastAsia="zh-CN"/>
              </w:rPr>
            </w:pPr>
          </w:p>
          <w:p w:rsidR="00456E5C" w:rsidRPr="00456E5C" w:rsidRDefault="00456E5C" w:rsidP="00456E5C">
            <w:pPr>
              <w:spacing w:after="0" w:line="240" w:lineRule="auto"/>
              <w:rPr>
                <w:rFonts w:ascii="Arial" w:eastAsia="SimSun" w:hAnsi="Arial" w:cs="Times New Roman"/>
                <w:sz w:val="24"/>
                <w:szCs w:val="24"/>
                <w:lang w:eastAsia="zh-CN"/>
              </w:rPr>
            </w:pPr>
            <w:r w:rsidRPr="00456E5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1</w:t>
                  </w:r>
                  <w:r w:rsidRPr="00456E5C">
                    <w:rPr>
                      <w:rFonts w:ascii="Arial" w:eastAsia="SimSun" w:hAnsi="Arial" w:cs="Times New Roman"/>
                      <w:sz w:val="20"/>
                      <w:szCs w:val="20"/>
                      <w:vertAlign w:val="superscript"/>
                      <w:lang w:eastAsia="zh-CN"/>
                    </w:rPr>
                    <w:t>st</w:t>
                  </w:r>
                  <w:r w:rsidRPr="00456E5C">
                    <w:rPr>
                      <w:rFonts w:ascii="Arial" w:eastAsia="SimSun" w:hAnsi="Arial" w:cs="Times New Roman"/>
                      <w:sz w:val="20"/>
                      <w:szCs w:val="20"/>
                      <w:lang w:eastAsia="zh-CN"/>
                    </w:rPr>
                    <w:t xml:space="preserve"> Marker’s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2</w:t>
                  </w:r>
                  <w:r w:rsidRPr="00456E5C">
                    <w:rPr>
                      <w:rFonts w:ascii="Arial" w:eastAsia="SimSun" w:hAnsi="Arial" w:cs="Times New Roman"/>
                      <w:sz w:val="20"/>
                      <w:szCs w:val="20"/>
                      <w:vertAlign w:val="superscript"/>
                      <w:lang w:eastAsia="zh-CN"/>
                    </w:rPr>
                    <w:t>nd</w:t>
                  </w:r>
                  <w:r w:rsidRPr="00456E5C">
                    <w:rPr>
                      <w:rFonts w:ascii="Arial" w:eastAsia="SimSun" w:hAnsi="Arial" w:cs="Times New Roman"/>
                      <w:sz w:val="20"/>
                      <w:szCs w:val="20"/>
                      <w:lang w:eastAsia="zh-CN"/>
                    </w:rPr>
                    <w:t xml:space="preserve"> Marker’s/Moderator’s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External Examiner’s mark (if relevant)</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b/>
                      <w:sz w:val="20"/>
                      <w:szCs w:val="20"/>
                      <w:lang w:eastAsia="zh-CN"/>
                    </w:rPr>
                  </w:pPr>
                  <w:r w:rsidRPr="00456E5C">
                    <w:rPr>
                      <w:rFonts w:ascii="Arial" w:eastAsia="SimSun" w:hAnsi="Arial" w:cs="Times New Roman"/>
                      <w:b/>
                      <w:sz w:val="20"/>
                      <w:szCs w:val="20"/>
                      <w:lang w:eastAsia="zh-CN"/>
                    </w:rPr>
                    <w:t>Final Mark</w:t>
                  </w:r>
                </w:p>
                <w:p w:rsidR="00456E5C" w:rsidRPr="00456E5C" w:rsidRDefault="00456E5C" w:rsidP="00456E5C">
                  <w:pPr>
                    <w:spacing w:after="0" w:line="240" w:lineRule="auto"/>
                    <w:rPr>
                      <w:rFonts w:ascii="Arial" w:eastAsia="SimSun" w:hAnsi="Arial" w:cs="Times New Roman"/>
                      <w:sz w:val="20"/>
                      <w:szCs w:val="20"/>
                      <w:lang w:eastAsia="zh-CN"/>
                    </w:rPr>
                  </w:pP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bl>
          <w:p w:rsidR="00456E5C" w:rsidRPr="00456E5C" w:rsidRDefault="00456E5C" w:rsidP="00456E5C">
            <w:pPr>
              <w:spacing w:after="0" w:line="240" w:lineRule="auto"/>
              <w:ind w:left="142" w:right="34"/>
              <w:rPr>
                <w:rFonts w:ascii="Arial" w:eastAsia="SimSun" w:hAnsi="Arial" w:cs="Arial"/>
                <w:b/>
                <w:color w:val="000000"/>
                <w:lang w:eastAsia="zh-CN"/>
              </w:rPr>
            </w:pPr>
          </w:p>
          <w:p w:rsidR="00456E5C" w:rsidRPr="00456E5C" w:rsidRDefault="00456E5C" w:rsidP="00456E5C">
            <w:pPr>
              <w:spacing w:after="0" w:line="240" w:lineRule="auto"/>
              <w:ind w:left="142" w:right="34"/>
              <w:rPr>
                <w:rFonts w:ascii="Arial" w:eastAsia="SimSun" w:hAnsi="Arial" w:cs="Arial"/>
                <w:color w:val="000000"/>
                <w:lang w:eastAsia="zh-CN"/>
              </w:rPr>
            </w:pPr>
            <w:r w:rsidRPr="00456E5C">
              <w:rPr>
                <w:rFonts w:ascii="Arial" w:eastAsia="SimSun" w:hAnsi="Arial" w:cs="Arial"/>
                <w:b/>
                <w:color w:val="000000"/>
                <w:lang w:eastAsia="zh-CN"/>
              </w:rPr>
              <w:t>NB.</w:t>
            </w:r>
            <w:r w:rsidRPr="00456E5C">
              <w:rPr>
                <w:rFonts w:ascii="Arial" w:eastAsia="SimSun" w:hAnsi="Arial" w:cs="Arial"/>
                <w:color w:val="000000"/>
                <w:lang w:eastAsia="zh-CN"/>
              </w:rPr>
              <w:t xml:space="preserve">  All marks are provisional until confirmed by the Final Examination Board.</w:t>
            </w: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r w:rsidRPr="00456E5C">
              <w:rPr>
                <w:rFonts w:ascii="Arial" w:eastAsia="SimSun" w:hAnsi="Arial" w:cs="Arial"/>
                <w:b/>
                <w:color w:val="000000"/>
                <w:lang w:eastAsia="zh-CN"/>
              </w:rPr>
              <w:t>For completion by Marker 1 :</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r w:rsidRPr="00456E5C">
              <w:rPr>
                <w:rFonts w:ascii="Arial" w:eastAsia="SimSun" w:hAnsi="Arial" w:cs="Arial"/>
                <w:color w:val="000000"/>
                <w:lang w:eastAsia="zh-CN"/>
              </w:rPr>
              <w:t>Comments:</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p>
        </w:tc>
      </w:tr>
      <w:tr w:rsidR="00456E5C" w:rsidRPr="00456E5C" w:rsidTr="005022D7">
        <w:trPr>
          <w:trHeight w:val="492"/>
        </w:trPr>
        <w:tc>
          <w:tcPr>
            <w:tcW w:w="6768" w:type="dxa"/>
            <w:gridSpan w:val="3"/>
          </w:tcPr>
          <w:p w:rsidR="00456E5C" w:rsidRPr="00456E5C" w:rsidRDefault="00456E5C" w:rsidP="00456E5C">
            <w:pPr>
              <w:spacing w:before="100" w:beforeAutospacing="1" w:after="10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Marker’s signature:</w:t>
            </w:r>
          </w:p>
        </w:tc>
        <w:tc>
          <w:tcPr>
            <w:tcW w:w="2088" w:type="dxa"/>
            <w:gridSpan w:val="2"/>
          </w:tcPr>
          <w:p w:rsidR="00456E5C" w:rsidRPr="00456E5C" w:rsidRDefault="00456E5C" w:rsidP="00456E5C">
            <w:pPr>
              <w:spacing w:before="100" w:beforeAutospacing="1" w:after="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Date:</w:t>
            </w:r>
          </w:p>
        </w:tc>
      </w:tr>
      <w:tr w:rsidR="00456E5C" w:rsidRPr="00456E5C" w:rsidTr="005022D7">
        <w:tc>
          <w:tcPr>
            <w:tcW w:w="8856" w:type="dxa"/>
            <w:gridSpan w:val="5"/>
          </w:tcPr>
          <w:p w:rsidR="00456E5C" w:rsidRPr="00456E5C" w:rsidRDefault="00456E5C" w:rsidP="00456E5C">
            <w:pPr>
              <w:spacing w:after="0" w:line="240" w:lineRule="auto"/>
              <w:ind w:right="-334"/>
              <w:rPr>
                <w:rFonts w:ascii="Arial" w:eastAsia="SimSun" w:hAnsi="Arial" w:cs="Arial"/>
                <w:bCs/>
                <w:i/>
                <w:color w:val="000000"/>
                <w:lang w:eastAsia="zh-CN"/>
              </w:rPr>
            </w:pPr>
          </w:p>
          <w:p w:rsidR="00456E5C" w:rsidRPr="00456E5C" w:rsidRDefault="00456E5C" w:rsidP="00456E5C">
            <w:pPr>
              <w:spacing w:after="0" w:line="240" w:lineRule="auto"/>
              <w:ind w:right="-334"/>
              <w:rPr>
                <w:rFonts w:ascii="Arial" w:eastAsia="SimSun" w:hAnsi="Arial" w:cs="Arial"/>
                <w:b/>
                <w:bCs/>
                <w:color w:val="000000"/>
                <w:lang w:eastAsia="zh-CN"/>
              </w:rPr>
            </w:pPr>
            <w:r w:rsidRPr="00456E5C">
              <w:rPr>
                <w:rFonts w:ascii="Arial" w:eastAsia="SimSun" w:hAnsi="Arial" w:cs="Arial"/>
                <w:b/>
                <w:bCs/>
                <w:color w:val="000000"/>
                <w:lang w:eastAsia="zh-CN"/>
              </w:rPr>
              <w:t>For completion by Marker 2/Moderator:</w:t>
            </w:r>
          </w:p>
          <w:p w:rsidR="00456E5C" w:rsidRPr="00456E5C" w:rsidRDefault="00456E5C" w:rsidP="00456E5C">
            <w:pPr>
              <w:spacing w:after="0" w:line="240" w:lineRule="auto"/>
              <w:ind w:right="-334"/>
              <w:rPr>
                <w:rFonts w:ascii="Arial" w:eastAsia="SimSun" w:hAnsi="Arial" w:cs="Arial"/>
                <w:b/>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Comments:</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Marker’s Signature:</w:t>
            </w:r>
          </w:p>
        </w:tc>
        <w:tc>
          <w:tcPr>
            <w:tcW w:w="3645" w:type="dxa"/>
            <w:gridSpan w:val="3"/>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Date:</w:t>
            </w:r>
          </w:p>
        </w:tc>
      </w:tr>
      <w:tr w:rsidR="00456E5C" w:rsidRPr="00456E5C" w:rsidTr="005022D7">
        <w:trPr>
          <w:trHeight w:val="720"/>
        </w:trPr>
        <w:tc>
          <w:tcPr>
            <w:tcW w:w="8856" w:type="dxa"/>
            <w:gridSpan w:val="5"/>
          </w:tcPr>
          <w:p w:rsidR="00456E5C" w:rsidRPr="00456E5C" w:rsidRDefault="00456E5C" w:rsidP="00456E5C">
            <w:pPr>
              <w:spacing w:after="0" w:line="240" w:lineRule="auto"/>
              <w:rPr>
                <w:rFonts w:ascii="Arial" w:eastAsia="SimSun" w:hAnsi="Arial" w:cs="Arial"/>
                <w:b/>
                <w:lang w:eastAsia="zh-CN"/>
              </w:rPr>
            </w:pPr>
            <w:r w:rsidRPr="00456E5C">
              <w:rPr>
                <w:rFonts w:ascii="Arial" w:eastAsia="SimSun" w:hAnsi="Arial" w:cs="Arial"/>
                <w:b/>
                <w:lang w:eastAsia="zh-CN"/>
              </w:rPr>
              <w:t>External Examiner’s comments (if relevant)</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lastRenderedPageBreak/>
              <w:t>External Examiner’s Signature:</w:t>
            </w:r>
          </w:p>
        </w:tc>
        <w:tc>
          <w:tcPr>
            <w:tcW w:w="3645" w:type="dxa"/>
            <w:gridSpan w:val="3"/>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Date:</w:t>
            </w:r>
          </w:p>
        </w:tc>
      </w:tr>
    </w:tbl>
    <w:p w:rsidR="00A2275C" w:rsidRDefault="00A2275C"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456E5C">
      <w:pPr>
        <w:rPr>
          <w:rFonts w:ascii="Arial" w:hAnsi="Arial" w:cs="Arial"/>
          <w:b/>
          <w:sz w:val="24"/>
          <w:szCs w:val="24"/>
        </w:rPr>
      </w:pPr>
    </w:p>
    <w:p w:rsidR="003901E7" w:rsidRDefault="003901E7" w:rsidP="003901E7">
      <w:pPr>
        <w:rPr>
          <w:rFonts w:ascii="Arial" w:hAnsi="Arial" w:cs="Arial"/>
          <w:b/>
          <w:sz w:val="24"/>
          <w:szCs w:val="24"/>
        </w:rPr>
      </w:pPr>
      <w:r>
        <w:rPr>
          <w:rFonts w:ascii="Arial" w:hAnsi="Arial" w:cs="Arial"/>
          <w:b/>
          <w:sz w:val="24"/>
          <w:szCs w:val="24"/>
        </w:rPr>
        <w:lastRenderedPageBreak/>
        <w:t>The role of Lunar rituals in a small group of professionals in Devon.</w:t>
      </w:r>
    </w:p>
    <w:p w:rsidR="003901E7" w:rsidRDefault="003901E7" w:rsidP="003901E7">
      <w:pPr>
        <w:rPr>
          <w:rFonts w:ascii="Arial" w:hAnsi="Arial" w:cs="Arial"/>
          <w:sz w:val="24"/>
          <w:szCs w:val="24"/>
        </w:rPr>
      </w:pPr>
      <w:r>
        <w:rPr>
          <w:rFonts w:ascii="Arial" w:hAnsi="Arial" w:cs="Arial"/>
          <w:sz w:val="24"/>
          <w:szCs w:val="24"/>
        </w:rPr>
        <w:t xml:space="preserve">The moon plays a central role as a cosmic timer for religious and spiritual practices. In Judaism an increase in new moon rituals known as Rosh Chodesh has been credited these with the development of new religious practices. Whilst in Paganism, specific lunar phases are associated with certain practices. These practices range from manifesting rituals at full moons to letting go rituals during the dark moon phase. With paganism estimated to being the second largest faith in the South West, this is pertinent to the study given its location. The aim of this study is to ascertain if a small group of participants all whom live and work in Devon notice or mark the lunar phases with any particular rituals. After reviewing the data captured through a qualitative study using semi structured interviews, it is apparent that even among this small group of participants, there is evidence to suggest that some of the participants do note and partake in lunar rituals at the new and full moons.  </w:t>
      </w:r>
    </w:p>
    <w:p w:rsidR="003901E7" w:rsidRDefault="003901E7" w:rsidP="003901E7"/>
    <w:p w:rsidR="003901E7" w:rsidRDefault="003901E7" w:rsidP="003901E7">
      <w:pPr>
        <w:rPr>
          <w:rFonts w:ascii="Arial" w:hAnsi="Arial" w:cs="Arial"/>
          <w:b/>
          <w:sz w:val="24"/>
          <w:szCs w:val="24"/>
        </w:rPr>
      </w:pPr>
      <w:r>
        <w:rPr>
          <w:rFonts w:ascii="Arial" w:hAnsi="Arial" w:cs="Arial"/>
          <w:b/>
          <w:sz w:val="24"/>
          <w:szCs w:val="24"/>
        </w:rPr>
        <w:t>Literature Review:</w:t>
      </w:r>
    </w:p>
    <w:p w:rsidR="003901E7" w:rsidRDefault="003901E7" w:rsidP="003901E7">
      <w:pPr>
        <w:spacing w:after="0"/>
        <w:rPr>
          <w:rFonts w:ascii="Arial" w:hAnsi="Arial" w:cs="Arial"/>
          <w:sz w:val="24"/>
          <w:szCs w:val="24"/>
        </w:rPr>
      </w:pPr>
      <w:r>
        <w:rPr>
          <w:rFonts w:ascii="Arial" w:hAnsi="Arial" w:cs="Arial"/>
          <w:sz w:val="24"/>
          <w:szCs w:val="24"/>
        </w:rPr>
        <w:t>The moon and it phases play a central role in some religious and spiritual practices.</w:t>
      </w:r>
    </w:p>
    <w:p w:rsidR="003901E7" w:rsidRDefault="003901E7" w:rsidP="003901E7">
      <w:pPr>
        <w:spacing w:after="0"/>
        <w:rPr>
          <w:rFonts w:ascii="Arial" w:hAnsi="Arial" w:cs="Arial"/>
          <w:sz w:val="24"/>
          <w:szCs w:val="24"/>
        </w:rPr>
      </w:pPr>
      <w:r>
        <w:rPr>
          <w:rFonts w:ascii="Arial" w:hAnsi="Arial" w:cs="Arial"/>
          <w:sz w:val="24"/>
          <w:szCs w:val="24"/>
        </w:rPr>
        <w:t xml:space="preserve">As cosmic timers, signifying the commencement of a special time, or a time where specific rituals are to be conducted, lunar phases are of particular importance. The moon’s appearance changes throughout the lunar month, it is this variation in appearance that is known as lunar phases. </w:t>
      </w:r>
    </w:p>
    <w:p w:rsidR="003901E7" w:rsidRDefault="003901E7" w:rsidP="003901E7">
      <w:pPr>
        <w:spacing w:after="0"/>
        <w:rPr>
          <w:rFonts w:ascii="Arial" w:hAnsi="Arial" w:cs="Arial"/>
          <w:sz w:val="24"/>
          <w:szCs w:val="24"/>
        </w:rPr>
      </w:pPr>
    </w:p>
    <w:p w:rsidR="003901E7" w:rsidRDefault="003901E7" w:rsidP="003901E7">
      <w:pPr>
        <w:spacing w:after="0"/>
        <w:rPr>
          <w:rFonts w:ascii="Arial" w:hAnsi="Arial" w:cs="Arial"/>
          <w:sz w:val="24"/>
          <w:szCs w:val="24"/>
        </w:rPr>
      </w:pPr>
      <w:r>
        <w:rPr>
          <w:rFonts w:ascii="Arial" w:hAnsi="Arial" w:cs="Arial"/>
          <w:sz w:val="24"/>
          <w:szCs w:val="24"/>
        </w:rPr>
        <w:t>According to astrologer Kelly Surtees</w:t>
      </w:r>
      <w:r>
        <w:rPr>
          <w:rStyle w:val="FootnoteReference"/>
          <w:rFonts w:ascii="Arial" w:hAnsi="Arial" w:cs="Arial"/>
          <w:sz w:val="24"/>
          <w:szCs w:val="24"/>
        </w:rPr>
        <w:footnoteReference w:id="1"/>
      </w:r>
      <w:r>
        <w:rPr>
          <w:rFonts w:ascii="Arial" w:hAnsi="Arial" w:cs="Arial"/>
          <w:sz w:val="24"/>
          <w:szCs w:val="24"/>
        </w:rPr>
        <w:t xml:space="preserve"> there are eight recognisable lunar phases, these are: 1. New moon, 2. (Waxing) Crescent Moon, 3. First (waxing quarter moon), 4. Waxing gibbous moon, 5. The Full moon, 6. Disseminating (waning gibbous moon), 7. Last (waning quarter moon), and 8. Balsamic or Dark moon.</w:t>
      </w:r>
    </w:p>
    <w:p w:rsidR="003901E7" w:rsidRDefault="003901E7" w:rsidP="003901E7">
      <w:pPr>
        <w:spacing w:after="0"/>
        <w:rPr>
          <w:rFonts w:ascii="Arial" w:hAnsi="Arial" w:cs="Arial"/>
          <w:sz w:val="24"/>
          <w:szCs w:val="24"/>
        </w:rPr>
      </w:pPr>
    </w:p>
    <w:p w:rsidR="003901E7" w:rsidRDefault="003901E7" w:rsidP="003901E7">
      <w:pPr>
        <w:rPr>
          <w:rFonts w:ascii="Arial" w:eastAsia="Times New Roman" w:hAnsi="Arial" w:cs="Arial"/>
          <w:color w:val="000000" w:themeColor="text1"/>
          <w:sz w:val="24"/>
          <w:szCs w:val="24"/>
          <w:lang w:val="en-US" w:eastAsia="en-GB"/>
        </w:rPr>
      </w:pPr>
      <w:r>
        <w:rPr>
          <w:rFonts w:ascii="Arial" w:hAnsi="Arial" w:cs="Arial"/>
          <w:sz w:val="24"/>
          <w:szCs w:val="24"/>
        </w:rPr>
        <w:t>Surtees further adds that “</w:t>
      </w:r>
      <w:r>
        <w:rPr>
          <w:rFonts w:ascii="Arial" w:eastAsia="Times New Roman" w:hAnsi="Arial" w:cs="Arial"/>
          <w:color w:val="000000" w:themeColor="text1"/>
          <w:sz w:val="24"/>
          <w:szCs w:val="24"/>
          <w:lang w:val="en-US" w:eastAsia="en-GB"/>
        </w:rPr>
        <w:t>Each Moon phase is precisely 45 degrees in Zodiacal longitude, this means that it covers 45 degrees of space on the Zodiac wheel. The Zodiac wheel, like all circles, is made up of 360 degrees, and our eight 45 degree moon phases total up to this number. Each Moon phase lasts approximately 3½ days.</w:t>
      </w:r>
    </w:p>
    <w:p w:rsidR="003901E7" w:rsidRDefault="003901E7" w:rsidP="003901E7">
      <w:pPr>
        <w:rPr>
          <w:rFonts w:ascii="Arial" w:hAnsi="Arial" w:cs="Arial"/>
          <w:sz w:val="24"/>
          <w:szCs w:val="24"/>
          <w:lang w:val="en"/>
        </w:rPr>
      </w:pPr>
      <w:r>
        <w:rPr>
          <w:rFonts w:ascii="Arial" w:eastAsia="Times New Roman" w:hAnsi="Arial" w:cs="Arial"/>
          <w:color w:val="000000" w:themeColor="text1"/>
          <w:sz w:val="24"/>
          <w:szCs w:val="24"/>
          <w:lang w:val="en-US" w:eastAsia="en-GB"/>
        </w:rPr>
        <w:t>Most lunar cycles are distinguishable to the unaided eye with the exception of the new moon. The lunar cycle starts with the new moon, and from an astronomical perspective</w:t>
      </w:r>
      <w:r>
        <w:rPr>
          <w:rFonts w:ascii="Arial" w:hAnsi="Arial" w:cs="Arial"/>
          <w:sz w:val="24"/>
          <w:szCs w:val="24"/>
          <w:lang w:val="en"/>
        </w:rPr>
        <w:t xml:space="preserve"> this occurs when “the Moon and Sun have the same ecliptic longitude. </w:t>
      </w:r>
      <w:r>
        <w:rPr>
          <w:rFonts w:ascii="Arial" w:hAnsi="Arial" w:cs="Arial"/>
          <w:sz w:val="24"/>
          <w:szCs w:val="24"/>
          <w:lang w:val="en"/>
        </w:rPr>
        <w:lastRenderedPageBreak/>
        <w:t>At this phase, the lunar disk is not visible to the unaided eye, except when silhouetted during a solar eclipse”</w:t>
      </w:r>
      <w:r>
        <w:rPr>
          <w:rStyle w:val="FootnoteReference"/>
          <w:rFonts w:ascii="Arial" w:hAnsi="Arial" w:cs="Arial"/>
          <w:sz w:val="24"/>
          <w:szCs w:val="24"/>
          <w:lang w:val="en"/>
        </w:rPr>
        <w:footnoteReference w:id="2"/>
      </w:r>
      <w:r>
        <w:rPr>
          <w:rFonts w:ascii="Arial" w:hAnsi="Arial" w:cs="Arial"/>
          <w:sz w:val="24"/>
          <w:szCs w:val="24"/>
          <w:lang w:val="en"/>
        </w:rPr>
        <w:t xml:space="preserve">. </w:t>
      </w:r>
    </w:p>
    <w:p w:rsidR="003901E7" w:rsidRDefault="003901E7" w:rsidP="003901E7">
      <w:pPr>
        <w:rPr>
          <w:rFonts w:ascii="Arial" w:hAnsi="Arial" w:cs="Arial"/>
          <w:sz w:val="24"/>
          <w:szCs w:val="24"/>
          <w:lang w:val="en"/>
        </w:rPr>
      </w:pPr>
      <w:r>
        <w:rPr>
          <w:rFonts w:ascii="Arial" w:hAnsi="Arial" w:cs="Arial"/>
          <w:sz w:val="24"/>
          <w:szCs w:val="24"/>
          <w:lang w:val="en"/>
        </w:rPr>
        <w:t>This astronomical definition of the new moon differs from how the new moon may be defined from a religious or spiritual perspective. According to the (Encyclopedia Judaica</w:t>
      </w:r>
      <w:r>
        <w:rPr>
          <w:rStyle w:val="FootnoteReference"/>
          <w:rFonts w:ascii="Arial" w:hAnsi="Arial" w:cs="Arial"/>
          <w:sz w:val="24"/>
          <w:szCs w:val="24"/>
          <w:lang w:val="en"/>
        </w:rPr>
        <w:footnoteReference w:id="3"/>
      </w:r>
      <w:r>
        <w:rPr>
          <w:rFonts w:ascii="Arial" w:hAnsi="Arial" w:cs="Arial"/>
          <w:sz w:val="24"/>
          <w:szCs w:val="24"/>
          <w:lang w:val="en"/>
        </w:rPr>
        <w:t xml:space="preserve"> Vol. 12, p. 1039) the Jewish definition of a new moon is that “originally it was not fixed by astronomical calculation, but was solemnly proclaimed after witnesses had testified to the reappearance of the crescent of the moon”. According to Hammudah ‘ Abd al ‘Ati</w:t>
      </w:r>
      <w:r>
        <w:rPr>
          <w:rStyle w:val="FootnoteReference"/>
          <w:rFonts w:ascii="Arial" w:hAnsi="Arial" w:cs="Arial"/>
          <w:sz w:val="24"/>
          <w:szCs w:val="24"/>
          <w:lang w:val="en"/>
        </w:rPr>
        <w:footnoteReference w:id="4"/>
      </w:r>
      <w:r>
        <w:rPr>
          <w:rFonts w:ascii="Arial" w:hAnsi="Arial" w:cs="Arial"/>
          <w:sz w:val="24"/>
          <w:szCs w:val="24"/>
          <w:lang w:val="en"/>
        </w:rPr>
        <w:t xml:space="preserve"> this position is similar to that of Islam where sighting of the moon is critical for the commencement of the new lunar month especially during the 9</w:t>
      </w:r>
      <w:r>
        <w:rPr>
          <w:rFonts w:ascii="Arial" w:hAnsi="Arial" w:cs="Arial"/>
          <w:sz w:val="24"/>
          <w:szCs w:val="24"/>
          <w:vertAlign w:val="superscript"/>
          <w:lang w:val="en"/>
        </w:rPr>
        <w:t>th</w:t>
      </w:r>
      <w:r>
        <w:rPr>
          <w:rFonts w:ascii="Arial" w:hAnsi="Arial" w:cs="Arial"/>
          <w:sz w:val="24"/>
          <w:szCs w:val="24"/>
          <w:lang w:val="en"/>
        </w:rPr>
        <w:t xml:space="preserve"> month of the Islamic calendar when Muslims are required to observe a fast. The prophet Muhammed said:</w:t>
      </w:r>
    </w:p>
    <w:p w:rsidR="003901E7" w:rsidRDefault="003901E7" w:rsidP="003901E7">
      <w:pPr>
        <w:rPr>
          <w:rFonts w:ascii="Arial" w:hAnsi="Arial" w:cs="Arial"/>
          <w:color w:val="000000" w:themeColor="text1"/>
          <w:sz w:val="24"/>
          <w:szCs w:val="24"/>
        </w:rPr>
      </w:pPr>
      <w:r>
        <w:rPr>
          <w:rFonts w:ascii="Arial" w:hAnsi="Arial" w:cs="Arial"/>
          <w:color w:val="000000" w:themeColor="text1"/>
          <w:sz w:val="24"/>
          <w:szCs w:val="24"/>
          <w:lang w:val="en"/>
        </w:rPr>
        <w:t xml:space="preserve"> “Fast at its sighting (the new moon of Ramadan), and terminate the fast at its sighting(the new moon of the following month Shawal)."</w:t>
      </w:r>
    </w:p>
    <w:p w:rsidR="003901E7" w:rsidRDefault="003901E7" w:rsidP="003901E7">
      <w:pPr>
        <w:rPr>
          <w:rFonts w:ascii="Arial" w:hAnsi="Arial" w:cs="Arial"/>
          <w:sz w:val="24"/>
          <w:szCs w:val="24"/>
        </w:rPr>
      </w:pPr>
      <w:r>
        <w:rPr>
          <w:rFonts w:ascii="Arial" w:hAnsi="Arial" w:cs="Arial"/>
          <w:sz w:val="24"/>
          <w:szCs w:val="24"/>
        </w:rPr>
        <w:t>The new moon is important from a cultural perspective because of its association with some rituals and practices. In Judaism Rosen &amp; Rosen (2000, 263-264) identified an increase in new moon rituals (Rosh Chodesh or festival of the new moon) and credited these with the development of new religious practices focused predominately on women. These practices include holding Rosh Chodesh gatherings of women on or around the new moon. The study does not state if these gathering place any level of importance on this being the astronomical new moon or the earliest point when the moon becomes visible. These gatherings sometimes take place in a synagogue, at other times they take place in participant’s homes or in community settings.</w:t>
      </w:r>
    </w:p>
    <w:p w:rsidR="003901E7" w:rsidRDefault="003901E7" w:rsidP="003901E7">
      <w:pPr>
        <w:rPr>
          <w:rFonts w:ascii="Arial" w:hAnsi="Arial" w:cs="Arial"/>
          <w:sz w:val="24"/>
          <w:szCs w:val="24"/>
        </w:rPr>
      </w:pPr>
      <w:r>
        <w:rPr>
          <w:rFonts w:ascii="Arial" w:hAnsi="Arial" w:cs="Arial"/>
          <w:sz w:val="24"/>
          <w:szCs w:val="24"/>
        </w:rPr>
        <w:t>New moons are also important astrologically, with practitioners such as Jan Spiller</w:t>
      </w:r>
      <w:r>
        <w:rPr>
          <w:rStyle w:val="FootnoteReference"/>
          <w:rFonts w:ascii="Arial" w:hAnsi="Arial" w:cs="Arial"/>
          <w:sz w:val="24"/>
          <w:szCs w:val="24"/>
        </w:rPr>
        <w:footnoteReference w:id="5"/>
      </w:r>
      <w:r>
        <w:rPr>
          <w:rFonts w:ascii="Arial" w:hAnsi="Arial" w:cs="Arial"/>
          <w:sz w:val="24"/>
          <w:szCs w:val="24"/>
        </w:rPr>
        <w:t xml:space="preserve"> referring to astronomical new moons as “New Moon Power Periods”. These power periods last from the moment the sun and moon are conjunct in the sky up to 48 hours after this time, and are considered an ideal time to undertake a “new moon wish ritual”. In this sense Spiller utilises the astronomical new moon as her definition of a new moon.</w:t>
      </w:r>
    </w:p>
    <w:p w:rsidR="003901E7" w:rsidRDefault="003901E7" w:rsidP="003901E7">
      <w:pPr>
        <w:rPr>
          <w:rFonts w:ascii="Arial" w:hAnsi="Arial" w:cs="Arial"/>
          <w:sz w:val="24"/>
          <w:szCs w:val="24"/>
        </w:rPr>
      </w:pPr>
      <w:r>
        <w:rPr>
          <w:rFonts w:ascii="Arial" w:hAnsi="Arial" w:cs="Arial"/>
          <w:sz w:val="24"/>
          <w:szCs w:val="24"/>
        </w:rPr>
        <w:t xml:space="preserve">Spiller further asserts that each new moon has a particular focus depending on the nature of the astrological sign where the new moon takes place, and that this should be incorporated into the ritual for that particular lunation. </w:t>
      </w:r>
    </w:p>
    <w:p w:rsidR="003901E7" w:rsidRDefault="003901E7" w:rsidP="003901E7">
      <w:pPr>
        <w:rPr>
          <w:rFonts w:ascii="Arial" w:hAnsi="Arial" w:cs="Arial"/>
          <w:sz w:val="24"/>
          <w:szCs w:val="24"/>
        </w:rPr>
      </w:pPr>
      <w:r>
        <w:rPr>
          <w:rFonts w:ascii="Arial" w:hAnsi="Arial" w:cs="Arial"/>
          <w:sz w:val="24"/>
          <w:szCs w:val="24"/>
        </w:rPr>
        <w:lastRenderedPageBreak/>
        <w:t>This is echoed by practitioners such as Kelly Surtees</w:t>
      </w:r>
      <w:r>
        <w:rPr>
          <w:rStyle w:val="FootnoteReference"/>
          <w:rFonts w:ascii="Arial" w:hAnsi="Arial" w:cs="Arial"/>
          <w:sz w:val="24"/>
          <w:szCs w:val="24"/>
        </w:rPr>
        <w:footnoteReference w:id="6"/>
      </w:r>
      <w:r>
        <w:rPr>
          <w:rFonts w:ascii="Arial" w:hAnsi="Arial" w:cs="Arial"/>
          <w:sz w:val="24"/>
          <w:szCs w:val="24"/>
        </w:rPr>
        <w:t xml:space="preserve"> and Cassandra Tindall</w:t>
      </w:r>
      <w:r>
        <w:rPr>
          <w:rStyle w:val="FootnoteReference"/>
          <w:rFonts w:ascii="Arial" w:hAnsi="Arial" w:cs="Arial"/>
          <w:sz w:val="24"/>
          <w:szCs w:val="24"/>
        </w:rPr>
        <w:footnoteReference w:id="7"/>
      </w:r>
      <w:r>
        <w:rPr>
          <w:rFonts w:ascii="Arial" w:hAnsi="Arial" w:cs="Arial"/>
          <w:sz w:val="24"/>
          <w:szCs w:val="24"/>
        </w:rPr>
        <w:t xml:space="preserve"> whom both advocate not only for utilising the astronomical new moon as a time for intention setting rituals but also for the type of intention to be aligned with the astrological flavour of the astrological sign where the new moon is taking place. They are also aligned with Spiller in utilising the astronomical new moon data in their practice as opposed to the earliest visibility of the new moon.</w:t>
      </w:r>
    </w:p>
    <w:p w:rsidR="003901E7" w:rsidRDefault="003901E7" w:rsidP="003901E7">
      <w:pPr>
        <w:rPr>
          <w:rFonts w:ascii="Arial" w:hAnsi="Arial" w:cs="Arial"/>
          <w:sz w:val="24"/>
          <w:szCs w:val="24"/>
        </w:rPr>
      </w:pPr>
      <w:r>
        <w:rPr>
          <w:rFonts w:ascii="Arial" w:hAnsi="Arial" w:cs="Arial"/>
          <w:sz w:val="24"/>
          <w:szCs w:val="24"/>
        </w:rPr>
        <w:t>Lunar phases are of importance for rituals in Paganism. Stacey Demarco</w:t>
      </w:r>
      <w:r>
        <w:rPr>
          <w:rStyle w:val="FootnoteReference"/>
          <w:rFonts w:ascii="Arial" w:hAnsi="Arial" w:cs="Arial"/>
          <w:sz w:val="24"/>
          <w:szCs w:val="24"/>
        </w:rPr>
        <w:footnoteReference w:id="8"/>
      </w:r>
      <w:r>
        <w:rPr>
          <w:rFonts w:ascii="Arial" w:hAnsi="Arial" w:cs="Arial"/>
          <w:sz w:val="24"/>
          <w:szCs w:val="24"/>
        </w:rPr>
        <w:t xml:space="preserve"> highlights that whilst rituals can be undertaken at any time (in group or solitary settings), certain times within the lunar cycle are more suited to certain types of rituals. This includes conducting manifesting rituals during the full moon phase and cord cutting rituals during the dark moon phase which in her opinion happens just before the emergence of the moon as a new crescent. This supports the concept advocated in both Judaism and Islam that the moon is considered new when it becomes visible. Demarco’s practice is based on her particular pagan path known as Wicca. In this path, the journey of the moon through its phases mirrors the path of the triple sides of the Goddess with the waxing phases representing the Maiden Goddess, and hence the time for initiating new things. The full moon phase represents the fertile Mother Goddess, a time for manifesting rituals. The waning phases represents the Crone Goddess with all her wisdom, a time for ridding one’s self of all things unnecessary. </w:t>
      </w:r>
    </w:p>
    <w:p w:rsidR="003901E7" w:rsidRDefault="003901E7" w:rsidP="003901E7">
      <w:pPr>
        <w:rPr>
          <w:rFonts w:ascii="Arial" w:hAnsi="Arial" w:cs="Arial"/>
          <w:sz w:val="24"/>
          <w:szCs w:val="24"/>
        </w:rPr>
      </w:pPr>
      <w:r>
        <w:rPr>
          <w:rFonts w:ascii="Arial" w:hAnsi="Arial" w:cs="Arial"/>
          <w:sz w:val="24"/>
          <w:szCs w:val="24"/>
        </w:rPr>
        <w:t>Paganism is particularly pertinent to this study, since according to the BBC</w:t>
      </w:r>
      <w:r>
        <w:rPr>
          <w:rStyle w:val="FootnoteReference"/>
          <w:rFonts w:ascii="Arial" w:hAnsi="Arial" w:cs="Arial"/>
          <w:sz w:val="24"/>
          <w:szCs w:val="24"/>
        </w:rPr>
        <w:footnoteReference w:id="9"/>
      </w:r>
      <w:r>
        <w:rPr>
          <w:rFonts w:ascii="Arial" w:hAnsi="Arial" w:cs="Arial"/>
          <w:sz w:val="24"/>
          <w:szCs w:val="24"/>
        </w:rPr>
        <w:t xml:space="preserve"> it is the fastest growing spiritual/ religious practice in the UK with the 2011 census highlighting that there are twice as many people declaring that they are pagan compared with the 2001 census. Furthermore, the same report highlights that the Pagan Federation estimates that Paganism is the “second most popular faith in the South West of England, with numbers of pagans closer to around 40000 across Devon and Cornwall as opposed to the officially reported number of 3339 people whom identified as pagan in the 2011 census. </w:t>
      </w:r>
    </w:p>
    <w:p w:rsidR="003901E7" w:rsidRDefault="003901E7" w:rsidP="003901E7">
      <w:pPr>
        <w:rPr>
          <w:rFonts w:ascii="Arial" w:hAnsi="Arial" w:cs="Arial"/>
          <w:sz w:val="24"/>
          <w:szCs w:val="24"/>
        </w:rPr>
      </w:pPr>
      <w:r>
        <w:rPr>
          <w:rFonts w:ascii="Arial" w:hAnsi="Arial" w:cs="Arial"/>
          <w:sz w:val="24"/>
          <w:szCs w:val="24"/>
        </w:rPr>
        <w:t xml:space="preserve">In examining the literature, it becomes apparent that lunar phases are utilised as cosmic timers for a range of rituals, however there are differing schools of thought as to how people work with these phases and in what context. Whilst there is evidence that paganism is a faith growing in popularity in the South West of England, I have not been able to locate any studies examine how lunar phases and rituals are contextualised with this geographical location.  </w:t>
      </w:r>
    </w:p>
    <w:p w:rsidR="003901E7" w:rsidRDefault="003901E7" w:rsidP="003901E7">
      <w:pPr>
        <w:rPr>
          <w:rFonts w:ascii="Arial" w:hAnsi="Arial" w:cs="Arial"/>
          <w:sz w:val="24"/>
          <w:szCs w:val="24"/>
        </w:rPr>
      </w:pPr>
      <w:r>
        <w:rPr>
          <w:rFonts w:ascii="Arial" w:hAnsi="Arial" w:cs="Arial"/>
          <w:sz w:val="24"/>
          <w:szCs w:val="24"/>
        </w:rPr>
        <w:lastRenderedPageBreak/>
        <w:t xml:space="preserve">As a practising Muslim, I am acutely aware of the role of moon in determining the start of Islamic lunar months, and as a long term astronomy enthusiast I am conscious that I track the lunar phases are part of my daily life. </w:t>
      </w:r>
    </w:p>
    <w:p w:rsidR="003901E7" w:rsidRDefault="003901E7" w:rsidP="003901E7">
      <w:pPr>
        <w:rPr>
          <w:rFonts w:ascii="Arial" w:hAnsi="Arial" w:cs="Arial"/>
          <w:sz w:val="24"/>
          <w:szCs w:val="24"/>
        </w:rPr>
      </w:pPr>
      <w:r>
        <w:rPr>
          <w:rFonts w:ascii="Arial" w:hAnsi="Arial" w:cs="Arial"/>
          <w:sz w:val="24"/>
          <w:szCs w:val="24"/>
        </w:rPr>
        <w:t>Given the limitation of literature contextualising the role of the moon in the life of people living in the South West of England, I designed my qualitative study using the following research question:</w:t>
      </w:r>
    </w:p>
    <w:p w:rsidR="003901E7" w:rsidRDefault="003901E7" w:rsidP="003901E7">
      <w:pPr>
        <w:rPr>
          <w:rFonts w:ascii="Arial" w:hAnsi="Arial" w:cs="Arial"/>
          <w:sz w:val="24"/>
          <w:szCs w:val="24"/>
        </w:rPr>
      </w:pPr>
      <w:r>
        <w:rPr>
          <w:rFonts w:ascii="Arial" w:hAnsi="Arial" w:cs="Arial"/>
          <w:sz w:val="24"/>
          <w:szCs w:val="24"/>
        </w:rPr>
        <w:t>Do Lunar rituals play in the role in the life of a small group of professionals in Devon?</w:t>
      </w:r>
    </w:p>
    <w:p w:rsidR="003901E7" w:rsidRDefault="003901E7" w:rsidP="003901E7">
      <w:pPr>
        <w:rPr>
          <w:rFonts w:ascii="Arial" w:hAnsi="Arial" w:cs="Arial"/>
          <w:b/>
          <w:sz w:val="24"/>
          <w:szCs w:val="24"/>
        </w:rPr>
      </w:pPr>
      <w:r>
        <w:rPr>
          <w:rFonts w:ascii="Arial" w:hAnsi="Arial" w:cs="Arial"/>
          <w:b/>
          <w:sz w:val="24"/>
          <w:szCs w:val="24"/>
        </w:rPr>
        <w:t>Methodology:</w:t>
      </w:r>
    </w:p>
    <w:p w:rsidR="003901E7" w:rsidRDefault="003901E7" w:rsidP="003901E7">
      <w:pPr>
        <w:rPr>
          <w:rFonts w:ascii="Arial" w:hAnsi="Arial" w:cs="Arial"/>
          <w:sz w:val="24"/>
          <w:szCs w:val="24"/>
        </w:rPr>
      </w:pPr>
      <w:r>
        <w:rPr>
          <w:rFonts w:ascii="Arial" w:hAnsi="Arial" w:cs="Arial"/>
          <w:sz w:val="24"/>
          <w:szCs w:val="24"/>
        </w:rPr>
        <w:t xml:space="preserve">The study was conducted in the town of Newton Abbot, which is located in the County of Devon within the South West Region of England. The data collection took place either through Skype or at the Passmore Edward Centre in Newton Abbot. This location was selected because it is: 1. A central location with ample parking spaces nearby and easily reached by train, 2. It’s a recently refurbished community hub which houses the town’s library, a café, and several meeting spaces open to the public. 3. It has extended Saturday and late afternoon opening times which allowed for the data collection process to fit around participant’s working commitments. </w:t>
      </w:r>
    </w:p>
    <w:p w:rsidR="003901E7" w:rsidRDefault="003901E7" w:rsidP="003901E7">
      <w:pPr>
        <w:rPr>
          <w:rFonts w:ascii="Arial" w:hAnsi="Arial" w:cs="Arial"/>
          <w:sz w:val="24"/>
          <w:szCs w:val="24"/>
        </w:rPr>
      </w:pPr>
      <w:r>
        <w:rPr>
          <w:rFonts w:ascii="Arial" w:hAnsi="Arial" w:cs="Arial"/>
          <w:sz w:val="24"/>
          <w:szCs w:val="24"/>
        </w:rPr>
        <w:t>The data collection took place over a two-week period between the 15</w:t>
      </w:r>
      <w:r>
        <w:rPr>
          <w:rFonts w:ascii="Arial" w:hAnsi="Arial" w:cs="Arial"/>
          <w:sz w:val="24"/>
          <w:szCs w:val="24"/>
          <w:vertAlign w:val="superscript"/>
        </w:rPr>
        <w:t>th</w:t>
      </w:r>
      <w:r>
        <w:rPr>
          <w:rFonts w:ascii="Arial" w:hAnsi="Arial" w:cs="Arial"/>
          <w:sz w:val="24"/>
          <w:szCs w:val="24"/>
        </w:rPr>
        <w:t xml:space="preserve"> and the 30</w:t>
      </w:r>
      <w:r>
        <w:rPr>
          <w:rFonts w:ascii="Arial" w:hAnsi="Arial" w:cs="Arial"/>
          <w:sz w:val="24"/>
          <w:szCs w:val="24"/>
          <w:vertAlign w:val="superscript"/>
        </w:rPr>
        <w:t>th</w:t>
      </w:r>
      <w:r>
        <w:rPr>
          <w:rFonts w:ascii="Arial" w:hAnsi="Arial" w:cs="Arial"/>
          <w:sz w:val="24"/>
          <w:szCs w:val="24"/>
        </w:rPr>
        <w:t xml:space="preserve"> of April 2019. </w:t>
      </w:r>
    </w:p>
    <w:p w:rsidR="003901E7" w:rsidRDefault="003901E7" w:rsidP="003901E7">
      <w:pPr>
        <w:rPr>
          <w:rFonts w:ascii="Arial" w:hAnsi="Arial" w:cs="Arial"/>
          <w:sz w:val="24"/>
          <w:szCs w:val="24"/>
        </w:rPr>
      </w:pPr>
      <w:r>
        <w:rPr>
          <w:rFonts w:ascii="Arial" w:hAnsi="Arial" w:cs="Arial"/>
          <w:sz w:val="24"/>
          <w:szCs w:val="24"/>
        </w:rPr>
        <w:t xml:space="preserve">All of the participants are professionals between the ages of 32 and 52, working in the public sector: The National Health Service (NHS), the Police Service and the local authority and a local authority maintained primary school. The participants are comprised of three men and seven women all whom are living and working in Devon England. I have selected this particular group because of ease of access I have to this group as a public sector professional working in Devon myself. </w:t>
      </w:r>
    </w:p>
    <w:p w:rsidR="003901E7" w:rsidRDefault="003901E7" w:rsidP="003901E7">
      <w:pPr>
        <w:rPr>
          <w:rFonts w:ascii="Arial" w:hAnsi="Arial" w:cs="Arial"/>
          <w:sz w:val="24"/>
          <w:szCs w:val="24"/>
        </w:rPr>
      </w:pPr>
      <w:r>
        <w:rPr>
          <w:rFonts w:ascii="Arial" w:hAnsi="Arial" w:cs="Arial"/>
          <w:sz w:val="24"/>
          <w:szCs w:val="24"/>
        </w:rPr>
        <w:t>The participant recruitment strategy was to recruit through public sector worker networking events. According to Hennink, Hutter &amp; Bailey</w:t>
      </w:r>
      <w:r>
        <w:rPr>
          <w:rStyle w:val="FootnoteReference"/>
          <w:rFonts w:ascii="Arial" w:hAnsi="Arial" w:cs="Arial"/>
          <w:sz w:val="24"/>
          <w:szCs w:val="24"/>
        </w:rPr>
        <w:footnoteReference w:id="10"/>
      </w:r>
      <w:r>
        <w:rPr>
          <w:rFonts w:ascii="Arial" w:hAnsi="Arial" w:cs="Arial"/>
          <w:sz w:val="24"/>
          <w:szCs w:val="24"/>
        </w:rPr>
        <w:t xml:space="preserve"> (2015), utilising networks specific to the target population can be an effective recruitment strategy. </w:t>
      </w:r>
    </w:p>
    <w:p w:rsidR="003901E7" w:rsidRDefault="003901E7" w:rsidP="003901E7">
      <w:pPr>
        <w:rPr>
          <w:rFonts w:ascii="Arial" w:hAnsi="Arial" w:cs="Arial"/>
          <w:sz w:val="24"/>
          <w:szCs w:val="24"/>
        </w:rPr>
      </w:pPr>
      <w:r>
        <w:rPr>
          <w:rFonts w:ascii="Arial" w:hAnsi="Arial" w:cs="Arial"/>
          <w:sz w:val="24"/>
          <w:szCs w:val="24"/>
        </w:rPr>
        <w:t>I have selected a qualitative approach to conduct this study as it “seeks to find out how people understand a situation and how their understanding influences their actions” (Neuman 2011</w:t>
      </w:r>
      <w:r>
        <w:rPr>
          <w:rStyle w:val="FootnoteReference"/>
          <w:rFonts w:ascii="Arial" w:hAnsi="Arial" w:cs="Arial"/>
          <w:sz w:val="24"/>
          <w:szCs w:val="24"/>
        </w:rPr>
        <w:footnoteReference w:id="11"/>
      </w:r>
      <w:r>
        <w:rPr>
          <w:rFonts w:ascii="Arial" w:hAnsi="Arial" w:cs="Arial"/>
          <w:sz w:val="24"/>
          <w:szCs w:val="24"/>
        </w:rPr>
        <w:t>, Jankowicz</w:t>
      </w:r>
      <w:r>
        <w:rPr>
          <w:rStyle w:val="FootnoteReference"/>
          <w:rFonts w:ascii="Arial" w:hAnsi="Arial" w:cs="Arial"/>
          <w:sz w:val="24"/>
          <w:szCs w:val="24"/>
        </w:rPr>
        <w:footnoteReference w:id="12"/>
      </w:r>
      <w:r>
        <w:rPr>
          <w:rFonts w:ascii="Arial" w:hAnsi="Arial" w:cs="Arial"/>
          <w:sz w:val="24"/>
          <w:szCs w:val="24"/>
        </w:rPr>
        <w:t xml:space="preserve"> 2005).  The underlying paradigm of qualitative research is interpretivism, and this is this is reflected in my choice of data collection methods as I have used interviews as my method for data collection (Guba </w:t>
      </w:r>
      <w:r>
        <w:rPr>
          <w:rFonts w:ascii="Arial" w:hAnsi="Arial" w:cs="Arial"/>
          <w:sz w:val="24"/>
          <w:szCs w:val="24"/>
        </w:rPr>
        <w:lastRenderedPageBreak/>
        <w:t>and Lincoln, 1994)</w:t>
      </w:r>
      <w:r>
        <w:rPr>
          <w:rStyle w:val="FootnoteReference"/>
          <w:rFonts w:ascii="Arial" w:hAnsi="Arial" w:cs="Arial"/>
          <w:sz w:val="24"/>
          <w:szCs w:val="24"/>
        </w:rPr>
        <w:footnoteReference w:id="13"/>
      </w:r>
      <w:r>
        <w:rPr>
          <w:rFonts w:ascii="Arial" w:hAnsi="Arial" w:cs="Arial"/>
          <w:sz w:val="24"/>
          <w:szCs w:val="24"/>
        </w:rPr>
        <w:t>. I also envisaged that interviews will allow participants to talk about experiences in depth as outlined by Koshy</w:t>
      </w:r>
      <w:r>
        <w:rPr>
          <w:rStyle w:val="FootnoteReference"/>
          <w:rFonts w:ascii="Arial" w:hAnsi="Arial" w:cs="Arial"/>
          <w:sz w:val="24"/>
          <w:szCs w:val="24"/>
        </w:rPr>
        <w:footnoteReference w:id="14"/>
      </w:r>
      <w:r>
        <w:rPr>
          <w:rFonts w:ascii="Arial" w:hAnsi="Arial" w:cs="Arial"/>
          <w:sz w:val="24"/>
          <w:szCs w:val="24"/>
        </w:rPr>
        <w:t xml:space="preserve"> (2005).  </w:t>
      </w:r>
    </w:p>
    <w:p w:rsidR="003901E7" w:rsidRDefault="003901E7" w:rsidP="003901E7">
      <w:pPr>
        <w:rPr>
          <w:rFonts w:ascii="Arial" w:hAnsi="Arial" w:cs="Arial"/>
          <w:sz w:val="24"/>
          <w:szCs w:val="24"/>
        </w:rPr>
      </w:pPr>
    </w:p>
    <w:p w:rsidR="003901E7" w:rsidRDefault="003901E7" w:rsidP="003901E7">
      <w:pPr>
        <w:rPr>
          <w:rFonts w:ascii="Arial" w:hAnsi="Arial" w:cs="Arial"/>
          <w:sz w:val="24"/>
          <w:szCs w:val="24"/>
        </w:rPr>
      </w:pPr>
      <w:r>
        <w:rPr>
          <w:rFonts w:ascii="Arial" w:hAnsi="Arial" w:cs="Arial"/>
          <w:sz w:val="24"/>
          <w:szCs w:val="24"/>
        </w:rPr>
        <w:t>Furthermore, I had decided to use semi structured interviews since I am seeking to ascertain the participants’ “voice and story”</w:t>
      </w:r>
      <w:r>
        <w:rPr>
          <w:rStyle w:val="FootnoteReference"/>
          <w:rFonts w:ascii="Arial" w:hAnsi="Arial" w:cs="Arial"/>
          <w:sz w:val="24"/>
          <w:szCs w:val="24"/>
        </w:rPr>
        <w:footnoteReference w:id="15"/>
      </w:r>
      <w:r>
        <w:rPr>
          <w:rFonts w:ascii="Arial" w:hAnsi="Arial" w:cs="Arial"/>
          <w:sz w:val="24"/>
          <w:szCs w:val="24"/>
        </w:rPr>
        <w:t xml:space="preserve">. The questions were arranged in advance, but their theme and order varied to facilitate the “flow of the interview” using “probes” where appropriate (Anderson, 2013; Robson, 2011) </w:t>
      </w:r>
    </w:p>
    <w:p w:rsidR="003901E7" w:rsidRDefault="003901E7" w:rsidP="003901E7">
      <w:pPr>
        <w:rPr>
          <w:rFonts w:ascii="Arial" w:hAnsi="Arial" w:cs="Arial"/>
          <w:sz w:val="24"/>
          <w:szCs w:val="24"/>
        </w:rPr>
      </w:pPr>
      <w:r>
        <w:rPr>
          <w:rFonts w:ascii="Arial" w:hAnsi="Arial" w:cs="Arial"/>
          <w:sz w:val="24"/>
          <w:szCs w:val="24"/>
        </w:rPr>
        <w:t>My approach is underpinned by a case study design as defined by Yin</w:t>
      </w:r>
      <w:r>
        <w:rPr>
          <w:rStyle w:val="FootnoteReference"/>
          <w:rFonts w:ascii="Arial" w:hAnsi="Arial" w:cs="Arial"/>
          <w:sz w:val="24"/>
          <w:szCs w:val="24"/>
        </w:rPr>
        <w:footnoteReference w:id="16"/>
      </w:r>
      <w:r>
        <w:rPr>
          <w:rFonts w:ascii="Arial" w:hAnsi="Arial" w:cs="Arial"/>
          <w:sz w:val="24"/>
          <w:szCs w:val="24"/>
        </w:rPr>
        <w:t xml:space="preserve"> (2014) and Gerring</w:t>
      </w:r>
      <w:r>
        <w:rPr>
          <w:rStyle w:val="FootnoteReference"/>
          <w:rFonts w:ascii="Arial" w:hAnsi="Arial" w:cs="Arial"/>
          <w:sz w:val="24"/>
          <w:szCs w:val="24"/>
        </w:rPr>
        <w:footnoteReference w:id="17"/>
      </w:r>
      <w:r>
        <w:rPr>
          <w:rFonts w:ascii="Arial" w:hAnsi="Arial" w:cs="Arial"/>
          <w:sz w:val="24"/>
          <w:szCs w:val="24"/>
        </w:rPr>
        <w:t xml:space="preserve"> (2007) as “the intensive study of a single case where the purpose is to shed light on a larger class of cases (population)”.</w:t>
      </w:r>
    </w:p>
    <w:p w:rsidR="003901E7" w:rsidRDefault="003901E7" w:rsidP="003901E7">
      <w:pPr>
        <w:rPr>
          <w:rFonts w:ascii="Arial" w:hAnsi="Arial" w:cs="Arial"/>
          <w:sz w:val="24"/>
          <w:szCs w:val="24"/>
        </w:rPr>
      </w:pPr>
      <w:r>
        <w:rPr>
          <w:rFonts w:ascii="Arial" w:hAnsi="Arial" w:cs="Arial"/>
          <w:sz w:val="24"/>
          <w:szCs w:val="24"/>
        </w:rPr>
        <w:t xml:space="preserve">I think that this is most suited to my study as the participants are professionals working in the same sector living with a similar context (Public Sector) living in a particular area (Devon, England). </w:t>
      </w:r>
    </w:p>
    <w:p w:rsidR="003901E7" w:rsidRDefault="003901E7" w:rsidP="003901E7">
      <w:pPr>
        <w:rPr>
          <w:rFonts w:ascii="Arial" w:hAnsi="Arial" w:cs="Arial"/>
          <w:sz w:val="24"/>
          <w:szCs w:val="24"/>
        </w:rPr>
      </w:pPr>
      <w:r>
        <w:rPr>
          <w:rFonts w:ascii="Arial" w:hAnsi="Arial" w:cs="Arial"/>
          <w:sz w:val="24"/>
          <w:szCs w:val="24"/>
        </w:rPr>
        <w:t>In all ten interviews were conducted overall, seven of these were conducted in person at the Passmore Edwards Centre, with the remaining three interviews conducted online through Skype (an online communication platform with a video conferencing facility which allows for users to communicate in real time). Each of the interviews lasted for approximately 90 minutes in total, and it was intentional so that both the participants and I remained focused. This was in line with the recommendation set out by Hennink, Hutter &amp; Bailey</w:t>
      </w:r>
      <w:r>
        <w:rPr>
          <w:rStyle w:val="FootnoteReference"/>
          <w:rFonts w:ascii="Arial" w:hAnsi="Arial" w:cs="Arial"/>
          <w:sz w:val="24"/>
          <w:szCs w:val="24"/>
        </w:rPr>
        <w:footnoteReference w:id="18"/>
      </w:r>
      <w:r>
        <w:rPr>
          <w:rFonts w:ascii="Arial" w:hAnsi="Arial" w:cs="Arial"/>
          <w:sz w:val="24"/>
          <w:szCs w:val="24"/>
        </w:rPr>
        <w:t xml:space="preserve"> to ensure a retained focus by both the participant and the researcher. </w:t>
      </w:r>
    </w:p>
    <w:p w:rsidR="003901E7" w:rsidRDefault="003901E7" w:rsidP="003901E7">
      <w:pPr>
        <w:rPr>
          <w:rFonts w:ascii="Arial" w:hAnsi="Arial" w:cs="Arial"/>
          <w:sz w:val="24"/>
          <w:szCs w:val="24"/>
        </w:rPr>
      </w:pPr>
      <w:r>
        <w:rPr>
          <w:rFonts w:ascii="Arial" w:hAnsi="Arial" w:cs="Arial"/>
          <w:sz w:val="24"/>
          <w:szCs w:val="24"/>
        </w:rPr>
        <w:t xml:space="preserve">I found the in person interviews to be the most productive and where I felt that I was able to build more of a rapport with the participants. I think this was mainly due to the somewhat poor internet connection which meant that for some of the Skype interviews, there were several instances of losing video connectivity, along with stopping and restarting again. I tried to remedy this by conducting the interview from another internet connection with very little change in the situation. Skype was selected to enable participants to be able to take part in the study since their schedule and the time limit I had available to undertake the study were constrained. </w:t>
      </w:r>
    </w:p>
    <w:p w:rsidR="003901E7" w:rsidRDefault="003901E7" w:rsidP="003901E7">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All interviews were conducted in English and each interview was recorded and transcribed once the interview had concluded. Transcripts were then used to undertake a thematic analysis as described by Braun and Clarke</w:t>
      </w:r>
      <w:r>
        <w:rPr>
          <w:rStyle w:val="FootnoteReference"/>
          <w:rFonts w:ascii="Arial" w:hAnsi="Arial" w:cs="Arial"/>
          <w:sz w:val="24"/>
          <w:szCs w:val="24"/>
        </w:rPr>
        <w:footnoteReference w:id="19"/>
      </w:r>
      <w:r>
        <w:rPr>
          <w:rFonts w:ascii="Arial" w:hAnsi="Arial" w:cs="Arial"/>
          <w:sz w:val="24"/>
          <w:szCs w:val="24"/>
        </w:rPr>
        <w:t xml:space="preserve"> (2006). The thematic analysis comprised of the following steps: 1. I familiarised myself with the data through listening to the audio recordings, transcribing the recordings and reading then re-reading the transcripts, 2. I coded the data through generating labels for the important features of the data relevant to the research questions which were used to guide the analysis, 3. These codes were then organised under the relevant themes, 4. I then reviewed each theme and compared them with one another to ensure that there was no repetition in the themes, and 5. I then began writing up each theme so that these themes could tell a story about the raw data that was collected. </w:t>
      </w:r>
    </w:p>
    <w:p w:rsidR="003901E7" w:rsidRDefault="003901E7" w:rsidP="003901E7">
      <w:pPr>
        <w:autoSpaceDE w:val="0"/>
        <w:autoSpaceDN w:val="0"/>
        <w:adjustRightInd w:val="0"/>
        <w:spacing w:after="0" w:line="240" w:lineRule="auto"/>
        <w:rPr>
          <w:rFonts w:ascii="Arial" w:hAnsi="Arial" w:cs="Arial"/>
          <w:sz w:val="24"/>
          <w:szCs w:val="24"/>
        </w:rPr>
      </w:pPr>
    </w:p>
    <w:p w:rsidR="003901E7" w:rsidRDefault="003901E7" w:rsidP="003901E7">
      <w:pPr>
        <w:rPr>
          <w:rFonts w:ascii="Arial" w:hAnsi="Arial" w:cs="Arial"/>
          <w:sz w:val="24"/>
          <w:szCs w:val="24"/>
        </w:rPr>
      </w:pPr>
      <w:r>
        <w:rPr>
          <w:rFonts w:ascii="Arial" w:hAnsi="Arial" w:cs="Arial"/>
          <w:sz w:val="24"/>
          <w:szCs w:val="24"/>
        </w:rPr>
        <w:t>Although validity is associated with quantitative approaches, I wanted to ensure “research integrity” as described by Cohen et al</w:t>
      </w:r>
      <w:r>
        <w:rPr>
          <w:rStyle w:val="FootnoteReference"/>
          <w:rFonts w:ascii="Arial" w:hAnsi="Arial" w:cs="Arial"/>
          <w:sz w:val="24"/>
          <w:szCs w:val="24"/>
        </w:rPr>
        <w:footnoteReference w:id="20"/>
      </w:r>
      <w:r>
        <w:rPr>
          <w:rFonts w:ascii="Arial" w:hAnsi="Arial" w:cs="Arial"/>
          <w:sz w:val="24"/>
          <w:szCs w:val="24"/>
        </w:rPr>
        <w:t xml:space="preserve"> (2011). This was achieved through “validity strategies” such as audio recording the interviews so that they can be transcribed as discussed by Silverman</w:t>
      </w:r>
      <w:r>
        <w:rPr>
          <w:rStyle w:val="FootnoteReference"/>
          <w:rFonts w:ascii="Arial" w:hAnsi="Arial" w:cs="Arial"/>
          <w:sz w:val="24"/>
          <w:szCs w:val="24"/>
        </w:rPr>
        <w:footnoteReference w:id="21"/>
      </w:r>
      <w:r>
        <w:rPr>
          <w:rFonts w:ascii="Arial" w:hAnsi="Arial" w:cs="Arial"/>
          <w:sz w:val="24"/>
          <w:szCs w:val="24"/>
        </w:rPr>
        <w:t xml:space="preserve"> (2001). Whilst I cannot totally disregard any preconceived ideas I have about my research what it was about to unveil, I did strive to ensure that my research is “reliable” through reviewing the objectivity of each phase of my work by implementing checks and measures as described by Biggam</w:t>
      </w:r>
      <w:r>
        <w:rPr>
          <w:rStyle w:val="FootnoteReference"/>
          <w:rFonts w:ascii="Arial" w:hAnsi="Arial" w:cs="Arial"/>
          <w:sz w:val="24"/>
          <w:szCs w:val="24"/>
        </w:rPr>
        <w:footnoteReference w:id="22"/>
      </w:r>
      <w:r>
        <w:rPr>
          <w:rFonts w:ascii="Arial" w:hAnsi="Arial" w:cs="Arial"/>
          <w:sz w:val="24"/>
          <w:szCs w:val="24"/>
        </w:rPr>
        <w:t xml:space="preserve"> (2011). </w:t>
      </w:r>
    </w:p>
    <w:p w:rsidR="003901E7" w:rsidRDefault="003901E7" w:rsidP="003901E7">
      <w:pPr>
        <w:autoSpaceDE w:val="0"/>
        <w:autoSpaceDN w:val="0"/>
        <w:adjustRightInd w:val="0"/>
        <w:spacing w:after="0" w:line="240" w:lineRule="auto"/>
        <w:rPr>
          <w:rFonts w:ascii="Arial" w:hAnsi="Arial" w:cs="Arial"/>
          <w:sz w:val="24"/>
          <w:szCs w:val="24"/>
        </w:rPr>
      </w:pPr>
    </w:p>
    <w:p w:rsidR="003901E7" w:rsidRDefault="003901E7" w:rsidP="003901E7">
      <w:pPr>
        <w:rPr>
          <w:rFonts w:ascii="Arial" w:hAnsi="Arial" w:cs="Arial"/>
          <w:sz w:val="24"/>
          <w:szCs w:val="24"/>
        </w:rPr>
      </w:pPr>
      <w:r>
        <w:rPr>
          <w:rFonts w:ascii="Arial" w:hAnsi="Arial" w:cs="Arial"/>
          <w:sz w:val="24"/>
          <w:szCs w:val="24"/>
        </w:rPr>
        <w:t>I adhered to ethical guidance as outlined in the BERA guidelines (2011) throughout my study, this included: 1. all participants were informed that they had a right to withdraw at any stage of the study, 2. all collated data was anonymised, 3. Collated date was stored securely on password protected electronic devices to ensure data protection, 4. Any accessibility issues were discussed with the participants in advance to ensure that their participation was facilitated accordingly, 5. Confidentiality  was maintained throughout the process with participants being allocated pseudonyms where they are quoted in this study report, and 6. I ensured that I honoured the time frames that I had set for each stage of my study so that I didn’t end up rushing and doing a disservice to the research, and thus misrepresenting my findings.</w:t>
      </w:r>
    </w:p>
    <w:p w:rsidR="003901E7" w:rsidRDefault="003901E7" w:rsidP="003901E7">
      <w:pPr>
        <w:rPr>
          <w:rFonts w:ascii="Arial" w:hAnsi="Arial" w:cs="Arial"/>
          <w:sz w:val="24"/>
          <w:szCs w:val="24"/>
        </w:rPr>
      </w:pPr>
    </w:p>
    <w:p w:rsidR="003901E7" w:rsidRDefault="003901E7" w:rsidP="003901E7">
      <w:pPr>
        <w:rPr>
          <w:rFonts w:ascii="Arial" w:hAnsi="Arial" w:cs="Arial"/>
          <w:sz w:val="24"/>
          <w:szCs w:val="24"/>
        </w:rPr>
      </w:pPr>
      <w:r>
        <w:rPr>
          <w:rFonts w:ascii="Arial" w:hAnsi="Arial" w:cs="Arial"/>
          <w:sz w:val="24"/>
          <w:szCs w:val="24"/>
        </w:rPr>
        <w:lastRenderedPageBreak/>
        <w:t>In the context of Verstehen</w:t>
      </w:r>
      <w:r>
        <w:rPr>
          <w:rStyle w:val="FootnoteReference"/>
          <w:rFonts w:ascii="Arial" w:hAnsi="Arial" w:cs="Arial"/>
          <w:sz w:val="24"/>
          <w:szCs w:val="24"/>
        </w:rPr>
        <w:footnoteReference w:id="23"/>
      </w:r>
      <w:r>
        <w:rPr>
          <w:rFonts w:ascii="Arial" w:hAnsi="Arial" w:cs="Arial"/>
          <w:sz w:val="24"/>
          <w:szCs w:val="24"/>
        </w:rPr>
        <w:t xml:space="preserve"> , I have done much reflection to determine where I sit as a researcher, and I think as public sector professional, I may be viewing this information as an insider, because I have this in common with the participants. On the other side, as a practising Muslim, I am acutely aware of the role of moon in determining the start of Islamic lunar months, and as a long term astronomy enthusiast being aware of lunar phases are part of my daily life, so I feel that I may be an insider with participants that may incorporate lunar phases into their life and an outsider with participants that may not, because this is so far removed from my point of reference.  </w:t>
      </w:r>
    </w:p>
    <w:p w:rsidR="003901E7" w:rsidRDefault="003901E7" w:rsidP="003901E7">
      <w:pPr>
        <w:rPr>
          <w:rFonts w:ascii="Arial" w:hAnsi="Arial" w:cs="Arial"/>
          <w:sz w:val="24"/>
          <w:szCs w:val="24"/>
        </w:rPr>
      </w:pPr>
    </w:p>
    <w:p w:rsidR="003901E7" w:rsidRDefault="003901E7" w:rsidP="003901E7">
      <w:pPr>
        <w:rPr>
          <w:rFonts w:ascii="Arial" w:hAnsi="Arial" w:cs="Arial"/>
          <w:b/>
          <w:sz w:val="24"/>
          <w:szCs w:val="24"/>
        </w:rPr>
      </w:pPr>
      <w:r>
        <w:rPr>
          <w:rFonts w:ascii="Arial" w:hAnsi="Arial" w:cs="Arial"/>
          <w:b/>
          <w:sz w:val="24"/>
          <w:szCs w:val="24"/>
        </w:rPr>
        <w:t>Findings/ Discussion:</w:t>
      </w:r>
    </w:p>
    <w:p w:rsidR="003901E7" w:rsidRDefault="003901E7" w:rsidP="003901E7">
      <w:pPr>
        <w:rPr>
          <w:rFonts w:ascii="Arial" w:hAnsi="Arial" w:cs="Arial"/>
          <w:sz w:val="24"/>
          <w:szCs w:val="24"/>
        </w:rPr>
      </w:pPr>
      <w:r>
        <w:rPr>
          <w:rFonts w:ascii="Arial" w:hAnsi="Arial" w:cs="Arial"/>
          <w:sz w:val="24"/>
          <w:szCs w:val="24"/>
        </w:rPr>
        <w:t xml:space="preserve">The following key themes were identified from the interviews that were conducted as part of this study:  </w:t>
      </w:r>
    </w:p>
    <w:p w:rsidR="003901E7" w:rsidRDefault="003901E7" w:rsidP="003901E7">
      <w:pPr>
        <w:pStyle w:val="ListParagraph"/>
        <w:numPr>
          <w:ilvl w:val="0"/>
          <w:numId w:val="1"/>
        </w:numPr>
        <w:spacing w:after="200" w:line="276" w:lineRule="auto"/>
        <w:rPr>
          <w:rFonts w:ascii="Arial" w:hAnsi="Arial" w:cs="Arial"/>
          <w:u w:val="single"/>
        </w:rPr>
      </w:pPr>
      <w:r>
        <w:rPr>
          <w:rFonts w:ascii="Arial" w:hAnsi="Arial" w:cs="Arial"/>
          <w:u w:val="single"/>
        </w:rPr>
        <w:t>Theme one: Awareness of lunar phases:</w:t>
      </w:r>
    </w:p>
    <w:p w:rsidR="003901E7" w:rsidRDefault="003901E7" w:rsidP="003901E7">
      <w:pPr>
        <w:ind w:left="360"/>
        <w:rPr>
          <w:rFonts w:ascii="Arial" w:hAnsi="Arial" w:cs="Arial"/>
          <w:sz w:val="24"/>
          <w:szCs w:val="24"/>
        </w:rPr>
      </w:pPr>
      <w:r>
        <w:rPr>
          <w:rFonts w:ascii="Arial" w:hAnsi="Arial" w:cs="Arial"/>
          <w:sz w:val="24"/>
          <w:szCs w:val="24"/>
        </w:rPr>
        <w:t xml:space="preserve"> All of the participants knew that the over the course of the lunar cycle, the moon’s appearance varied, and that it got bigger, reached fullness, then became smaller again. The way in which they explained this reflected some of the beliefs they had about the moon and what is symbolised to them. Take for an example what “Anna”- a 42 year old practising pagan- said:</w:t>
      </w:r>
    </w:p>
    <w:p w:rsidR="003901E7" w:rsidRDefault="003901E7" w:rsidP="003901E7">
      <w:pPr>
        <w:ind w:left="360"/>
        <w:rPr>
          <w:rFonts w:ascii="Arial" w:hAnsi="Arial" w:cs="Arial"/>
          <w:sz w:val="24"/>
          <w:szCs w:val="24"/>
        </w:rPr>
      </w:pPr>
      <w:r>
        <w:rPr>
          <w:rFonts w:ascii="Arial" w:hAnsi="Arial" w:cs="Arial"/>
          <w:sz w:val="24"/>
          <w:szCs w:val="24"/>
        </w:rPr>
        <w:t>“</w:t>
      </w:r>
      <w:r>
        <w:rPr>
          <w:rFonts w:ascii="Arial" w:hAnsi="Arial" w:cs="Arial"/>
          <w:i/>
          <w:sz w:val="24"/>
          <w:szCs w:val="24"/>
        </w:rPr>
        <w:t>I think of the moon has three phases…it might have other ones too....but these are the ones that I recognise when I look at the sky….”</w:t>
      </w:r>
    </w:p>
    <w:p w:rsidR="003901E7" w:rsidRDefault="003901E7" w:rsidP="003901E7">
      <w:pPr>
        <w:ind w:left="360"/>
        <w:rPr>
          <w:rFonts w:ascii="Arial" w:hAnsi="Arial" w:cs="Arial"/>
          <w:sz w:val="24"/>
          <w:szCs w:val="24"/>
        </w:rPr>
      </w:pPr>
      <w:r>
        <w:rPr>
          <w:rFonts w:ascii="Arial" w:hAnsi="Arial" w:cs="Arial"/>
          <w:sz w:val="24"/>
          <w:szCs w:val="24"/>
        </w:rPr>
        <w:t>At this point “Anna” showed me a pendant of her necklace with a full moon in the middle and waxing and waning moon either side, she then added:</w:t>
      </w:r>
    </w:p>
    <w:p w:rsidR="003901E7" w:rsidRDefault="003901E7" w:rsidP="003901E7">
      <w:pPr>
        <w:ind w:left="360"/>
        <w:rPr>
          <w:rFonts w:ascii="Arial" w:hAnsi="Arial" w:cs="Arial"/>
          <w:sz w:val="24"/>
          <w:szCs w:val="24"/>
        </w:rPr>
      </w:pPr>
      <w:r>
        <w:rPr>
          <w:rFonts w:ascii="Arial" w:hAnsi="Arial" w:cs="Arial"/>
          <w:sz w:val="24"/>
          <w:szCs w:val="24"/>
        </w:rPr>
        <w:t>“</w:t>
      </w:r>
      <w:r>
        <w:rPr>
          <w:rFonts w:ascii="Arial" w:hAnsi="Arial" w:cs="Arial"/>
          <w:i/>
          <w:sz w:val="24"/>
          <w:szCs w:val="24"/>
        </w:rPr>
        <w:t>I think the moon is like the Goddess: Maiden, Mother and Crone…..I think the moon represents the three faces of the Goddess</w:t>
      </w:r>
      <w:r>
        <w:rPr>
          <w:rFonts w:ascii="Arial" w:hAnsi="Arial" w:cs="Arial"/>
          <w:sz w:val="24"/>
          <w:szCs w:val="24"/>
        </w:rPr>
        <w:t>”</w:t>
      </w:r>
    </w:p>
    <w:p w:rsidR="003901E7" w:rsidRDefault="003901E7" w:rsidP="003901E7">
      <w:pPr>
        <w:ind w:left="360"/>
        <w:rPr>
          <w:rFonts w:ascii="Arial" w:hAnsi="Arial" w:cs="Arial"/>
          <w:sz w:val="24"/>
          <w:szCs w:val="24"/>
        </w:rPr>
      </w:pPr>
      <w:r>
        <w:rPr>
          <w:rFonts w:ascii="Arial" w:hAnsi="Arial" w:cs="Arial"/>
          <w:sz w:val="24"/>
          <w:szCs w:val="24"/>
        </w:rPr>
        <w:t xml:space="preserve">This is aligns with the way in which Demarco (2005) describes how pagans identify with the three aspects of the pagan Goddess, however it differed from the distinct eight phases identified by Surtees (2017). </w:t>
      </w:r>
    </w:p>
    <w:p w:rsidR="003901E7" w:rsidRDefault="003901E7" w:rsidP="003901E7">
      <w:pPr>
        <w:pStyle w:val="ListParagraph"/>
        <w:numPr>
          <w:ilvl w:val="0"/>
          <w:numId w:val="1"/>
        </w:numPr>
        <w:spacing w:after="200" w:line="276" w:lineRule="auto"/>
        <w:rPr>
          <w:rFonts w:ascii="Arial" w:hAnsi="Arial" w:cs="Arial"/>
          <w:u w:val="single"/>
        </w:rPr>
      </w:pPr>
      <w:r>
        <w:rPr>
          <w:rFonts w:ascii="Arial" w:hAnsi="Arial" w:cs="Arial"/>
          <w:u w:val="single"/>
        </w:rPr>
        <w:t xml:space="preserve">Theme two: New moon rituals: </w:t>
      </w:r>
    </w:p>
    <w:p w:rsidR="003901E7" w:rsidRDefault="003901E7" w:rsidP="003901E7">
      <w:pPr>
        <w:ind w:left="360"/>
        <w:rPr>
          <w:rFonts w:ascii="Arial" w:hAnsi="Arial" w:cs="Arial"/>
          <w:sz w:val="24"/>
          <w:szCs w:val="24"/>
        </w:rPr>
      </w:pPr>
      <w:r>
        <w:rPr>
          <w:rFonts w:ascii="Arial" w:hAnsi="Arial" w:cs="Arial"/>
          <w:sz w:val="24"/>
          <w:szCs w:val="24"/>
        </w:rPr>
        <w:t>Three out of the seven female participants, and one of the three male participants discussed how they partake in new moon rituals. Each one of these participants had a different context as to how they undertook this ritual and what it meant to them.</w:t>
      </w:r>
    </w:p>
    <w:p w:rsidR="003901E7" w:rsidRDefault="003901E7" w:rsidP="003901E7">
      <w:pPr>
        <w:ind w:left="360"/>
        <w:rPr>
          <w:rFonts w:ascii="Arial" w:hAnsi="Arial" w:cs="Arial"/>
          <w:sz w:val="24"/>
          <w:szCs w:val="24"/>
        </w:rPr>
      </w:pPr>
      <w:r>
        <w:rPr>
          <w:rFonts w:ascii="Arial" w:hAnsi="Arial" w:cs="Arial"/>
          <w:sz w:val="24"/>
          <w:szCs w:val="24"/>
        </w:rPr>
        <w:lastRenderedPageBreak/>
        <w:t>“Mel”-a 40 year old with no particular religious affiliation- said:</w:t>
      </w:r>
    </w:p>
    <w:p w:rsidR="003901E7" w:rsidRDefault="003901E7" w:rsidP="003901E7">
      <w:pPr>
        <w:ind w:left="360"/>
        <w:rPr>
          <w:rFonts w:ascii="Arial" w:hAnsi="Arial" w:cs="Arial"/>
          <w:sz w:val="24"/>
          <w:szCs w:val="24"/>
        </w:rPr>
      </w:pPr>
      <w:r>
        <w:rPr>
          <w:rFonts w:ascii="Arial" w:hAnsi="Arial" w:cs="Arial"/>
          <w:sz w:val="24"/>
          <w:szCs w:val="24"/>
        </w:rPr>
        <w:t>“</w:t>
      </w:r>
      <w:r>
        <w:rPr>
          <w:rFonts w:ascii="Arial" w:hAnsi="Arial" w:cs="Arial"/>
          <w:i/>
          <w:sz w:val="24"/>
          <w:szCs w:val="24"/>
        </w:rPr>
        <w:t>I started lighting a candle and writing down my new moon wishes every month since August 2018…after I saw a video on youtube about how to do it. I was a bit confused in the beginning cause I always thought that the new moon was when the moon was tiny in the sky….turns out its not, so now I got myself a diary with all the new moon dates in it, so I can do my rituals every month…..it doesn’t sound like much….but it helps me feel connected</w:t>
      </w:r>
      <w:r>
        <w:rPr>
          <w:rFonts w:ascii="Arial" w:hAnsi="Arial" w:cs="Arial"/>
          <w:sz w:val="24"/>
          <w:szCs w:val="24"/>
        </w:rPr>
        <w:t>”</w:t>
      </w:r>
    </w:p>
    <w:p w:rsidR="003901E7" w:rsidRDefault="003901E7" w:rsidP="003901E7">
      <w:pPr>
        <w:ind w:left="360"/>
        <w:rPr>
          <w:rFonts w:ascii="Arial" w:hAnsi="Arial" w:cs="Arial"/>
          <w:sz w:val="24"/>
          <w:szCs w:val="24"/>
        </w:rPr>
      </w:pPr>
      <w:r>
        <w:rPr>
          <w:rFonts w:ascii="Arial" w:hAnsi="Arial" w:cs="Arial"/>
          <w:sz w:val="24"/>
          <w:szCs w:val="24"/>
        </w:rPr>
        <w:t>“Mel’s” account demonstrates one of the key areas of contention about new moons: how is the new moon determined? At first it she appeared to have thought that seeing the crescent moon earlier in the lunar cycle was the new moon phase, this was more aligned with the traditional Jewish and Islamic perspectives along with the Wiccan tradition as highlighted by Demarco (2005). She later revised her position and now performs her ritual aligned with the astronomical new moon which conforms to the process outlined by Spiller (2001), Surtees(2017) and Tindall (2019).</w:t>
      </w:r>
    </w:p>
    <w:p w:rsidR="003901E7" w:rsidRDefault="003901E7" w:rsidP="003901E7">
      <w:pPr>
        <w:ind w:left="360"/>
        <w:rPr>
          <w:rFonts w:ascii="Arial" w:hAnsi="Arial" w:cs="Arial"/>
          <w:sz w:val="24"/>
          <w:szCs w:val="24"/>
        </w:rPr>
      </w:pPr>
    </w:p>
    <w:p w:rsidR="003901E7" w:rsidRDefault="003901E7" w:rsidP="003901E7">
      <w:pPr>
        <w:ind w:left="360"/>
        <w:rPr>
          <w:rFonts w:ascii="Arial" w:hAnsi="Arial" w:cs="Arial"/>
          <w:sz w:val="24"/>
          <w:szCs w:val="24"/>
        </w:rPr>
      </w:pPr>
      <w:r>
        <w:rPr>
          <w:rFonts w:ascii="Arial" w:hAnsi="Arial" w:cs="Arial"/>
          <w:sz w:val="24"/>
          <w:szCs w:val="24"/>
        </w:rPr>
        <w:t>“Jon”-a 34 year old humanist- also marked the new moon:</w:t>
      </w:r>
    </w:p>
    <w:p w:rsidR="003901E7" w:rsidRDefault="003901E7" w:rsidP="003901E7">
      <w:pPr>
        <w:ind w:left="360"/>
        <w:rPr>
          <w:rFonts w:ascii="Arial" w:hAnsi="Arial" w:cs="Arial"/>
          <w:i/>
          <w:sz w:val="24"/>
          <w:szCs w:val="24"/>
        </w:rPr>
      </w:pPr>
      <w:r>
        <w:rPr>
          <w:rFonts w:ascii="Arial" w:hAnsi="Arial" w:cs="Arial"/>
          <w:sz w:val="24"/>
          <w:szCs w:val="24"/>
        </w:rPr>
        <w:t>“</w:t>
      </w:r>
      <w:r>
        <w:rPr>
          <w:rFonts w:ascii="Arial" w:hAnsi="Arial" w:cs="Arial"/>
          <w:i/>
          <w:sz w:val="24"/>
          <w:szCs w:val="24"/>
        </w:rPr>
        <w:t>I visited California seven years ago, I spent 6 months there and I had just got into yoga at the time, so I wanted to try out some yoga session there...the yoga instructor always invited us to think about our intentions…sort of what we wished for for the month…she said it was a good thing to do this when it was a new moon…I never really realised that the moon did its own month…I never really looked out at the sky to see if the moon was new or not…I just enjoyed taking part in the whole thing….When I got back to England, I went wanted to continue with the same process…I don’t do it every month but when I see a new moon and I have the time I do…”</w:t>
      </w:r>
    </w:p>
    <w:p w:rsidR="003901E7" w:rsidRDefault="003901E7" w:rsidP="003901E7">
      <w:pPr>
        <w:ind w:left="360"/>
        <w:rPr>
          <w:rFonts w:ascii="Arial" w:hAnsi="Arial" w:cs="Arial"/>
          <w:i/>
          <w:sz w:val="24"/>
          <w:szCs w:val="24"/>
        </w:rPr>
      </w:pPr>
    </w:p>
    <w:p w:rsidR="003901E7" w:rsidRDefault="003901E7" w:rsidP="003901E7">
      <w:pPr>
        <w:ind w:left="360"/>
        <w:rPr>
          <w:rFonts w:ascii="Arial" w:hAnsi="Arial" w:cs="Arial"/>
          <w:sz w:val="24"/>
          <w:szCs w:val="24"/>
        </w:rPr>
      </w:pPr>
      <w:r>
        <w:rPr>
          <w:rFonts w:ascii="Arial" w:hAnsi="Arial" w:cs="Arial"/>
          <w:sz w:val="24"/>
          <w:szCs w:val="24"/>
        </w:rPr>
        <w:t xml:space="preserve">“Jon” demonstrates a different level of connection with the new moon ritual, he is less concerned with the timing of his ritual, but is aware that it is around the new moon. This approach ties in with the approach described by Demarco where she says that the timing of the ritual is of less consequence than performing the ritual itself. “Jon” also describes a group ritual as described by Rosen &amp; Rosen (2001) and Demarco (2005) as opposed to a solitary ritual advocated for by Spiller (2001). </w:t>
      </w:r>
    </w:p>
    <w:p w:rsidR="003901E7" w:rsidRDefault="003901E7" w:rsidP="003901E7">
      <w:pPr>
        <w:ind w:left="360"/>
        <w:rPr>
          <w:rFonts w:ascii="Arial" w:hAnsi="Arial" w:cs="Arial"/>
          <w:sz w:val="24"/>
          <w:szCs w:val="24"/>
        </w:rPr>
      </w:pPr>
    </w:p>
    <w:p w:rsidR="003901E7" w:rsidRDefault="003901E7" w:rsidP="003901E7">
      <w:pPr>
        <w:pStyle w:val="ListParagraph"/>
        <w:numPr>
          <w:ilvl w:val="0"/>
          <w:numId w:val="1"/>
        </w:numPr>
        <w:spacing w:after="200" w:line="276" w:lineRule="auto"/>
        <w:rPr>
          <w:rFonts w:ascii="Arial" w:hAnsi="Arial" w:cs="Arial"/>
          <w:u w:val="single"/>
        </w:rPr>
      </w:pPr>
      <w:r>
        <w:rPr>
          <w:rFonts w:ascii="Arial" w:hAnsi="Arial" w:cs="Arial"/>
          <w:u w:val="single"/>
        </w:rPr>
        <w:t>Theme three: Full Moon rituals:</w:t>
      </w:r>
    </w:p>
    <w:p w:rsidR="003901E7" w:rsidRDefault="003901E7" w:rsidP="003901E7">
      <w:pPr>
        <w:ind w:left="360"/>
        <w:rPr>
          <w:rFonts w:ascii="Arial" w:hAnsi="Arial" w:cs="Arial"/>
          <w:sz w:val="24"/>
          <w:szCs w:val="24"/>
        </w:rPr>
      </w:pPr>
      <w:r>
        <w:rPr>
          <w:rFonts w:ascii="Arial" w:hAnsi="Arial" w:cs="Arial"/>
          <w:sz w:val="24"/>
          <w:szCs w:val="24"/>
        </w:rPr>
        <w:lastRenderedPageBreak/>
        <w:t>Six of the seven female participants highlighted that they felt some form of connection with the full moon. This ranged from simple admiration for its presence to four participants taking part in a full moon ritual. None of the male participants took part in a specific full moon ritual, however all of them acknowledged that they were acutely aware of the full moon taking place.</w:t>
      </w:r>
    </w:p>
    <w:p w:rsidR="003901E7" w:rsidRDefault="003901E7" w:rsidP="003901E7">
      <w:pPr>
        <w:ind w:left="360"/>
        <w:rPr>
          <w:rFonts w:ascii="Arial" w:hAnsi="Arial" w:cs="Arial"/>
          <w:sz w:val="24"/>
          <w:szCs w:val="24"/>
        </w:rPr>
      </w:pPr>
      <w:r>
        <w:rPr>
          <w:rFonts w:ascii="Arial" w:hAnsi="Arial" w:cs="Arial"/>
          <w:sz w:val="24"/>
          <w:szCs w:val="24"/>
        </w:rPr>
        <w:t>“Nancy”-a 48 year old, currently exploring Wicca as a spiritual path- describes one of the full moon rituals that she recently took part in:</w:t>
      </w:r>
    </w:p>
    <w:p w:rsidR="003901E7" w:rsidRDefault="003901E7" w:rsidP="003901E7">
      <w:pPr>
        <w:ind w:left="360"/>
        <w:rPr>
          <w:rFonts w:ascii="Arial" w:hAnsi="Arial" w:cs="Arial"/>
          <w:sz w:val="24"/>
          <w:szCs w:val="24"/>
        </w:rPr>
      </w:pPr>
      <w:r>
        <w:rPr>
          <w:rFonts w:ascii="Arial" w:hAnsi="Arial" w:cs="Arial"/>
          <w:sz w:val="24"/>
          <w:szCs w:val="24"/>
        </w:rPr>
        <w:t>“</w:t>
      </w:r>
      <w:r>
        <w:rPr>
          <w:rFonts w:ascii="Arial" w:hAnsi="Arial" w:cs="Arial"/>
          <w:i/>
          <w:sz w:val="24"/>
          <w:szCs w:val="24"/>
        </w:rPr>
        <w:t>I am new to Wicca, and I got involved in it through my sister in law, she has been a Wiccan all her life, and a while back, I went with her to one of her full moon gatherings she has with her coven, and I loved it…..I have been to five in the last seven months…..We tend to hold the gathering in one of the coven girl’s houses…as close to the full moon as we can…We light candles….some say out loud what we wish for…and some write it down. I have never felt so connected in my life</w:t>
      </w:r>
      <w:r>
        <w:rPr>
          <w:rFonts w:ascii="Arial" w:hAnsi="Arial" w:cs="Arial"/>
          <w:sz w:val="24"/>
          <w:szCs w:val="24"/>
        </w:rPr>
        <w:t>”</w:t>
      </w:r>
    </w:p>
    <w:p w:rsidR="003901E7" w:rsidRDefault="003901E7" w:rsidP="003901E7">
      <w:pPr>
        <w:ind w:left="360"/>
        <w:rPr>
          <w:rFonts w:ascii="Arial" w:hAnsi="Arial" w:cs="Arial"/>
          <w:sz w:val="24"/>
          <w:szCs w:val="24"/>
        </w:rPr>
      </w:pPr>
      <w:r>
        <w:rPr>
          <w:rFonts w:ascii="Arial" w:hAnsi="Arial" w:cs="Arial"/>
          <w:sz w:val="24"/>
          <w:szCs w:val="24"/>
        </w:rPr>
        <w:t>“Nancy’s” experience with a full moon ritual describes a group ritual which is aligned from this perspective with the rituals outlined by Rosen &amp; Rosen (2001) and Demarco (2005). This is in contrast with “Sally’s” experience of partaking in a solitary full moon ritual:</w:t>
      </w:r>
    </w:p>
    <w:p w:rsidR="003901E7" w:rsidRDefault="003901E7" w:rsidP="003901E7">
      <w:pPr>
        <w:ind w:left="360"/>
        <w:rPr>
          <w:rFonts w:ascii="Arial" w:hAnsi="Arial" w:cs="Arial"/>
          <w:sz w:val="24"/>
          <w:szCs w:val="24"/>
        </w:rPr>
      </w:pPr>
      <w:r>
        <w:rPr>
          <w:rFonts w:ascii="Arial" w:hAnsi="Arial" w:cs="Arial"/>
          <w:sz w:val="24"/>
          <w:szCs w:val="24"/>
        </w:rPr>
        <w:t>“Sally”-a 43 year old, practising pagan-describes shared her experience of solitary full moon rituals:</w:t>
      </w:r>
    </w:p>
    <w:p w:rsidR="003901E7" w:rsidRDefault="003901E7" w:rsidP="003901E7">
      <w:pPr>
        <w:ind w:left="360"/>
        <w:rPr>
          <w:rFonts w:ascii="Arial" w:hAnsi="Arial" w:cs="Arial"/>
          <w:sz w:val="24"/>
          <w:szCs w:val="24"/>
        </w:rPr>
      </w:pPr>
      <w:r>
        <w:rPr>
          <w:rFonts w:ascii="Arial" w:hAnsi="Arial" w:cs="Arial"/>
          <w:sz w:val="24"/>
          <w:szCs w:val="24"/>
        </w:rPr>
        <w:t>“</w:t>
      </w:r>
      <w:r>
        <w:rPr>
          <w:rFonts w:ascii="Arial" w:hAnsi="Arial" w:cs="Arial"/>
          <w:i/>
          <w:sz w:val="24"/>
          <w:szCs w:val="24"/>
        </w:rPr>
        <w:t>I make a point of observing the full moon and taking time out just for me….For my rituals I like check out what sign the full moon is in….if its Libra full moon like the one just gone….I like to light a candle and write down all the things I want to bring into my like that are tuned into Libra like love and balance</w:t>
      </w:r>
      <w:r>
        <w:rPr>
          <w:rFonts w:ascii="Arial" w:hAnsi="Arial" w:cs="Arial"/>
          <w:sz w:val="24"/>
          <w:szCs w:val="24"/>
        </w:rPr>
        <w:t>”</w:t>
      </w:r>
    </w:p>
    <w:p w:rsidR="003901E7" w:rsidRDefault="003901E7" w:rsidP="003901E7">
      <w:pPr>
        <w:ind w:left="360"/>
        <w:rPr>
          <w:rFonts w:ascii="Arial" w:hAnsi="Arial" w:cs="Arial"/>
          <w:sz w:val="24"/>
          <w:szCs w:val="24"/>
        </w:rPr>
      </w:pPr>
      <w:r>
        <w:rPr>
          <w:rFonts w:ascii="Arial" w:hAnsi="Arial" w:cs="Arial"/>
          <w:sz w:val="24"/>
          <w:szCs w:val="24"/>
        </w:rPr>
        <w:t xml:space="preserve">Sally’s example brings together two schools of thought and blends them to create a lunar ritual that I unique for her. She describes a full moon ritual for manifestation as advocated by Demarco (2005), and a combines this with the idea of combining the lunar ritual with the astrological sign that the moon is in at the time. This approach is advocated for by Spiller (2001), however in the context of new moons not in the context of full moons. </w:t>
      </w:r>
    </w:p>
    <w:p w:rsidR="003901E7" w:rsidRDefault="003901E7" w:rsidP="003901E7">
      <w:pPr>
        <w:ind w:left="360"/>
        <w:rPr>
          <w:rFonts w:ascii="Arial" w:hAnsi="Arial" w:cs="Arial"/>
          <w:sz w:val="24"/>
          <w:szCs w:val="24"/>
        </w:rPr>
      </w:pPr>
    </w:p>
    <w:p w:rsidR="003901E7" w:rsidRDefault="003901E7" w:rsidP="003901E7">
      <w:pPr>
        <w:ind w:left="360"/>
        <w:rPr>
          <w:rFonts w:ascii="Arial" w:hAnsi="Arial" w:cs="Arial"/>
          <w:b/>
          <w:sz w:val="24"/>
          <w:szCs w:val="24"/>
        </w:rPr>
      </w:pPr>
      <w:r>
        <w:rPr>
          <w:rFonts w:ascii="Arial" w:hAnsi="Arial" w:cs="Arial"/>
          <w:b/>
          <w:sz w:val="24"/>
          <w:szCs w:val="24"/>
        </w:rPr>
        <w:t xml:space="preserve">Conclusion: </w:t>
      </w:r>
    </w:p>
    <w:p w:rsidR="003901E7" w:rsidRDefault="003901E7" w:rsidP="003901E7">
      <w:pPr>
        <w:ind w:left="360"/>
        <w:rPr>
          <w:rFonts w:ascii="Arial" w:hAnsi="Arial" w:cs="Arial"/>
          <w:sz w:val="24"/>
          <w:szCs w:val="24"/>
        </w:rPr>
      </w:pPr>
      <w:r>
        <w:rPr>
          <w:rFonts w:ascii="Arial" w:hAnsi="Arial" w:cs="Arial"/>
          <w:sz w:val="24"/>
          <w:szCs w:val="24"/>
        </w:rPr>
        <w:t>The aim of this study is to ascertain if a small group of participants all whom live and work in Devon notice or mark the lunar phases with any particular rituals.</w:t>
      </w:r>
    </w:p>
    <w:p w:rsidR="003901E7" w:rsidRDefault="003901E7" w:rsidP="003901E7">
      <w:pPr>
        <w:ind w:left="360"/>
        <w:rPr>
          <w:rFonts w:ascii="Arial" w:hAnsi="Arial" w:cs="Arial"/>
          <w:sz w:val="24"/>
          <w:szCs w:val="24"/>
        </w:rPr>
      </w:pPr>
      <w:r>
        <w:rPr>
          <w:rFonts w:ascii="Arial" w:hAnsi="Arial" w:cs="Arial"/>
          <w:sz w:val="24"/>
          <w:szCs w:val="24"/>
        </w:rPr>
        <w:t xml:space="preserve">By examining the above themes identified in the narratives of the participants, it is apparent that lunar phases are noted by all of the participants. Their </w:t>
      </w:r>
      <w:r>
        <w:rPr>
          <w:rFonts w:ascii="Arial" w:hAnsi="Arial" w:cs="Arial"/>
          <w:sz w:val="24"/>
          <w:szCs w:val="24"/>
        </w:rPr>
        <w:lastRenderedPageBreak/>
        <w:t xml:space="preserve">understanding of these phases vary and depend on their own personal context and interests. </w:t>
      </w:r>
    </w:p>
    <w:p w:rsidR="003901E7" w:rsidRDefault="003901E7" w:rsidP="003901E7">
      <w:pPr>
        <w:ind w:left="360"/>
        <w:rPr>
          <w:rFonts w:ascii="Arial" w:hAnsi="Arial" w:cs="Arial"/>
          <w:sz w:val="24"/>
          <w:szCs w:val="24"/>
        </w:rPr>
      </w:pPr>
      <w:r>
        <w:rPr>
          <w:rFonts w:ascii="Arial" w:hAnsi="Arial" w:cs="Arial"/>
          <w:sz w:val="24"/>
          <w:szCs w:val="24"/>
        </w:rPr>
        <w:t xml:space="preserve">Even within this small group of participants, the majority of the female participants were familiar with and took part in lunar rituals aligned with either the new moon, the full moon or both. In comparison only one male participant shared his lunar rituals with me. </w:t>
      </w:r>
    </w:p>
    <w:p w:rsidR="003901E7" w:rsidRDefault="003901E7" w:rsidP="003901E7">
      <w:pPr>
        <w:ind w:left="360"/>
        <w:rPr>
          <w:rFonts w:ascii="Arial" w:hAnsi="Arial" w:cs="Arial"/>
          <w:sz w:val="24"/>
          <w:szCs w:val="24"/>
        </w:rPr>
      </w:pPr>
      <w:r>
        <w:rPr>
          <w:rFonts w:ascii="Arial" w:hAnsi="Arial" w:cs="Arial"/>
          <w:sz w:val="24"/>
          <w:szCs w:val="24"/>
        </w:rPr>
        <w:t xml:space="preserve">Another emerging trend which can be identified by considering the examples provided by the participants under the above themes is that there are no hard or fast rules that participants adhere to in order to construct their rituals. They mix and match ideas like customising their rituals to align with the overall astrological theme that the moon (new or full) is in at the time of the lunation. This is an idea presented by Spiller (2001) however in the context if a new moon only, however in one of the examples shown above, this concept is used in a full moon ritual. </w:t>
      </w:r>
    </w:p>
    <w:p w:rsidR="003901E7" w:rsidRDefault="003901E7" w:rsidP="003901E7">
      <w:pPr>
        <w:ind w:left="360"/>
        <w:rPr>
          <w:rFonts w:ascii="Arial" w:hAnsi="Arial" w:cs="Arial"/>
          <w:sz w:val="24"/>
          <w:szCs w:val="24"/>
        </w:rPr>
      </w:pPr>
      <w:r>
        <w:rPr>
          <w:rFonts w:ascii="Arial" w:hAnsi="Arial" w:cs="Arial"/>
          <w:sz w:val="24"/>
          <w:szCs w:val="24"/>
        </w:rPr>
        <w:t xml:space="preserve">Despite this small group of participants, it is evident that lunar rituals do play a role in the lives of some people living and working in Devon.  </w:t>
      </w:r>
    </w:p>
    <w:p w:rsidR="003901E7" w:rsidRDefault="00336FC3" w:rsidP="003901E7">
      <w:pPr>
        <w:ind w:left="360"/>
        <w:rPr>
          <w:rFonts w:ascii="Arial" w:hAnsi="Arial" w:cs="Arial"/>
          <w:sz w:val="24"/>
          <w:szCs w:val="24"/>
        </w:rPr>
      </w:pPr>
      <w:r>
        <w:rPr>
          <w:rFonts w:ascii="Arial" w:hAnsi="Arial" w:cs="Arial"/>
          <w:sz w:val="24"/>
          <w:szCs w:val="24"/>
        </w:rPr>
        <w:t>Niema Bohrayba</w:t>
      </w:r>
      <w:bookmarkStart w:id="5" w:name="_GoBack"/>
      <w:bookmarkEnd w:id="5"/>
    </w:p>
    <w:p w:rsidR="003901E7" w:rsidRDefault="003901E7"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B1669D" w:rsidRDefault="00B1669D" w:rsidP="003901E7">
      <w:pPr>
        <w:rPr>
          <w:rFonts w:ascii="Arial" w:hAnsi="Arial" w:cs="Arial"/>
          <w:sz w:val="24"/>
          <w:szCs w:val="24"/>
        </w:rPr>
      </w:pPr>
    </w:p>
    <w:p w:rsidR="00336FC3" w:rsidRDefault="00336FC3" w:rsidP="00336FC3">
      <w:pPr>
        <w:rPr>
          <w:rFonts w:ascii="Arial" w:hAnsi="Arial" w:cs="Arial"/>
          <w:b/>
          <w:sz w:val="24"/>
          <w:szCs w:val="24"/>
        </w:rPr>
      </w:pPr>
      <w:r>
        <w:rPr>
          <w:rFonts w:ascii="Arial" w:hAnsi="Arial" w:cs="Arial"/>
          <w:b/>
          <w:sz w:val="24"/>
          <w:szCs w:val="24"/>
        </w:rPr>
        <w:t>References:</w:t>
      </w:r>
    </w:p>
    <w:p w:rsidR="00336FC3" w:rsidRDefault="00336FC3" w:rsidP="00336FC3">
      <w:pPr>
        <w:rPr>
          <w:rFonts w:ascii="Arial" w:hAnsi="Arial" w:cs="Arial"/>
          <w:sz w:val="24"/>
          <w:szCs w:val="24"/>
        </w:rPr>
      </w:pPr>
      <w:r>
        <w:rPr>
          <w:rFonts w:ascii="Arial" w:hAnsi="Arial" w:cs="Arial"/>
          <w:sz w:val="24"/>
          <w:szCs w:val="24"/>
        </w:rPr>
        <w:t>‘Abd al ‘Ati, Hammudah</w:t>
      </w:r>
      <w:r>
        <w:rPr>
          <w:rFonts w:ascii="Arial" w:hAnsi="Arial" w:cs="Arial"/>
          <w:i/>
          <w:sz w:val="24"/>
          <w:szCs w:val="24"/>
        </w:rPr>
        <w:t>.  Islam in Focus</w:t>
      </w:r>
      <w:r>
        <w:rPr>
          <w:rFonts w:ascii="Arial" w:hAnsi="Arial" w:cs="Arial"/>
          <w:sz w:val="24"/>
          <w:szCs w:val="24"/>
        </w:rPr>
        <w:t>. Maryland: Amana Publications. 1998</w:t>
      </w:r>
    </w:p>
    <w:p w:rsidR="00336FC3" w:rsidRDefault="00336FC3" w:rsidP="00336FC3">
      <w:pPr>
        <w:rPr>
          <w:rFonts w:ascii="Arial" w:hAnsi="Arial" w:cs="Arial"/>
          <w:sz w:val="24"/>
          <w:szCs w:val="24"/>
        </w:rPr>
      </w:pPr>
      <w:r>
        <w:rPr>
          <w:rFonts w:ascii="Arial" w:hAnsi="Arial" w:cs="Arial"/>
          <w:sz w:val="24"/>
          <w:szCs w:val="24"/>
        </w:rPr>
        <w:t xml:space="preserve">Biggam, John. </w:t>
      </w:r>
      <w:r>
        <w:rPr>
          <w:rFonts w:ascii="Arial" w:hAnsi="Arial" w:cs="Arial"/>
          <w:i/>
          <w:sz w:val="24"/>
          <w:szCs w:val="24"/>
        </w:rPr>
        <w:t>Succeeding with your master’s dissertation</w:t>
      </w:r>
      <w:r>
        <w:rPr>
          <w:rFonts w:ascii="Arial" w:hAnsi="Arial" w:cs="Arial"/>
          <w:sz w:val="24"/>
          <w:szCs w:val="24"/>
        </w:rPr>
        <w:t xml:space="preserve">. Maidenhead: Open University Press, 2011. </w:t>
      </w:r>
    </w:p>
    <w:p w:rsidR="00336FC3" w:rsidRDefault="00336FC3" w:rsidP="00336FC3">
      <w:pPr>
        <w:rPr>
          <w:rFonts w:ascii="Arial" w:hAnsi="Arial" w:cs="Arial"/>
          <w:sz w:val="24"/>
          <w:szCs w:val="24"/>
        </w:rPr>
      </w:pPr>
      <w:r>
        <w:rPr>
          <w:rFonts w:ascii="Arial" w:hAnsi="Arial" w:cs="Arial"/>
          <w:sz w:val="24"/>
          <w:szCs w:val="24"/>
        </w:rPr>
        <w:t xml:space="preserve">Braun, Victoria and Clarke, Virginia. “Using Thematic Analysis in Psychology” </w:t>
      </w:r>
      <w:r>
        <w:rPr>
          <w:rFonts w:ascii="Arial" w:hAnsi="Arial" w:cs="Arial"/>
          <w:i/>
          <w:sz w:val="24"/>
          <w:szCs w:val="24"/>
        </w:rPr>
        <w:t>Qualitative Research in Psychology</w:t>
      </w:r>
      <w:r>
        <w:rPr>
          <w:rFonts w:ascii="Arial" w:hAnsi="Arial" w:cs="Arial"/>
          <w:sz w:val="24"/>
          <w:szCs w:val="24"/>
        </w:rPr>
        <w:t xml:space="preserve"> no. 3 (2006): 77-101</w:t>
      </w:r>
    </w:p>
    <w:p w:rsidR="00336FC3" w:rsidRDefault="00336FC3" w:rsidP="00336FC3">
      <w:pPr>
        <w:rPr>
          <w:rFonts w:ascii="Arial" w:hAnsi="Arial" w:cs="Arial"/>
          <w:sz w:val="24"/>
          <w:szCs w:val="24"/>
        </w:rPr>
      </w:pPr>
      <w:r>
        <w:rPr>
          <w:rFonts w:ascii="Arial" w:hAnsi="Arial" w:cs="Arial"/>
          <w:sz w:val="24"/>
          <w:szCs w:val="24"/>
        </w:rPr>
        <w:t xml:space="preserve">Cohen, Louis, Manion, Lawrence and Morrison, Keith. </w:t>
      </w:r>
      <w:r>
        <w:rPr>
          <w:rFonts w:ascii="Arial" w:hAnsi="Arial" w:cs="Arial"/>
          <w:i/>
          <w:sz w:val="24"/>
          <w:szCs w:val="24"/>
        </w:rPr>
        <w:t>Research methods in Education</w:t>
      </w:r>
      <w:r>
        <w:rPr>
          <w:rFonts w:ascii="Arial" w:hAnsi="Arial" w:cs="Arial"/>
          <w:sz w:val="24"/>
          <w:szCs w:val="24"/>
        </w:rPr>
        <w:t>. 7</w:t>
      </w:r>
      <w:r>
        <w:rPr>
          <w:rFonts w:ascii="Arial" w:hAnsi="Arial" w:cs="Arial"/>
          <w:sz w:val="24"/>
          <w:szCs w:val="24"/>
          <w:vertAlign w:val="superscript"/>
        </w:rPr>
        <w:t>th</w:t>
      </w:r>
      <w:r>
        <w:rPr>
          <w:rFonts w:ascii="Arial" w:hAnsi="Arial" w:cs="Arial"/>
          <w:sz w:val="24"/>
          <w:szCs w:val="24"/>
        </w:rPr>
        <w:t xml:space="preserve"> Ed. Abingdon: Routledge, 2011.</w:t>
      </w:r>
    </w:p>
    <w:p w:rsidR="00336FC3" w:rsidRDefault="00336FC3" w:rsidP="00336FC3">
      <w:pPr>
        <w:rPr>
          <w:rFonts w:ascii="Arial" w:hAnsi="Arial" w:cs="Arial"/>
          <w:sz w:val="24"/>
          <w:szCs w:val="24"/>
        </w:rPr>
      </w:pPr>
      <w:r>
        <w:rPr>
          <w:rFonts w:ascii="Arial" w:hAnsi="Arial" w:cs="Arial"/>
          <w:sz w:val="24"/>
          <w:szCs w:val="24"/>
        </w:rPr>
        <w:t xml:space="preserve">Demarco, Stacey. </w:t>
      </w:r>
      <w:r>
        <w:rPr>
          <w:rFonts w:ascii="Arial" w:hAnsi="Arial" w:cs="Arial"/>
          <w:i/>
          <w:sz w:val="24"/>
          <w:szCs w:val="24"/>
        </w:rPr>
        <w:t>There’s a witch in the boardroom</w:t>
      </w:r>
      <w:r>
        <w:rPr>
          <w:rFonts w:ascii="Arial" w:hAnsi="Arial" w:cs="Arial"/>
          <w:sz w:val="24"/>
          <w:szCs w:val="24"/>
        </w:rPr>
        <w:t>. 1</w:t>
      </w:r>
      <w:r>
        <w:rPr>
          <w:rFonts w:ascii="Arial" w:hAnsi="Arial" w:cs="Arial"/>
          <w:sz w:val="24"/>
          <w:szCs w:val="24"/>
          <w:vertAlign w:val="superscript"/>
        </w:rPr>
        <w:t>st</w:t>
      </w:r>
      <w:r>
        <w:rPr>
          <w:rFonts w:ascii="Arial" w:hAnsi="Arial" w:cs="Arial"/>
          <w:sz w:val="24"/>
          <w:szCs w:val="24"/>
        </w:rPr>
        <w:t xml:space="preserve"> ed. USA: Llewellyn Publications, 2005</w:t>
      </w:r>
    </w:p>
    <w:p w:rsidR="00336FC3" w:rsidRDefault="00336FC3" w:rsidP="00336FC3">
      <w:pPr>
        <w:rPr>
          <w:rFonts w:ascii="Arial" w:hAnsi="Arial" w:cs="Arial"/>
          <w:sz w:val="24"/>
          <w:szCs w:val="24"/>
        </w:rPr>
      </w:pPr>
      <w:r>
        <w:rPr>
          <w:rFonts w:ascii="Arial" w:hAnsi="Arial" w:cs="Arial"/>
          <w:sz w:val="24"/>
          <w:szCs w:val="24"/>
        </w:rPr>
        <w:t xml:space="preserve">Gerring, John. </w:t>
      </w:r>
      <w:r>
        <w:rPr>
          <w:rFonts w:ascii="Arial" w:hAnsi="Arial" w:cs="Arial"/>
          <w:i/>
          <w:sz w:val="24"/>
          <w:szCs w:val="24"/>
        </w:rPr>
        <w:t>Case study research: Principles and practices</w:t>
      </w:r>
      <w:r>
        <w:rPr>
          <w:rFonts w:ascii="Arial" w:hAnsi="Arial" w:cs="Arial"/>
          <w:sz w:val="24"/>
          <w:szCs w:val="24"/>
        </w:rPr>
        <w:t>. Cambridge: Cambridge University Press, 2007.</w:t>
      </w:r>
    </w:p>
    <w:p w:rsidR="00336FC3" w:rsidRDefault="00336FC3" w:rsidP="00336FC3">
      <w:pPr>
        <w:rPr>
          <w:rFonts w:ascii="Arial" w:hAnsi="Arial" w:cs="Arial"/>
          <w:sz w:val="24"/>
          <w:szCs w:val="24"/>
        </w:rPr>
      </w:pPr>
      <w:r>
        <w:rPr>
          <w:rFonts w:ascii="Arial" w:hAnsi="Arial" w:cs="Arial"/>
          <w:sz w:val="24"/>
          <w:szCs w:val="24"/>
        </w:rPr>
        <w:t xml:space="preserve">Guba, Egon. G. and Lincoln, Yvonna. S. </w:t>
      </w:r>
      <w:r>
        <w:rPr>
          <w:rFonts w:ascii="Arial" w:hAnsi="Arial" w:cs="Arial"/>
          <w:i/>
          <w:sz w:val="24"/>
          <w:szCs w:val="24"/>
        </w:rPr>
        <w:t xml:space="preserve">Handbook of qualitative research. </w:t>
      </w:r>
      <w:r>
        <w:rPr>
          <w:rFonts w:ascii="Arial" w:hAnsi="Arial" w:cs="Arial"/>
          <w:sz w:val="24"/>
          <w:szCs w:val="24"/>
        </w:rPr>
        <w:t>CA: SAGE, 1994.</w:t>
      </w:r>
    </w:p>
    <w:p w:rsidR="00336FC3" w:rsidRDefault="00336FC3" w:rsidP="00336FC3">
      <w:pPr>
        <w:rPr>
          <w:rFonts w:ascii="Arial" w:hAnsi="Arial" w:cs="Arial"/>
          <w:sz w:val="24"/>
          <w:szCs w:val="24"/>
        </w:rPr>
      </w:pPr>
    </w:p>
    <w:p w:rsidR="00336FC3" w:rsidRDefault="00336FC3" w:rsidP="00336FC3">
      <w:pPr>
        <w:rPr>
          <w:rFonts w:ascii="Arial" w:hAnsi="Arial" w:cs="Arial"/>
          <w:sz w:val="24"/>
          <w:szCs w:val="24"/>
        </w:rPr>
      </w:pPr>
      <w:r>
        <w:rPr>
          <w:rFonts w:ascii="Arial" w:hAnsi="Arial" w:cs="Arial"/>
          <w:sz w:val="24"/>
          <w:szCs w:val="24"/>
        </w:rPr>
        <w:t xml:space="preserve">Hennink, Monique,. Hutter, Inge, and Bailey, Ajay. </w:t>
      </w:r>
      <w:r>
        <w:rPr>
          <w:rFonts w:ascii="Arial" w:hAnsi="Arial" w:cs="Arial"/>
          <w:i/>
          <w:sz w:val="24"/>
          <w:szCs w:val="24"/>
        </w:rPr>
        <w:t>Qualitative Research Methods</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 London: Sage Publishing, 2015.</w:t>
      </w:r>
    </w:p>
    <w:p w:rsidR="00336FC3" w:rsidRDefault="00336FC3" w:rsidP="00336FC3">
      <w:pPr>
        <w:rPr>
          <w:rFonts w:ascii="Arial" w:hAnsi="Arial" w:cs="Arial"/>
          <w:sz w:val="24"/>
          <w:szCs w:val="24"/>
        </w:rPr>
      </w:pPr>
    </w:p>
    <w:p w:rsidR="00336FC3" w:rsidRDefault="00336FC3" w:rsidP="00336FC3">
      <w:pPr>
        <w:rPr>
          <w:rFonts w:ascii="Arial" w:hAnsi="Arial" w:cs="Arial"/>
          <w:sz w:val="24"/>
          <w:szCs w:val="24"/>
        </w:rPr>
      </w:pPr>
      <w:r>
        <w:rPr>
          <w:rFonts w:ascii="Arial" w:hAnsi="Arial" w:cs="Arial"/>
          <w:sz w:val="24"/>
          <w:szCs w:val="24"/>
        </w:rPr>
        <w:t xml:space="preserve">Jankowicz, A. D. </w:t>
      </w:r>
      <w:r>
        <w:rPr>
          <w:rFonts w:ascii="Arial" w:hAnsi="Arial" w:cs="Arial"/>
          <w:i/>
          <w:sz w:val="24"/>
          <w:szCs w:val="24"/>
        </w:rPr>
        <w:t>Business research projects for students</w:t>
      </w:r>
      <w:r>
        <w:rPr>
          <w:rFonts w:ascii="Arial" w:hAnsi="Arial" w:cs="Arial"/>
          <w:sz w:val="24"/>
          <w:szCs w:val="24"/>
        </w:rPr>
        <w:t>. London: Thomson Learning, 2005.</w:t>
      </w:r>
    </w:p>
    <w:p w:rsidR="00336FC3" w:rsidRDefault="00336FC3" w:rsidP="00336FC3">
      <w:pPr>
        <w:rPr>
          <w:rFonts w:ascii="Arial" w:hAnsi="Arial" w:cs="Arial"/>
          <w:sz w:val="24"/>
          <w:szCs w:val="24"/>
        </w:rPr>
      </w:pPr>
      <w:r>
        <w:rPr>
          <w:rFonts w:ascii="Arial" w:hAnsi="Arial" w:cs="Arial"/>
          <w:sz w:val="24"/>
          <w:szCs w:val="24"/>
        </w:rPr>
        <w:t xml:space="preserve">Koshy, Vasa. </w:t>
      </w:r>
      <w:r>
        <w:rPr>
          <w:rFonts w:ascii="Arial" w:hAnsi="Arial" w:cs="Arial"/>
          <w:i/>
          <w:sz w:val="24"/>
          <w:szCs w:val="24"/>
        </w:rPr>
        <w:t>Action Research for Improving Practice: A Practical Guide</w:t>
      </w:r>
      <w:r>
        <w:rPr>
          <w:rFonts w:ascii="Arial" w:hAnsi="Arial" w:cs="Arial"/>
          <w:sz w:val="24"/>
          <w:szCs w:val="24"/>
        </w:rPr>
        <w:t>. London: SAGE, 2005</w:t>
      </w:r>
    </w:p>
    <w:p w:rsidR="00336FC3" w:rsidRDefault="00336FC3" w:rsidP="00336FC3">
      <w:pPr>
        <w:rPr>
          <w:rFonts w:ascii="Arial" w:hAnsi="Arial" w:cs="Arial"/>
          <w:sz w:val="24"/>
          <w:szCs w:val="24"/>
        </w:rPr>
      </w:pPr>
    </w:p>
    <w:p w:rsidR="00336FC3" w:rsidRDefault="00336FC3" w:rsidP="00336FC3">
      <w:pPr>
        <w:rPr>
          <w:rFonts w:ascii="Arial" w:hAnsi="Arial" w:cs="Arial"/>
          <w:sz w:val="24"/>
          <w:szCs w:val="24"/>
        </w:rPr>
      </w:pPr>
      <w:r>
        <w:rPr>
          <w:rFonts w:ascii="Arial" w:hAnsi="Arial" w:cs="Arial"/>
          <w:sz w:val="24"/>
          <w:szCs w:val="24"/>
        </w:rPr>
        <w:t xml:space="preserve">Neuman, W. Lawrence.  </w:t>
      </w:r>
      <w:r>
        <w:rPr>
          <w:rFonts w:ascii="Arial" w:hAnsi="Arial" w:cs="Arial"/>
          <w:i/>
          <w:sz w:val="24"/>
          <w:szCs w:val="24"/>
        </w:rPr>
        <w:t>Basics of social research: qualitative and quantitative approaches</w:t>
      </w:r>
      <w:r>
        <w:rPr>
          <w:rFonts w:ascii="Arial" w:hAnsi="Arial" w:cs="Arial"/>
          <w:sz w:val="24"/>
          <w:szCs w:val="24"/>
        </w:rPr>
        <w:t>. International edition. Harlow: Pearson Education, 2011.</w:t>
      </w:r>
    </w:p>
    <w:p w:rsidR="00336FC3" w:rsidRDefault="00336FC3" w:rsidP="00336FC3">
      <w:pPr>
        <w:rPr>
          <w:rFonts w:ascii="Arial" w:hAnsi="Arial" w:cs="Arial"/>
          <w:sz w:val="24"/>
          <w:szCs w:val="24"/>
        </w:rPr>
      </w:pPr>
      <w:r>
        <w:rPr>
          <w:rFonts w:ascii="Arial" w:hAnsi="Arial" w:cs="Arial"/>
          <w:sz w:val="24"/>
          <w:szCs w:val="24"/>
        </w:rPr>
        <w:t>“</w:t>
      </w:r>
      <w:r>
        <w:rPr>
          <w:rFonts w:ascii="Arial" w:hAnsi="Arial" w:cs="Arial"/>
          <w:i/>
          <w:sz w:val="24"/>
          <w:szCs w:val="24"/>
        </w:rPr>
        <w:t>Paganism the second most popular faith in the South West of England</w:t>
      </w:r>
      <w:r>
        <w:rPr>
          <w:rFonts w:ascii="Arial" w:hAnsi="Arial" w:cs="Arial"/>
          <w:sz w:val="24"/>
          <w:szCs w:val="24"/>
        </w:rPr>
        <w:t>”, BBC, Last modified: August 28, 2017, https://www.bbc.co.uk/news/av/uk-england-devon-40948532/paganism-is-second-most-popular-faith-in-south-west-england</w:t>
      </w:r>
    </w:p>
    <w:p w:rsidR="00336FC3" w:rsidRDefault="00336FC3" w:rsidP="00336FC3">
      <w:pPr>
        <w:spacing w:after="0" w:line="240" w:lineRule="auto"/>
        <w:rPr>
          <w:rFonts w:ascii="Arial" w:hAnsi="Arial" w:cs="Arial"/>
          <w:sz w:val="24"/>
          <w:szCs w:val="24"/>
        </w:rPr>
      </w:pPr>
      <w:r>
        <w:rPr>
          <w:rFonts w:ascii="Arial" w:hAnsi="Arial" w:cs="Arial"/>
          <w:sz w:val="24"/>
          <w:szCs w:val="24"/>
        </w:rPr>
        <w:t xml:space="preserve">Spiller, Jan. </w:t>
      </w:r>
      <w:r>
        <w:rPr>
          <w:rFonts w:ascii="Arial" w:hAnsi="Arial" w:cs="Arial"/>
          <w:i/>
          <w:sz w:val="24"/>
          <w:szCs w:val="24"/>
        </w:rPr>
        <w:t>New Moon Astrology</w:t>
      </w:r>
      <w:r>
        <w:rPr>
          <w:rFonts w:ascii="Arial" w:hAnsi="Arial" w:cs="Arial"/>
          <w:sz w:val="24"/>
          <w:szCs w:val="24"/>
        </w:rPr>
        <w:t>.2</w:t>
      </w:r>
      <w:r>
        <w:rPr>
          <w:rFonts w:ascii="Arial" w:hAnsi="Arial" w:cs="Arial"/>
          <w:sz w:val="24"/>
          <w:szCs w:val="24"/>
          <w:vertAlign w:val="superscript"/>
        </w:rPr>
        <w:t>nd</w:t>
      </w:r>
      <w:r>
        <w:rPr>
          <w:rFonts w:ascii="Arial" w:hAnsi="Arial" w:cs="Arial"/>
          <w:sz w:val="24"/>
          <w:szCs w:val="24"/>
        </w:rPr>
        <w:t xml:space="preserve"> ed. USA: Random House, 2001.</w:t>
      </w:r>
    </w:p>
    <w:p w:rsidR="00336FC3" w:rsidRDefault="00336FC3" w:rsidP="00336FC3">
      <w:pPr>
        <w:spacing w:after="0" w:line="240" w:lineRule="auto"/>
        <w:rPr>
          <w:rFonts w:ascii="Arial" w:hAnsi="Arial" w:cs="Arial"/>
          <w:sz w:val="24"/>
          <w:szCs w:val="24"/>
        </w:rPr>
      </w:pPr>
      <w:r>
        <w:rPr>
          <w:rFonts w:ascii="Arial" w:hAnsi="Arial" w:cs="Arial"/>
          <w:sz w:val="24"/>
          <w:szCs w:val="24"/>
        </w:rPr>
        <w:t xml:space="preserve">Surtees, Kelly. </w:t>
      </w:r>
      <w:r>
        <w:rPr>
          <w:rFonts w:ascii="Arial" w:hAnsi="Arial" w:cs="Arial"/>
          <w:i/>
          <w:sz w:val="24"/>
          <w:szCs w:val="24"/>
        </w:rPr>
        <w:t>Aries new moon vision board guide</w:t>
      </w:r>
      <w:r>
        <w:rPr>
          <w:rFonts w:ascii="Arial" w:hAnsi="Arial" w:cs="Arial"/>
          <w:sz w:val="24"/>
          <w:szCs w:val="24"/>
        </w:rPr>
        <w:t>. Toronto: Kelly’s Astrology, 2016.</w:t>
      </w:r>
    </w:p>
    <w:p w:rsidR="00336FC3" w:rsidRDefault="00336FC3" w:rsidP="00336FC3">
      <w:pPr>
        <w:spacing w:after="0" w:line="240" w:lineRule="auto"/>
        <w:rPr>
          <w:rFonts w:ascii="Arial" w:hAnsi="Arial" w:cs="Arial"/>
          <w:sz w:val="24"/>
          <w:szCs w:val="24"/>
        </w:rPr>
      </w:pPr>
    </w:p>
    <w:p w:rsidR="00336FC3" w:rsidRDefault="00336FC3" w:rsidP="00336FC3">
      <w:pPr>
        <w:rPr>
          <w:rFonts w:ascii="Arial" w:hAnsi="Arial" w:cs="Arial"/>
          <w:sz w:val="24"/>
          <w:szCs w:val="24"/>
        </w:rPr>
      </w:pPr>
    </w:p>
    <w:p w:rsidR="00336FC3" w:rsidRDefault="00336FC3" w:rsidP="00336FC3">
      <w:pPr>
        <w:pStyle w:val="FootnoteText"/>
        <w:rPr>
          <w:rFonts w:ascii="Arial" w:hAnsi="Arial" w:cs="Arial"/>
          <w:sz w:val="24"/>
          <w:szCs w:val="24"/>
        </w:rPr>
      </w:pPr>
      <w:r>
        <w:rPr>
          <w:rFonts w:ascii="Arial" w:hAnsi="Arial" w:cs="Arial"/>
          <w:sz w:val="24"/>
          <w:szCs w:val="24"/>
        </w:rPr>
        <w:t xml:space="preserve">“The Eight Moon Phases as Personality Types”, Kelly’s Astrology, Last modified: April 24, 2017, </w:t>
      </w:r>
      <w:hyperlink r:id="rId9" w:history="1">
        <w:r>
          <w:rPr>
            <w:rStyle w:val="Hyperlink"/>
            <w:rFonts w:ascii="Arial" w:hAnsi="Arial" w:cs="Arial"/>
            <w:sz w:val="24"/>
            <w:szCs w:val="24"/>
          </w:rPr>
          <w:t>https://kellysastrology.com/2017/04/24/the-eight-moon-phases-as-personality-types/</w:t>
        </w:r>
      </w:hyperlink>
    </w:p>
    <w:p w:rsidR="00336FC3" w:rsidRDefault="00336FC3" w:rsidP="00336FC3">
      <w:pPr>
        <w:pStyle w:val="FootnoteText"/>
        <w:rPr>
          <w:rFonts w:ascii="Arial" w:hAnsi="Arial" w:cs="Arial"/>
          <w:sz w:val="24"/>
          <w:szCs w:val="24"/>
        </w:rPr>
      </w:pPr>
    </w:p>
    <w:p w:rsidR="00336FC3" w:rsidRDefault="00336FC3" w:rsidP="00336FC3">
      <w:pPr>
        <w:rPr>
          <w:rStyle w:val="Hyperlink"/>
        </w:rPr>
      </w:pPr>
      <w:r>
        <w:rPr>
          <w:rFonts w:ascii="Arial" w:hAnsi="Arial" w:cs="Arial"/>
          <w:sz w:val="24"/>
          <w:szCs w:val="24"/>
        </w:rPr>
        <w:t xml:space="preserve">Tindall, Cassandra. “New Moon Magic”. Filmed [March, 2019]. You Tube Video. Posted [March, 2019]. </w:t>
      </w:r>
      <w:hyperlink r:id="rId10" w:history="1">
        <w:r>
          <w:rPr>
            <w:rStyle w:val="Hyperlink"/>
            <w:rFonts w:ascii="Arial" w:hAnsi="Arial" w:cs="Arial"/>
            <w:sz w:val="24"/>
            <w:szCs w:val="24"/>
          </w:rPr>
          <w:t>www.youtube.com/watch?time_continue=46&amp;v=ZTIHTAz5Ap0</w:t>
        </w:r>
      </w:hyperlink>
    </w:p>
    <w:p w:rsidR="00336FC3" w:rsidRDefault="00336FC3" w:rsidP="00336FC3"/>
    <w:p w:rsidR="00336FC3" w:rsidRDefault="00336FC3" w:rsidP="00336FC3">
      <w:pPr>
        <w:rPr>
          <w:sz w:val="24"/>
          <w:szCs w:val="24"/>
        </w:rPr>
      </w:pPr>
      <w:r>
        <w:rPr>
          <w:rFonts w:ascii="Arial" w:hAnsi="Arial" w:cs="Arial"/>
          <w:sz w:val="24"/>
          <w:szCs w:val="24"/>
        </w:rPr>
        <w:t xml:space="preserve">Yin, Robert, K. </w:t>
      </w:r>
      <w:r>
        <w:rPr>
          <w:rFonts w:ascii="Arial" w:hAnsi="Arial" w:cs="Arial"/>
          <w:i/>
          <w:sz w:val="24"/>
          <w:szCs w:val="24"/>
        </w:rPr>
        <w:t>Case Study Research: Design and Methods</w:t>
      </w:r>
      <w:r>
        <w:rPr>
          <w:rFonts w:ascii="Arial" w:hAnsi="Arial" w:cs="Arial"/>
          <w:sz w:val="24"/>
          <w:szCs w:val="24"/>
        </w:rPr>
        <w:t>. 5</w:t>
      </w:r>
      <w:r>
        <w:rPr>
          <w:rFonts w:ascii="Arial" w:hAnsi="Arial" w:cs="Arial"/>
          <w:sz w:val="24"/>
          <w:szCs w:val="24"/>
          <w:vertAlign w:val="superscript"/>
        </w:rPr>
        <w:t>th</w:t>
      </w:r>
      <w:r>
        <w:rPr>
          <w:rFonts w:ascii="Arial" w:hAnsi="Arial" w:cs="Arial"/>
          <w:sz w:val="24"/>
          <w:szCs w:val="24"/>
        </w:rPr>
        <w:t xml:space="preserve"> ed. London: SAGE, 2014.</w:t>
      </w:r>
    </w:p>
    <w:p w:rsidR="003901E7" w:rsidRDefault="003901E7" w:rsidP="00456E5C">
      <w:pPr>
        <w:rPr>
          <w:rFonts w:ascii="Arial" w:hAnsi="Arial" w:cs="Arial"/>
          <w:b/>
          <w:sz w:val="24"/>
          <w:szCs w:val="24"/>
        </w:rPr>
      </w:pPr>
    </w:p>
    <w:p w:rsidR="00CD3A63" w:rsidRDefault="00CD3A63"/>
    <w:sectPr w:rsidR="00CD3A63" w:rsidSect="00456E5C">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85D" w:rsidRDefault="001E485D" w:rsidP="001E485D">
      <w:pPr>
        <w:spacing w:after="0" w:line="240" w:lineRule="auto"/>
      </w:pPr>
      <w:r>
        <w:separator/>
      </w:r>
    </w:p>
  </w:endnote>
  <w:endnote w:type="continuationSeparator" w:id="0">
    <w:p w:rsidR="001E485D" w:rsidRDefault="001E485D" w:rsidP="001E4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85D" w:rsidRDefault="001E485D" w:rsidP="001E485D">
      <w:pPr>
        <w:spacing w:after="0" w:line="240" w:lineRule="auto"/>
      </w:pPr>
      <w:r>
        <w:separator/>
      </w:r>
    </w:p>
  </w:footnote>
  <w:footnote w:type="continuationSeparator" w:id="0">
    <w:p w:rsidR="001E485D" w:rsidRDefault="001E485D" w:rsidP="001E485D">
      <w:pPr>
        <w:spacing w:after="0" w:line="240" w:lineRule="auto"/>
      </w:pPr>
      <w:r>
        <w:continuationSeparator/>
      </w:r>
    </w:p>
  </w:footnote>
  <w:footnote w:id="1">
    <w:p w:rsidR="003901E7" w:rsidRDefault="003901E7" w:rsidP="003901E7">
      <w:pPr>
        <w:pStyle w:val="FootnoteText"/>
      </w:pPr>
      <w:r>
        <w:rPr>
          <w:rStyle w:val="FootnoteReference"/>
        </w:rPr>
        <w:footnoteRef/>
      </w:r>
      <w:r>
        <w:t xml:space="preserve"> “The Eight Moon Phases as Personality Types”, Kelly’s Astrology, Last modified: April 24, 2017, https://kellysastrology.com/2017/04/24/the-eight-moon-phases-as-personality-types/</w:t>
      </w:r>
    </w:p>
  </w:footnote>
  <w:footnote w:id="2">
    <w:p w:rsidR="003901E7" w:rsidRDefault="003901E7" w:rsidP="003901E7">
      <w:pPr>
        <w:pStyle w:val="FootnoteText"/>
      </w:pPr>
      <w:r>
        <w:rPr>
          <w:rStyle w:val="FootnoteReference"/>
        </w:rPr>
        <w:footnoteRef/>
      </w:r>
      <w:r>
        <w:t xml:space="preserve"> “Earth’s moon”, National School’s Observatory, Accessed February 25, 2019, https://www.schoolsobservatory.org/learn/astro/solsys/moons/earthmoon</w:t>
      </w:r>
    </w:p>
  </w:footnote>
  <w:footnote w:id="3">
    <w:p w:rsidR="003901E7" w:rsidRDefault="003901E7" w:rsidP="003901E7">
      <w:pPr>
        <w:pStyle w:val="FootnoteText"/>
      </w:pPr>
      <w:r>
        <w:rPr>
          <w:rStyle w:val="FootnoteReference"/>
        </w:rPr>
        <w:footnoteRef/>
      </w:r>
      <w:r>
        <w:t xml:space="preserve"> “What is the Biblical New Moon?”, Yahweh’s Restoration Ministry, Last modified: October 10, 2016, https://yrm.org/biblical-new-moon/</w:t>
      </w:r>
    </w:p>
  </w:footnote>
  <w:footnote w:id="4">
    <w:p w:rsidR="003901E7" w:rsidRDefault="003901E7" w:rsidP="003901E7">
      <w:pPr>
        <w:pStyle w:val="FootnoteText"/>
      </w:pPr>
      <w:r>
        <w:rPr>
          <w:rStyle w:val="FootnoteReference"/>
        </w:rPr>
        <w:footnoteRef/>
      </w:r>
      <w:r>
        <w:t xml:space="preserve"> Hammudah ‘Abd al ‘Ati, </w:t>
      </w:r>
      <w:r>
        <w:rPr>
          <w:i/>
        </w:rPr>
        <w:t>Islam in Focus</w:t>
      </w:r>
      <w:r>
        <w:t>, (Maryland: Amana Publications, 1998), 90</w:t>
      </w:r>
    </w:p>
  </w:footnote>
  <w:footnote w:id="5">
    <w:p w:rsidR="003901E7" w:rsidRDefault="003901E7" w:rsidP="003901E7">
      <w:pPr>
        <w:pStyle w:val="FootnoteText"/>
      </w:pPr>
      <w:r>
        <w:rPr>
          <w:rStyle w:val="FootnoteReference"/>
        </w:rPr>
        <w:footnoteRef/>
      </w:r>
      <w:r>
        <w:t xml:space="preserve"> Jan, Spiller, </w:t>
      </w:r>
      <w:r>
        <w:rPr>
          <w:i/>
        </w:rPr>
        <w:t>New Moon Astrology</w:t>
      </w:r>
      <w:r>
        <w:t>, (USA: Random House, 2001), 25</w:t>
      </w:r>
    </w:p>
  </w:footnote>
  <w:footnote w:id="6">
    <w:p w:rsidR="003901E7" w:rsidRDefault="003901E7" w:rsidP="003901E7">
      <w:pPr>
        <w:pStyle w:val="FootnoteText"/>
      </w:pPr>
      <w:r>
        <w:rPr>
          <w:rStyle w:val="FootnoteReference"/>
        </w:rPr>
        <w:footnoteRef/>
      </w:r>
      <w:r>
        <w:t xml:space="preserve"> Kelly, Surtees, Aries new moon vision board guide, (Toronto: Kelly’s Astrology, 2016). </w:t>
      </w:r>
    </w:p>
  </w:footnote>
  <w:footnote w:id="7">
    <w:p w:rsidR="003901E7" w:rsidRDefault="003901E7" w:rsidP="003901E7">
      <w:pPr>
        <w:spacing w:after="0" w:line="240" w:lineRule="auto"/>
        <w:rPr>
          <w:rFonts w:ascii="Arial" w:hAnsi="Arial" w:cs="Arial"/>
          <w:color w:val="0000FF"/>
          <w:u w:val="single"/>
        </w:rPr>
      </w:pPr>
      <w:r>
        <w:rPr>
          <w:rStyle w:val="FootnoteReference"/>
        </w:rPr>
        <w:footnoteRef/>
      </w:r>
      <w:r>
        <w:t xml:space="preserve"> Cassandra, Tindall, </w:t>
      </w:r>
      <w:r>
        <w:rPr>
          <w:rFonts w:cs="Arial"/>
          <w:sz w:val="20"/>
          <w:szCs w:val="20"/>
        </w:rPr>
        <w:t xml:space="preserve">“New Moon Magic”. Filmed [March, 2019]. You Tube Video. Posted [March, 2019]. </w:t>
      </w:r>
      <w:hyperlink r:id="rId1" w:history="1">
        <w:r>
          <w:rPr>
            <w:rStyle w:val="Hyperlink"/>
            <w:rFonts w:cs="Arial"/>
            <w:sz w:val="20"/>
            <w:szCs w:val="20"/>
          </w:rPr>
          <w:t>www.youtube.com/watch?time_continue=46&amp;v=ZTIHTAz5Ap0</w:t>
        </w:r>
      </w:hyperlink>
    </w:p>
  </w:footnote>
  <w:footnote w:id="8">
    <w:p w:rsidR="003901E7" w:rsidRDefault="003901E7" w:rsidP="003901E7">
      <w:pPr>
        <w:pStyle w:val="FootnoteText"/>
      </w:pPr>
      <w:r>
        <w:rPr>
          <w:rStyle w:val="FootnoteReference"/>
        </w:rPr>
        <w:footnoteRef/>
      </w:r>
      <w:r>
        <w:t xml:space="preserve"> Stacey, Demarco, </w:t>
      </w:r>
      <w:r>
        <w:rPr>
          <w:i/>
        </w:rPr>
        <w:t>There’s a witch in the boardroom</w:t>
      </w:r>
      <w:r>
        <w:t>, (USA: Llewellyn Publications, 2005), 34-41.</w:t>
      </w:r>
    </w:p>
  </w:footnote>
  <w:footnote w:id="9">
    <w:p w:rsidR="003901E7" w:rsidRDefault="003901E7" w:rsidP="003901E7">
      <w:pPr>
        <w:pStyle w:val="FootnoteText"/>
      </w:pPr>
      <w:r>
        <w:rPr>
          <w:rStyle w:val="FootnoteReference"/>
        </w:rPr>
        <w:footnoteRef/>
      </w:r>
      <w:r>
        <w:t xml:space="preserve"> “Paganism the second most popular faith in the South West of England”, BBC, Last modified: August 28, 2017, https://www.bbc.co.uk/news/av/uk-england-devon-40948532/paganism-is-second-most-popular-faith-in-south-west-england</w:t>
      </w:r>
    </w:p>
  </w:footnote>
  <w:footnote w:id="10">
    <w:p w:rsidR="003901E7" w:rsidRDefault="003901E7" w:rsidP="003901E7">
      <w:pPr>
        <w:pStyle w:val="FootnoteText"/>
      </w:pPr>
      <w:r>
        <w:rPr>
          <w:rStyle w:val="FootnoteReference"/>
        </w:rPr>
        <w:footnoteRef/>
      </w:r>
      <w:r>
        <w:t xml:space="preserve"> Monique Hennink, Inge Hutter and Ajay Bailey, </w:t>
      </w:r>
      <w:r>
        <w:rPr>
          <w:i/>
        </w:rPr>
        <w:t>Qualitative Research Methods</w:t>
      </w:r>
      <w:r>
        <w:t>. (London: Sage Publishing, 2015), 96</w:t>
      </w:r>
    </w:p>
  </w:footnote>
  <w:footnote w:id="11">
    <w:p w:rsidR="003901E7" w:rsidRDefault="003901E7" w:rsidP="003901E7">
      <w:pPr>
        <w:pStyle w:val="FootnoteText"/>
      </w:pPr>
      <w:r>
        <w:rPr>
          <w:rStyle w:val="FootnoteReference"/>
        </w:rPr>
        <w:footnoteRef/>
      </w:r>
      <w:r>
        <w:t xml:space="preserve"> W. Lawrence Neuman, </w:t>
      </w:r>
      <w:r>
        <w:rPr>
          <w:i/>
        </w:rPr>
        <w:t>Basics of social research: qualitative and quantitative approaches</w:t>
      </w:r>
      <w:r>
        <w:t>. (Harlow: Pearson Education, 2011), 141.</w:t>
      </w:r>
    </w:p>
  </w:footnote>
  <w:footnote w:id="12">
    <w:p w:rsidR="003901E7" w:rsidRDefault="003901E7" w:rsidP="003901E7">
      <w:pPr>
        <w:pStyle w:val="FootnoteText"/>
      </w:pPr>
      <w:r>
        <w:rPr>
          <w:rStyle w:val="FootnoteReference"/>
        </w:rPr>
        <w:footnoteRef/>
      </w:r>
      <w:r>
        <w:t xml:space="preserve"> A. D. Jankowicz, </w:t>
      </w:r>
      <w:r>
        <w:rPr>
          <w:i/>
        </w:rPr>
        <w:t>Business research projects for students</w:t>
      </w:r>
      <w:r>
        <w:t>. (London: Thompson Learning, 2005), 265.</w:t>
      </w:r>
    </w:p>
  </w:footnote>
  <w:footnote w:id="13">
    <w:p w:rsidR="003901E7" w:rsidRDefault="003901E7" w:rsidP="003901E7">
      <w:pPr>
        <w:pStyle w:val="FootnoteText"/>
      </w:pPr>
      <w:r>
        <w:rPr>
          <w:rStyle w:val="FootnoteReference"/>
        </w:rPr>
        <w:footnoteRef/>
      </w:r>
      <w:r>
        <w:t xml:space="preserve"> Egon, G. Guba and Yvonna, S. Lincoln, </w:t>
      </w:r>
      <w:r>
        <w:rPr>
          <w:i/>
        </w:rPr>
        <w:t>Handbook of qualitative research</w:t>
      </w:r>
      <w:r>
        <w:t>, (CA: SAGE, 1994), 109</w:t>
      </w:r>
    </w:p>
  </w:footnote>
  <w:footnote w:id="14">
    <w:p w:rsidR="003901E7" w:rsidRDefault="003901E7" w:rsidP="003901E7">
      <w:pPr>
        <w:pStyle w:val="FootnoteText"/>
      </w:pPr>
      <w:r>
        <w:rPr>
          <w:rStyle w:val="FootnoteReference"/>
        </w:rPr>
        <w:footnoteRef/>
      </w:r>
      <w:r>
        <w:t xml:space="preserve"> Valsa Koshy, </w:t>
      </w:r>
      <w:r>
        <w:rPr>
          <w:i/>
        </w:rPr>
        <w:t>Action Research for Improving Practice: A Practical Guide</w:t>
      </w:r>
      <w:r>
        <w:t>. (London: SAGE, 2005), 86</w:t>
      </w:r>
    </w:p>
  </w:footnote>
  <w:footnote w:id="15">
    <w:p w:rsidR="003901E7" w:rsidRDefault="003901E7" w:rsidP="003901E7">
      <w:pPr>
        <w:pStyle w:val="FootnoteText"/>
      </w:pPr>
      <w:r>
        <w:rPr>
          <w:rStyle w:val="FootnoteReference"/>
        </w:rPr>
        <w:footnoteRef/>
      </w:r>
      <w:r>
        <w:t xml:space="preserve"> Monique Hennink, Inge Hutter and Ajay Bailey, </w:t>
      </w:r>
      <w:r>
        <w:rPr>
          <w:i/>
        </w:rPr>
        <w:t>Qualitative Research Methods</w:t>
      </w:r>
      <w:r>
        <w:t>. (London: Sage Publishing, 2015), 110</w:t>
      </w:r>
    </w:p>
  </w:footnote>
  <w:footnote w:id="16">
    <w:p w:rsidR="003901E7" w:rsidRDefault="003901E7" w:rsidP="003901E7">
      <w:pPr>
        <w:pStyle w:val="FootnoteText"/>
      </w:pPr>
      <w:r>
        <w:rPr>
          <w:rStyle w:val="FootnoteReference"/>
        </w:rPr>
        <w:footnoteRef/>
      </w:r>
      <w:r>
        <w:t xml:space="preserve"> Robert K. Yin, </w:t>
      </w:r>
      <w:r>
        <w:rPr>
          <w:i/>
        </w:rPr>
        <w:t>Case Study Research: Design and Methods</w:t>
      </w:r>
      <w:r>
        <w:t>. (London: SAGE, 2014), 38.</w:t>
      </w:r>
    </w:p>
  </w:footnote>
  <w:footnote w:id="17">
    <w:p w:rsidR="003901E7" w:rsidRDefault="003901E7" w:rsidP="003901E7">
      <w:pPr>
        <w:pStyle w:val="FootnoteText"/>
      </w:pPr>
      <w:r>
        <w:rPr>
          <w:rStyle w:val="FootnoteReference"/>
        </w:rPr>
        <w:footnoteRef/>
      </w:r>
      <w:r>
        <w:t xml:space="preserve"> John Gerring, Case study research: Principles and practices. (Cambridge: Cambridge University Press, 2007), 20</w:t>
      </w:r>
    </w:p>
  </w:footnote>
  <w:footnote w:id="18">
    <w:p w:rsidR="003901E7" w:rsidRDefault="003901E7" w:rsidP="003901E7">
      <w:pPr>
        <w:pStyle w:val="FootnoteText"/>
      </w:pPr>
      <w:r>
        <w:rPr>
          <w:rStyle w:val="FootnoteReference"/>
        </w:rPr>
        <w:footnoteRef/>
      </w:r>
      <w:r>
        <w:t xml:space="preserve"> Monique Hennink, Inge Hutter and Ajay Bailey, </w:t>
      </w:r>
      <w:r>
        <w:rPr>
          <w:i/>
        </w:rPr>
        <w:t>Qualitative Research Methods</w:t>
      </w:r>
      <w:r>
        <w:t>. (London: Sage Publishing, 2015), 130</w:t>
      </w:r>
    </w:p>
  </w:footnote>
  <w:footnote w:id="19">
    <w:p w:rsidR="003901E7" w:rsidRDefault="003901E7" w:rsidP="003901E7">
      <w:pPr>
        <w:pStyle w:val="FootnoteText"/>
      </w:pPr>
      <w:r>
        <w:rPr>
          <w:rStyle w:val="FootnoteReference"/>
        </w:rPr>
        <w:footnoteRef/>
      </w:r>
      <w:r>
        <w:t xml:space="preserve"> Victoria Clarke and Virginia Braun, “Using Thematic Analysis in Psychology”, Qualitative Research in Psychology no.3 (2006): 79-80</w:t>
      </w:r>
    </w:p>
  </w:footnote>
  <w:footnote w:id="20">
    <w:p w:rsidR="003901E7" w:rsidRDefault="003901E7" w:rsidP="003901E7">
      <w:pPr>
        <w:pStyle w:val="FootnoteText"/>
      </w:pPr>
      <w:r>
        <w:rPr>
          <w:rStyle w:val="FootnoteReference"/>
        </w:rPr>
        <w:footnoteRef/>
      </w:r>
      <w:r>
        <w:t xml:space="preserve"> Louis Cohen, Lawrence Manion and Keith Morrison, </w:t>
      </w:r>
      <w:r>
        <w:rPr>
          <w:i/>
        </w:rPr>
        <w:t>Research Methods in Education</w:t>
      </w:r>
      <w:r>
        <w:t>. (Abingdon: Routledge, 2011), 154</w:t>
      </w:r>
    </w:p>
  </w:footnote>
  <w:footnote w:id="21">
    <w:p w:rsidR="003901E7" w:rsidRDefault="003901E7" w:rsidP="003901E7">
      <w:pPr>
        <w:pStyle w:val="FootnoteText"/>
      </w:pPr>
      <w:r>
        <w:rPr>
          <w:rStyle w:val="FootnoteReference"/>
        </w:rPr>
        <w:footnoteRef/>
      </w:r>
      <w:r>
        <w:t xml:space="preserve"> David Silverman, </w:t>
      </w:r>
      <w:r>
        <w:rPr>
          <w:i/>
        </w:rPr>
        <w:t>Interpreting qualitative data: Methods of analysing talk, text and interaction</w:t>
      </w:r>
      <w:r>
        <w:t>. (London: SAGE, 2001), 45</w:t>
      </w:r>
    </w:p>
  </w:footnote>
  <w:footnote w:id="22">
    <w:p w:rsidR="003901E7" w:rsidRDefault="003901E7" w:rsidP="003901E7">
      <w:pPr>
        <w:pStyle w:val="FootnoteText"/>
      </w:pPr>
      <w:r>
        <w:rPr>
          <w:rStyle w:val="FootnoteReference"/>
        </w:rPr>
        <w:footnoteRef/>
      </w:r>
      <w:r>
        <w:t xml:space="preserve"> John Biggam, </w:t>
      </w:r>
      <w:r>
        <w:rPr>
          <w:i/>
        </w:rPr>
        <w:t>Succeeding with your master’s dissertation</w:t>
      </w:r>
      <w:r>
        <w:t>, (Maidenhead: Open University Press, 2011), 102</w:t>
      </w:r>
    </w:p>
  </w:footnote>
  <w:footnote w:id="23">
    <w:p w:rsidR="003901E7" w:rsidRDefault="003901E7" w:rsidP="003901E7">
      <w:pPr>
        <w:pStyle w:val="FootnoteText"/>
      </w:pPr>
      <w:r>
        <w:rPr>
          <w:rStyle w:val="FootnoteReference"/>
        </w:rPr>
        <w:footnoteRef/>
      </w:r>
      <w:r>
        <w:t xml:space="preserve"> Monique Hennink, Inge Hutter and Ajay Bailey, </w:t>
      </w:r>
      <w:r>
        <w:rPr>
          <w:i/>
        </w:rPr>
        <w:t>Qualitative Research Methods</w:t>
      </w:r>
      <w:r>
        <w:t>. (London: Sage Publishing, 2015), 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746DFA" w:rsidRDefault="00746DFA" w:rsidP="00746DFA">
        <w:pPr>
          <w:pStyle w:val="Header"/>
        </w:pPr>
        <w:r>
          <w:t xml:space="preserve">Niema Bohrayba  </w:t>
        </w:r>
        <w:r>
          <w:rPr>
            <w:rFonts w:eastAsia="Times New Roman"/>
          </w:rPr>
          <w:t>1707539</w:t>
        </w:r>
      </w:p>
      <w:p w:rsidR="00746DFA" w:rsidRDefault="00746DFA">
        <w:pPr>
          <w:pStyle w:val="Header"/>
          <w:jc w:val="right"/>
        </w:pPr>
      </w:p>
      <w:p w:rsidR="00746DFA" w:rsidRDefault="00746DF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36FC3">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36FC3">
          <w:rPr>
            <w:b/>
            <w:bCs/>
            <w:noProof/>
          </w:rPr>
          <w:t>15</w:t>
        </w:r>
        <w:r>
          <w:rPr>
            <w:b/>
            <w:bCs/>
            <w:sz w:val="24"/>
            <w:szCs w:val="24"/>
          </w:rPr>
          <w:fldChar w:fldCharType="end"/>
        </w:r>
      </w:p>
    </w:sdtContent>
  </w:sdt>
  <w:p w:rsidR="001E485D" w:rsidRDefault="001E48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E82FDD"/>
    <w:multiLevelType w:val="hybridMultilevel"/>
    <w:tmpl w:val="944CB9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38"/>
    <w:rsid w:val="00070D9A"/>
    <w:rsid w:val="00083797"/>
    <w:rsid w:val="0009115F"/>
    <w:rsid w:val="000B284A"/>
    <w:rsid w:val="000F638A"/>
    <w:rsid w:val="00160D4F"/>
    <w:rsid w:val="00167136"/>
    <w:rsid w:val="00196DBB"/>
    <w:rsid w:val="001D6191"/>
    <w:rsid w:val="001E485D"/>
    <w:rsid w:val="00213B94"/>
    <w:rsid w:val="00266FAF"/>
    <w:rsid w:val="002842F0"/>
    <w:rsid w:val="002D0CD4"/>
    <w:rsid w:val="002E216A"/>
    <w:rsid w:val="003241C9"/>
    <w:rsid w:val="00336FC3"/>
    <w:rsid w:val="0039016B"/>
    <w:rsid w:val="003901E7"/>
    <w:rsid w:val="003B38AF"/>
    <w:rsid w:val="003B63D6"/>
    <w:rsid w:val="003E3688"/>
    <w:rsid w:val="003E561D"/>
    <w:rsid w:val="00411534"/>
    <w:rsid w:val="00456E5C"/>
    <w:rsid w:val="004670EB"/>
    <w:rsid w:val="004A2527"/>
    <w:rsid w:val="004C23E8"/>
    <w:rsid w:val="0051470F"/>
    <w:rsid w:val="0051740B"/>
    <w:rsid w:val="00523046"/>
    <w:rsid w:val="00566A9F"/>
    <w:rsid w:val="006344C5"/>
    <w:rsid w:val="00650BB0"/>
    <w:rsid w:val="00654EF2"/>
    <w:rsid w:val="0065519B"/>
    <w:rsid w:val="00674138"/>
    <w:rsid w:val="006A063B"/>
    <w:rsid w:val="006C5501"/>
    <w:rsid w:val="006D79AA"/>
    <w:rsid w:val="006E26E3"/>
    <w:rsid w:val="006F3005"/>
    <w:rsid w:val="00746DFA"/>
    <w:rsid w:val="00772EDD"/>
    <w:rsid w:val="007E385F"/>
    <w:rsid w:val="007F0857"/>
    <w:rsid w:val="008201BA"/>
    <w:rsid w:val="008E1720"/>
    <w:rsid w:val="008E3380"/>
    <w:rsid w:val="008E501A"/>
    <w:rsid w:val="008F0808"/>
    <w:rsid w:val="0093047B"/>
    <w:rsid w:val="009308A1"/>
    <w:rsid w:val="00930C09"/>
    <w:rsid w:val="00934262"/>
    <w:rsid w:val="0098448F"/>
    <w:rsid w:val="009C157D"/>
    <w:rsid w:val="00A2275C"/>
    <w:rsid w:val="00A54C1F"/>
    <w:rsid w:val="00A867E1"/>
    <w:rsid w:val="00B1669D"/>
    <w:rsid w:val="00B676C5"/>
    <w:rsid w:val="00C51316"/>
    <w:rsid w:val="00C533FB"/>
    <w:rsid w:val="00C64F27"/>
    <w:rsid w:val="00C907DF"/>
    <w:rsid w:val="00CD3A63"/>
    <w:rsid w:val="00CD41AA"/>
    <w:rsid w:val="00CD460C"/>
    <w:rsid w:val="00CE1CC3"/>
    <w:rsid w:val="00D24A53"/>
    <w:rsid w:val="00D32AEA"/>
    <w:rsid w:val="00D421DC"/>
    <w:rsid w:val="00D64056"/>
    <w:rsid w:val="00D86017"/>
    <w:rsid w:val="00D95AEA"/>
    <w:rsid w:val="00E05110"/>
    <w:rsid w:val="00E163C1"/>
    <w:rsid w:val="00E355E9"/>
    <w:rsid w:val="00EB3E09"/>
    <w:rsid w:val="00F7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3238E9"/>
  <w15:docId w15:val="{0A982939-46BC-48EF-B473-FFA74FDB9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semiHidden/>
    <w:unhideWhenUsed/>
    <w:rsid w:val="008E50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501A"/>
    <w:rPr>
      <w:sz w:val="20"/>
      <w:szCs w:val="20"/>
    </w:rPr>
  </w:style>
  <w:style w:type="character" w:styleId="FootnoteReference">
    <w:name w:val="footnote reference"/>
    <w:basedOn w:val="DefaultParagraphFont"/>
    <w:uiPriority w:val="99"/>
    <w:semiHidden/>
    <w:unhideWhenUsed/>
    <w:rsid w:val="008E501A"/>
    <w:rPr>
      <w:vertAlign w:val="superscript"/>
    </w:rPr>
  </w:style>
  <w:style w:type="paragraph" w:customStyle="1" w:styleId="Default">
    <w:name w:val="Default"/>
    <w:rsid w:val="003901E7"/>
    <w:pPr>
      <w:autoSpaceDE w:val="0"/>
      <w:autoSpaceDN w:val="0"/>
      <w:adjustRightInd w:val="0"/>
      <w:spacing w:after="0" w:line="240" w:lineRule="auto"/>
    </w:pPr>
    <w:rPr>
      <w:rFonts w:ascii="Arial" w:hAnsi="Arial" w:cs="Arial"/>
      <w:color w:val="000000"/>
      <w:sz w:val="24"/>
      <w:szCs w:val="24"/>
    </w:rPr>
  </w:style>
  <w:style w:type="character" w:styleId="Hyperlink">
    <w:name w:val="Hyperlink"/>
    <w:uiPriority w:val="99"/>
    <w:semiHidden/>
    <w:unhideWhenUsed/>
    <w:rsid w:val="003901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04484">
      <w:bodyDiv w:val="1"/>
      <w:marLeft w:val="0"/>
      <w:marRight w:val="0"/>
      <w:marTop w:val="0"/>
      <w:marBottom w:val="0"/>
      <w:divBdr>
        <w:top w:val="none" w:sz="0" w:space="0" w:color="auto"/>
        <w:left w:val="none" w:sz="0" w:space="0" w:color="auto"/>
        <w:bottom w:val="none" w:sz="0" w:space="0" w:color="auto"/>
        <w:right w:val="none" w:sz="0" w:space="0" w:color="auto"/>
      </w:divBdr>
    </w:div>
    <w:div w:id="1183590083">
      <w:bodyDiv w:val="1"/>
      <w:marLeft w:val="0"/>
      <w:marRight w:val="0"/>
      <w:marTop w:val="0"/>
      <w:marBottom w:val="0"/>
      <w:divBdr>
        <w:top w:val="none" w:sz="0" w:space="0" w:color="auto"/>
        <w:left w:val="none" w:sz="0" w:space="0" w:color="auto"/>
        <w:bottom w:val="none" w:sz="0" w:space="0" w:color="auto"/>
        <w:right w:val="none" w:sz="0" w:space="0" w:color="auto"/>
      </w:divBdr>
    </w:div>
    <w:div w:id="1503157088">
      <w:bodyDiv w:val="1"/>
      <w:marLeft w:val="0"/>
      <w:marRight w:val="0"/>
      <w:marTop w:val="0"/>
      <w:marBottom w:val="0"/>
      <w:divBdr>
        <w:top w:val="none" w:sz="0" w:space="0" w:color="auto"/>
        <w:left w:val="none" w:sz="0" w:space="0" w:color="auto"/>
        <w:bottom w:val="none" w:sz="0" w:space="0" w:color="auto"/>
        <w:right w:val="none" w:sz="0" w:space="0" w:color="auto"/>
      </w:divBdr>
    </w:div>
    <w:div w:id="1799257937">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3">
          <w:marLeft w:val="0"/>
          <w:marRight w:val="0"/>
          <w:marTop w:val="0"/>
          <w:marBottom w:val="0"/>
          <w:divBdr>
            <w:top w:val="none" w:sz="0" w:space="0" w:color="auto"/>
            <w:left w:val="none" w:sz="0" w:space="0" w:color="auto"/>
            <w:bottom w:val="none" w:sz="0" w:space="0" w:color="auto"/>
            <w:right w:val="none" w:sz="0" w:space="0" w:color="auto"/>
          </w:divBdr>
          <w:divsChild>
            <w:div w:id="371728689">
              <w:marLeft w:val="0"/>
              <w:marRight w:val="0"/>
              <w:marTop w:val="750"/>
              <w:marBottom w:val="0"/>
              <w:divBdr>
                <w:top w:val="none" w:sz="0" w:space="0" w:color="auto"/>
                <w:left w:val="none" w:sz="0" w:space="0" w:color="auto"/>
                <w:bottom w:val="none" w:sz="0" w:space="0" w:color="auto"/>
                <w:right w:val="none" w:sz="0" w:space="0" w:color="auto"/>
              </w:divBdr>
              <w:divsChild>
                <w:div w:id="1720090603">
                  <w:marLeft w:val="0"/>
                  <w:marRight w:val="0"/>
                  <w:marTop w:val="1500"/>
                  <w:marBottom w:val="0"/>
                  <w:divBdr>
                    <w:top w:val="single" w:sz="6" w:space="0" w:color="FFFFFF"/>
                    <w:left w:val="single" w:sz="6" w:space="0" w:color="FFFFFF"/>
                    <w:bottom w:val="single" w:sz="6" w:space="0" w:color="FFFFFF"/>
                    <w:right w:val="single" w:sz="6" w:space="0" w:color="FFFFFF"/>
                  </w:divBdr>
                  <w:divsChild>
                    <w:div w:id="1913930713">
                      <w:marLeft w:val="-225"/>
                      <w:marRight w:val="-225"/>
                      <w:marTop w:val="0"/>
                      <w:marBottom w:val="0"/>
                      <w:divBdr>
                        <w:top w:val="none" w:sz="0" w:space="0" w:color="auto"/>
                        <w:left w:val="none" w:sz="0" w:space="0" w:color="auto"/>
                        <w:bottom w:val="none" w:sz="0" w:space="0" w:color="auto"/>
                        <w:right w:val="none" w:sz="0" w:space="0" w:color="auto"/>
                      </w:divBdr>
                      <w:divsChild>
                        <w:div w:id="1647903270">
                          <w:marLeft w:val="0"/>
                          <w:marRight w:val="0"/>
                          <w:marTop w:val="0"/>
                          <w:marBottom w:val="0"/>
                          <w:divBdr>
                            <w:top w:val="none" w:sz="0" w:space="0" w:color="auto"/>
                            <w:left w:val="none" w:sz="0" w:space="0" w:color="auto"/>
                            <w:bottom w:val="none" w:sz="0" w:space="0" w:color="auto"/>
                            <w:right w:val="none" w:sz="0" w:space="0" w:color="auto"/>
                          </w:divBdr>
                          <w:divsChild>
                            <w:div w:id="1240217980">
                              <w:marLeft w:val="0"/>
                              <w:marRight w:val="0"/>
                              <w:marTop w:val="0"/>
                              <w:marBottom w:val="0"/>
                              <w:divBdr>
                                <w:top w:val="none" w:sz="0" w:space="0" w:color="auto"/>
                                <w:left w:val="none" w:sz="0" w:space="0" w:color="auto"/>
                                <w:bottom w:val="none" w:sz="0" w:space="0" w:color="auto"/>
                                <w:right w:val="none" w:sz="0" w:space="0" w:color="auto"/>
                              </w:divBdr>
                              <w:divsChild>
                                <w:div w:id="405952857">
                                  <w:marLeft w:val="0"/>
                                  <w:marRight w:val="0"/>
                                  <w:marTop w:val="0"/>
                                  <w:marBottom w:val="0"/>
                                  <w:divBdr>
                                    <w:top w:val="none" w:sz="0" w:space="0" w:color="auto"/>
                                    <w:left w:val="none" w:sz="0" w:space="0" w:color="auto"/>
                                    <w:bottom w:val="none" w:sz="0" w:space="0" w:color="auto"/>
                                    <w:right w:val="none" w:sz="0" w:space="0" w:color="auto"/>
                                  </w:divBdr>
                                  <w:divsChild>
                                    <w:div w:id="865027371">
                                      <w:marLeft w:val="0"/>
                                      <w:marRight w:val="0"/>
                                      <w:marTop w:val="0"/>
                                      <w:marBottom w:val="0"/>
                                      <w:divBdr>
                                        <w:top w:val="none" w:sz="0" w:space="0" w:color="auto"/>
                                        <w:left w:val="none" w:sz="0" w:space="0" w:color="auto"/>
                                        <w:bottom w:val="none" w:sz="0" w:space="0" w:color="auto"/>
                                        <w:right w:val="none" w:sz="0" w:space="0" w:color="auto"/>
                                      </w:divBdr>
                                      <w:divsChild>
                                        <w:div w:id="1690134633">
                                          <w:marLeft w:val="0"/>
                                          <w:marRight w:val="0"/>
                                          <w:marTop w:val="0"/>
                                          <w:marBottom w:val="0"/>
                                          <w:divBdr>
                                            <w:top w:val="none" w:sz="0" w:space="0" w:color="auto"/>
                                            <w:left w:val="none" w:sz="0" w:space="0" w:color="auto"/>
                                            <w:bottom w:val="none" w:sz="0" w:space="0" w:color="auto"/>
                                            <w:right w:val="none" w:sz="0" w:space="0" w:color="auto"/>
                                          </w:divBdr>
                                          <w:divsChild>
                                            <w:div w:id="2067410576">
                                              <w:marLeft w:val="0"/>
                                              <w:marRight w:val="0"/>
                                              <w:marTop w:val="0"/>
                                              <w:marBottom w:val="0"/>
                                              <w:divBdr>
                                                <w:top w:val="none" w:sz="0" w:space="0" w:color="auto"/>
                                                <w:left w:val="none" w:sz="0" w:space="0" w:color="auto"/>
                                                <w:bottom w:val="none" w:sz="0" w:space="0" w:color="auto"/>
                                                <w:right w:val="none" w:sz="0" w:space="0" w:color="auto"/>
                                              </w:divBdr>
                                              <w:divsChild>
                                                <w:div w:id="323516457">
                                                  <w:marLeft w:val="0"/>
                                                  <w:marRight w:val="0"/>
                                                  <w:marTop w:val="0"/>
                                                  <w:marBottom w:val="0"/>
                                                  <w:divBdr>
                                                    <w:top w:val="none" w:sz="0" w:space="0" w:color="auto"/>
                                                    <w:left w:val="none" w:sz="0" w:space="0" w:color="auto"/>
                                                    <w:bottom w:val="none" w:sz="0" w:space="0" w:color="auto"/>
                                                    <w:right w:val="none" w:sz="0" w:space="0" w:color="auto"/>
                                                  </w:divBdr>
                                                  <w:divsChild>
                                                    <w:div w:id="1362363062">
                                                      <w:marLeft w:val="0"/>
                                                      <w:marRight w:val="0"/>
                                                      <w:marTop w:val="0"/>
                                                      <w:marBottom w:val="240"/>
                                                      <w:divBdr>
                                                        <w:top w:val="single" w:sz="6" w:space="0" w:color="FFFFFF"/>
                                                        <w:left w:val="single" w:sz="6" w:space="0" w:color="FFFFFF"/>
                                                        <w:bottom w:val="single" w:sz="6" w:space="0" w:color="FFFFFF"/>
                                                        <w:right w:val="single" w:sz="6" w:space="0" w:color="FFFFFF"/>
                                                      </w:divBdr>
                                                      <w:divsChild>
                                                        <w:div w:id="1045062138">
                                                          <w:marLeft w:val="-225"/>
                                                          <w:marRight w:val="-225"/>
                                                          <w:marTop w:val="0"/>
                                                          <w:marBottom w:val="0"/>
                                                          <w:divBdr>
                                                            <w:top w:val="none" w:sz="0" w:space="0" w:color="auto"/>
                                                            <w:left w:val="none" w:sz="0" w:space="0" w:color="auto"/>
                                                            <w:bottom w:val="none" w:sz="0" w:space="0" w:color="auto"/>
                                                            <w:right w:val="none" w:sz="0" w:space="0" w:color="auto"/>
                                                          </w:divBdr>
                                                          <w:divsChild>
                                                            <w:div w:id="1072116444">
                                                              <w:marLeft w:val="0"/>
                                                              <w:marRight w:val="0"/>
                                                              <w:marTop w:val="0"/>
                                                              <w:marBottom w:val="0"/>
                                                              <w:divBdr>
                                                                <w:top w:val="none" w:sz="0" w:space="0" w:color="auto"/>
                                                                <w:left w:val="none" w:sz="0" w:space="0" w:color="auto"/>
                                                                <w:bottom w:val="none" w:sz="0" w:space="0" w:color="auto"/>
                                                                <w:right w:val="none" w:sz="0" w:space="0" w:color="auto"/>
                                                              </w:divBdr>
                                                              <w:divsChild>
                                                                <w:div w:id="1651976560">
                                                                  <w:marLeft w:val="0"/>
                                                                  <w:marRight w:val="0"/>
                                                                  <w:marTop w:val="0"/>
                                                                  <w:marBottom w:val="0"/>
                                                                  <w:divBdr>
                                                                    <w:top w:val="none" w:sz="0" w:space="0" w:color="auto"/>
                                                                    <w:left w:val="none" w:sz="0" w:space="0" w:color="auto"/>
                                                                    <w:bottom w:val="none" w:sz="0" w:space="0" w:color="auto"/>
                                                                    <w:right w:val="none" w:sz="0" w:space="0" w:color="auto"/>
                                                                  </w:divBdr>
                                                                  <w:divsChild>
                                                                    <w:div w:id="18695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youtube.com/watch?time_continue=46&amp;v=ZTIHTAz5Ap0" TargetMode="External"/><Relationship Id="rId4" Type="http://schemas.openxmlformats.org/officeDocument/2006/relationships/settings" Target="settings.xml"/><Relationship Id="rId9" Type="http://schemas.openxmlformats.org/officeDocument/2006/relationships/hyperlink" Target="https://kellysastrology.com/2017/04/24/the-eight-moon-phases-as-personality-typ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youtube.com/watch?time_continue=46&amp;v=ZTIHTAz5A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89B68-8803-4EB0-A517-488C00B1C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3872</Words>
  <Characters>22071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25892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Niema (Bristol CCG)</dc:creator>
  <cp:lastModifiedBy>Burns Niema (BNSSG CCG)</cp:lastModifiedBy>
  <cp:revision>2</cp:revision>
  <dcterms:created xsi:type="dcterms:W3CDTF">2019-05-13T22:35:00Z</dcterms:created>
  <dcterms:modified xsi:type="dcterms:W3CDTF">2019-05-13T22:35:00Z</dcterms:modified>
</cp:coreProperties>
</file>