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Title: Experiencing the Landscape – Pembrokeshire Stories </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Intro and context</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 </w:t>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landscape is not a neutral space, it is populated with memories, experiences, feelings and histories. The way in which we experience our landscape is shaped by a multitude of factors, social, cultural and personal. Humans shape the landscape but are also shaped by it.  Community storytelling throughout history has acted as a catalyst for building community engagement with the local landscape. Folktales like Jenny GreenTeeth or the mountain spirits of the Gwyllion are representations of the danger present in the landscape.</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Storys are built from the landscape and also build the landscape, each experience is created on an individual lived experience and told and re-told to others, further shaping future human engagement within the space. It is the personal engagement with three specific landscapes that this project will explore.</w:t>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Aims</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project aims to explore how humans and landscapes interact through a focus on stories. It is the lived experience of existing, visiting, and living within the landscape that shapes the stories that are born from the landscape but it is also versions of these pre-existing stories that shape the way we interact with a landscape. </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Human experiences of the landscape both shape and are shaped by stories and it is through looking at the lived experiences of local people and visitors that I want to explore the individual connections that these people have with the landscape and how different experiences shape the stories that are told.</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Theory</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theoretical framework for this project comes from the New Materialities movement and incorporates ideas of connectivity through human/environment meshwork. Tim Ingold explores the phenomenology of the landscape and how it influences our own human experiences of a place,</w:t>
      </w:r>
      <w:r w:rsidDel="00000000" w:rsidR="00000000" w:rsidRPr="00000000">
        <w:rPr>
          <w:rFonts w:ascii="Times New Roman" w:cs="Times New Roman" w:eastAsia="Times New Roman" w:hAnsi="Times New Roman"/>
          <w:rtl w:val="0"/>
        </w:rPr>
        <w:t xml:space="preserve">(Ingold, 1993)  Edward </w:t>
      </w:r>
      <w:r w:rsidDel="00000000" w:rsidR="00000000" w:rsidRPr="00000000">
        <w:rPr>
          <w:rFonts w:ascii="Times New Roman" w:cs="Times New Roman" w:eastAsia="Times New Roman" w:hAnsi="Times New Roman"/>
          <w:rtl w:val="0"/>
        </w:rPr>
        <w:t xml:space="preserve">Casey focuses on the lived experience of a place and theorises that places ‘gather’</w:t>
      </w:r>
      <w:r w:rsidDel="00000000" w:rsidR="00000000" w:rsidRPr="00000000">
        <w:rPr>
          <w:rFonts w:ascii="Times New Roman" w:cs="Times New Roman" w:eastAsia="Times New Roman" w:hAnsi="Times New Roman"/>
          <w:rtl w:val="0"/>
        </w:rPr>
        <w:t xml:space="preserve">(Casey 1996</w:t>
      </w:r>
      <w:r w:rsidDel="00000000" w:rsidR="00000000" w:rsidRPr="00000000">
        <w:rPr>
          <w:rFonts w:ascii="Times New Roman" w:cs="Times New Roman" w:eastAsia="Times New Roman" w:hAnsi="Times New Roman"/>
          <w:rtl w:val="0"/>
        </w:rPr>
        <w:t xml:space="preserve">). It is with these concepts that I will explore the concept of Landscape-Human interaction. The landscape has agency and contributes to our experience these experiences are articulated through storytelling culture, this project will also look at the work of Susan Greenwood as an influence for the project. (Greenwood 2009)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u w:val="single"/>
          <w:rtl w:val="0"/>
        </w:rPr>
        <w:t xml:space="preserve">Community</w:t>
      </w: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research focuses specifically on three Pembrokeshire landscapes and the stories that are gathering around them.  Primarily I will focus on how people engage within the three spaces and how the engagement shapes the way we view the spaces. The Preseli Mountains, The beaches of South Pembrokeshire and the Garden spaces of people's homes are the three spaces that explore in this project.</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u w:val="single"/>
          <w:rtl w:val="0"/>
        </w:rPr>
        <w:t xml:space="preserve">Method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u w:val="single"/>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It is through informal conversations with Pembrokeshire people as well as through analysis of the community film ‘GO tell the bees’ that I will use as the primary methodology for this project, along with reference to Pembrokeshire folklore. I will also use a snowball approach for gathering participants for this project as I feel that using these methods will contribute to the authenticity of the stories gathered as part of the project.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important to understand how we as humans are affected by the landscapes around us and it is equally important to understand how the stories affect how we perceive the spaces around us.</w:t>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after="36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 list</w:t>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Casey, E. (1996). How to Get from Space to Place in a Fairly Short Amount of Time. In: </w:t>
      </w:r>
      <w:r w:rsidDel="00000000" w:rsidR="00000000" w:rsidRPr="00000000">
        <w:rPr>
          <w:rFonts w:ascii="Times New Roman" w:cs="Times New Roman" w:eastAsia="Times New Roman" w:hAnsi="Times New Roman"/>
          <w:i w:val="1"/>
          <w:rtl w:val="0"/>
        </w:rPr>
        <w:t xml:space="preserve">Senses of Place</w:t>
      </w:r>
      <w:r w:rsidDel="00000000" w:rsidR="00000000" w:rsidRPr="00000000">
        <w:rPr>
          <w:rFonts w:ascii="Times New Roman" w:cs="Times New Roman" w:eastAsia="Times New Roman" w:hAnsi="Times New Roman"/>
          <w:rtl w:val="0"/>
        </w:rPr>
        <w:t xml:space="preserve">. School of American Research Press, pp.13–47.</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Dillon, P., Gross, P., Irvine, R., Price, V.C. and Staddon, C. (2012). Thinking like a wetland. </w:t>
      </w:r>
      <w:r w:rsidDel="00000000" w:rsidR="00000000" w:rsidRPr="00000000">
        <w:rPr>
          <w:rFonts w:ascii="Times New Roman" w:cs="Times New Roman" w:eastAsia="Times New Roman" w:hAnsi="Times New Roman"/>
          <w:i w:val="1"/>
          <w:rtl w:val="0"/>
        </w:rPr>
        <w:t xml:space="preserve">Journal of Arts &amp; Communities</w:t>
      </w:r>
      <w:r w:rsidDel="00000000" w:rsidR="00000000" w:rsidRPr="00000000">
        <w:rPr>
          <w:rFonts w:ascii="Times New Roman" w:cs="Times New Roman" w:eastAsia="Times New Roman" w:hAnsi="Times New Roman"/>
          <w:rtl w:val="0"/>
        </w:rPr>
        <w:t xml:space="preserve">, 4(1), pp.100–126.</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Greenwood, S. (2009). </w:t>
      </w:r>
      <w:r w:rsidDel="00000000" w:rsidR="00000000" w:rsidRPr="00000000">
        <w:rPr>
          <w:rFonts w:ascii="Times New Roman" w:cs="Times New Roman" w:eastAsia="Times New Roman" w:hAnsi="Times New Roman"/>
          <w:i w:val="1"/>
          <w:rtl w:val="0"/>
        </w:rPr>
        <w:t xml:space="preserve">The anthropology of magic</w:t>
      </w:r>
      <w:r w:rsidDel="00000000" w:rsidR="00000000" w:rsidRPr="00000000">
        <w:rPr>
          <w:rFonts w:ascii="Times New Roman" w:cs="Times New Roman" w:eastAsia="Times New Roman" w:hAnsi="Times New Roman"/>
          <w:rtl w:val="0"/>
        </w:rPr>
        <w:t xml:space="preserve">. Oxford: Berg.</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Ingold, T. (1993). The temporality of the landscape. </w:t>
      </w:r>
      <w:r w:rsidDel="00000000" w:rsidR="00000000" w:rsidRPr="00000000">
        <w:rPr>
          <w:rFonts w:ascii="Times New Roman" w:cs="Times New Roman" w:eastAsia="Times New Roman" w:hAnsi="Times New Roman"/>
          <w:i w:val="1"/>
          <w:rtl w:val="0"/>
        </w:rPr>
        <w:t xml:space="preserve">World Archaeology</w:t>
      </w:r>
      <w:r w:rsidDel="00000000" w:rsidR="00000000" w:rsidRPr="00000000">
        <w:rPr>
          <w:rFonts w:ascii="Times New Roman" w:cs="Times New Roman" w:eastAsia="Times New Roman" w:hAnsi="Times New Roman"/>
          <w:rtl w:val="0"/>
        </w:rPr>
        <w:t xml:space="preserve">, 25(2), pp.152–174.</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3">
    <w:pPr>
      <w:rPr/>
    </w:pPr>
    <w:r w:rsidDel="00000000" w:rsidR="00000000" w:rsidRPr="00000000">
      <w:rPr>
        <w:rtl w:val="0"/>
      </w:rPr>
      <w:t xml:space="preserve">Cleo Harris</w:t>
    </w:r>
  </w:p>
  <w:p w:rsidR="00000000" w:rsidDel="00000000" w:rsidP="00000000" w:rsidRDefault="00000000" w:rsidRPr="00000000" w14:paraId="00000024">
    <w:pPr>
      <w:rPr/>
    </w:pPr>
    <w:r w:rsidDel="00000000" w:rsidR="00000000" w:rsidRPr="00000000">
      <w:rPr>
        <w:rtl w:val="0"/>
      </w:rPr>
      <w:t xml:space="preserve">2004275</w:t>
    </w:r>
  </w:p>
  <w:p w:rsidR="00000000" w:rsidDel="00000000" w:rsidP="00000000" w:rsidRDefault="00000000" w:rsidRPr="00000000" w14:paraId="0000002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