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ascii="Arial" w:hAnsi="Arial" w:cs="Arial"/>
          <w:color w:val="auto"/>
          <w:sz w:val="24"/>
          <w:szCs w:val="24"/>
        </w:rPr>
      </w:sdtEndPr>
      <w:sdtContent>
        <w:p w14:paraId="5384490A" w14:textId="77777777" w:rsidR="007D1947" w:rsidRPr="00657308" w:rsidRDefault="007D1947">
          <w:pPr>
            <w:pStyle w:val="NoSpacing"/>
            <w:spacing w:before="1540" w:after="240"/>
            <w:jc w:val="center"/>
            <w:rPr>
              <w:color w:val="5B9BD5" w:themeColor="accent1"/>
            </w:rPr>
          </w:pPr>
          <w:r w:rsidRPr="00657308">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8787BA7" w:rsidR="007D1947" w:rsidRPr="00657308" w:rsidRDefault="00C0725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657308">
                <w:rPr>
                  <w:rFonts w:asciiTheme="majorHAnsi" w:eastAsiaTheme="majorEastAsia" w:hAnsiTheme="majorHAnsi" w:cstheme="majorBidi"/>
                  <w:caps/>
                  <w:color w:val="5B9BD5" w:themeColor="accent1"/>
                  <w:sz w:val="72"/>
                  <w:szCs w:val="72"/>
                </w:rPr>
                <w:t>Approaches to innovation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5C250FC2" w:rsidR="007D1947" w:rsidRPr="00657308" w:rsidRDefault="00C0725F">
              <w:pPr>
                <w:pStyle w:val="NoSpacing"/>
                <w:jc w:val="center"/>
                <w:rPr>
                  <w:color w:val="5B9BD5" w:themeColor="accent1"/>
                  <w:sz w:val="28"/>
                  <w:szCs w:val="28"/>
                </w:rPr>
              </w:pPr>
              <w:r w:rsidRPr="00657308">
                <w:rPr>
                  <w:color w:val="5B9BD5" w:themeColor="accent1"/>
                  <w:sz w:val="28"/>
                  <w:szCs w:val="28"/>
                </w:rPr>
                <w:t>Management, Innovation and Sustainability</w:t>
              </w:r>
            </w:p>
          </w:sdtContent>
        </w:sdt>
        <w:p w14:paraId="1ADC1124" w14:textId="77777777" w:rsidR="007D1947" w:rsidRPr="00657308" w:rsidRDefault="007D1947">
          <w:pPr>
            <w:pStyle w:val="NoSpacing"/>
            <w:spacing w:before="480"/>
            <w:jc w:val="center"/>
            <w:rPr>
              <w:color w:val="5B9BD5" w:themeColor="accent1"/>
            </w:rPr>
          </w:pPr>
          <w:r w:rsidRPr="00657308">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Content>
                                  <w:p w14:paraId="52BAF8D9" w14:textId="3D1C2E7D" w:rsidR="007D1947" w:rsidRDefault="00B50B3C">
                                    <w:pPr>
                                      <w:pStyle w:val="NoSpacing"/>
                                      <w:spacing w:after="40"/>
                                      <w:jc w:val="center"/>
                                      <w:rPr>
                                        <w:caps/>
                                        <w:color w:val="5B9BD5" w:themeColor="accent1"/>
                                        <w:sz w:val="28"/>
                                        <w:szCs w:val="28"/>
                                      </w:rPr>
                                    </w:pPr>
                                    <w:r>
                                      <w:rPr>
                                        <w:caps/>
                                        <w:color w:val="5B9BD5" w:themeColor="accent1"/>
                                        <w:sz w:val="28"/>
                                        <w:szCs w:val="28"/>
                                      </w:rPr>
                                      <w:t>May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Content>
                            <w:p w14:paraId="52BAF8D9" w14:textId="3D1C2E7D" w:rsidR="007D1947" w:rsidRDefault="00B50B3C">
                              <w:pPr>
                                <w:pStyle w:val="NoSpacing"/>
                                <w:spacing w:after="40"/>
                                <w:jc w:val="center"/>
                                <w:rPr>
                                  <w:caps/>
                                  <w:color w:val="5B9BD5" w:themeColor="accent1"/>
                                  <w:sz w:val="28"/>
                                  <w:szCs w:val="28"/>
                                </w:rPr>
                              </w:pPr>
                              <w:r>
                                <w:rPr>
                                  <w:caps/>
                                  <w:color w:val="5B9BD5" w:themeColor="accent1"/>
                                  <w:sz w:val="28"/>
                                  <w:szCs w:val="28"/>
                                </w:rPr>
                                <w:t>May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657308">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bookmarkStart w:id="0" w:name="_Toc228470812"/>
        <w:p w14:paraId="078A531F" w14:textId="6470CF67" w:rsidR="007D1947" w:rsidRPr="00657308" w:rsidRDefault="00C0725F" w:rsidP="007D1947">
          <w:pPr>
            <w:pStyle w:val="Heading1"/>
          </w:pPr>
          <w:r w:rsidRPr="00657308">
            <w:rPr>
              <w:noProof/>
            </w:rPr>
            <mc:AlternateContent>
              <mc:Choice Requires="wps">
                <w:drawing>
                  <wp:anchor distT="45720" distB="45720" distL="114300" distR="114300" simplePos="0" relativeHeight="251661312" behindDoc="0" locked="0" layoutInCell="1" allowOverlap="1" wp14:anchorId="56D194D5" wp14:editId="32098A63">
                    <wp:simplePos x="0" y="0"/>
                    <wp:positionH relativeFrom="margin">
                      <wp:align>center</wp:align>
                    </wp:positionH>
                    <wp:positionV relativeFrom="paragraph">
                      <wp:posOffset>196850</wp:posOffset>
                    </wp:positionV>
                    <wp:extent cx="347662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25" cy="1404620"/>
                            </a:xfrm>
                            <a:prstGeom prst="rect">
                              <a:avLst/>
                            </a:prstGeom>
                            <a:solidFill>
                              <a:srgbClr val="FFFFFF"/>
                            </a:solidFill>
                            <a:ln w="9525">
                              <a:noFill/>
                              <a:miter lim="800000"/>
                              <a:headEnd/>
                              <a:tailEnd/>
                            </a:ln>
                          </wps:spPr>
                          <wps:txbx>
                            <w:txbxContent>
                              <w:p w14:paraId="702C4D7D" w14:textId="6A76639C" w:rsidR="00C0725F" w:rsidRPr="00FC1732" w:rsidRDefault="00C0725F" w:rsidP="00561F80">
                                <w:pPr>
                                  <w:jc w:val="center"/>
                                  <w:rPr>
                                    <w:rFonts w:ascii="Arial" w:hAnsi="Arial" w:cs="Arial"/>
                                    <w:color w:val="5B9BD5" w:themeColor="accent1"/>
                                    <w:sz w:val="36"/>
                                    <w:szCs w:val="36"/>
                                  </w:rPr>
                                </w:pPr>
                                <w:r w:rsidRPr="00FC1732">
                                  <w:rPr>
                                    <w:rFonts w:ascii="Arial" w:hAnsi="Arial" w:cs="Arial"/>
                                    <w:color w:val="5B9BD5" w:themeColor="accent1"/>
                                    <w:sz w:val="36"/>
                                    <w:szCs w:val="36"/>
                                  </w:rPr>
                                  <w:t>Grant Brooks</w:t>
                                </w:r>
                              </w:p>
                              <w:p w14:paraId="37348F1E" w14:textId="73DC1650" w:rsidR="00C0725F" w:rsidRPr="00FC1732" w:rsidRDefault="00C0725F" w:rsidP="00561F80">
                                <w:pPr>
                                  <w:jc w:val="center"/>
                                  <w:rPr>
                                    <w:rFonts w:ascii="Arial" w:hAnsi="Arial" w:cs="Arial"/>
                                    <w:color w:val="5B9BD5" w:themeColor="accent1"/>
                                    <w:sz w:val="36"/>
                                    <w:szCs w:val="36"/>
                                  </w:rPr>
                                </w:pPr>
                                <w:r w:rsidRPr="00FC1732">
                                  <w:rPr>
                                    <w:rFonts w:ascii="Arial" w:hAnsi="Arial" w:cs="Arial"/>
                                    <w:color w:val="5B9BD5" w:themeColor="accent1"/>
                                    <w:sz w:val="36"/>
                                    <w:szCs w:val="36"/>
                                  </w:rPr>
                                  <w:t>2514976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D194D5" id="Text Box 2" o:spid="_x0000_s1027" type="#_x0000_t202" style="position:absolute;margin-left:0;margin-top:15.5pt;width:273.75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" stroked="f">
                    <v:textbox style="mso-fit-shape-to-text:t">
                      <w:txbxContent>
                        <w:p w14:paraId="702C4D7D" w14:textId="6A76639C" w:rsidR="00C0725F" w:rsidRPr="00FC1732" w:rsidRDefault="00C0725F" w:rsidP="00561F80">
                          <w:pPr>
                            <w:jc w:val="center"/>
                            <w:rPr>
                              <w:rFonts w:ascii="Arial" w:hAnsi="Arial" w:cs="Arial"/>
                              <w:color w:val="5B9BD5" w:themeColor="accent1"/>
                              <w:sz w:val="36"/>
                              <w:szCs w:val="36"/>
                            </w:rPr>
                          </w:pPr>
                          <w:r w:rsidRPr="00FC1732">
                            <w:rPr>
                              <w:rFonts w:ascii="Arial" w:hAnsi="Arial" w:cs="Arial"/>
                              <w:color w:val="5B9BD5" w:themeColor="accent1"/>
                              <w:sz w:val="36"/>
                              <w:szCs w:val="36"/>
                            </w:rPr>
                            <w:t>Grant Brooks</w:t>
                          </w:r>
                        </w:p>
                        <w:p w14:paraId="37348F1E" w14:textId="73DC1650" w:rsidR="00C0725F" w:rsidRPr="00FC1732" w:rsidRDefault="00C0725F" w:rsidP="00561F80">
                          <w:pPr>
                            <w:jc w:val="center"/>
                            <w:rPr>
                              <w:rFonts w:ascii="Arial" w:hAnsi="Arial" w:cs="Arial"/>
                              <w:color w:val="5B9BD5" w:themeColor="accent1"/>
                              <w:sz w:val="36"/>
                              <w:szCs w:val="36"/>
                            </w:rPr>
                          </w:pPr>
                          <w:r w:rsidRPr="00FC1732">
                            <w:rPr>
                              <w:rFonts w:ascii="Arial" w:hAnsi="Arial" w:cs="Arial"/>
                              <w:color w:val="5B9BD5" w:themeColor="accent1"/>
                              <w:sz w:val="36"/>
                              <w:szCs w:val="36"/>
                            </w:rPr>
                            <w:t>2514976</w:t>
                          </w:r>
                        </w:p>
                      </w:txbxContent>
                    </v:textbox>
                    <w10:wrap type="square" anchorx="margin"/>
                  </v:shape>
                </w:pict>
              </mc:Fallback>
            </mc:AlternateContent>
          </w:r>
          <w:r w:rsidR="007D1947" w:rsidRPr="00657308">
            <w:br w:type="page"/>
          </w:r>
          <w:r w:rsidR="007D1947" w:rsidRPr="00657308">
            <w:lastRenderedPageBreak/>
            <w:t>Executive Summary</w:t>
          </w:r>
          <w:bookmarkEnd w:id="0"/>
        </w:p>
        <w:p w14:paraId="4A0DB0EA" w14:textId="77777777" w:rsidR="00A32147" w:rsidRPr="00A32147" w:rsidRDefault="00A32147" w:rsidP="00A32147">
          <w:pPr>
            <w:jc w:val="both"/>
            <w:rPr>
              <w:rFonts w:ascii="Arial" w:hAnsi="Arial" w:cs="Arial"/>
              <w:sz w:val="24"/>
              <w:szCs w:val="24"/>
            </w:rPr>
          </w:pPr>
          <w:r w:rsidRPr="00A32147">
            <w:rPr>
              <w:rFonts w:ascii="Arial" w:hAnsi="Arial" w:cs="Arial"/>
              <w:sz w:val="24"/>
              <w:szCs w:val="24"/>
            </w:rPr>
            <w:t>This report evaluates an organisational change implemented at Amazon's CWL1 fulfilment centre in Swansea, specifically the restructuring of associate start times and break schedules as part of a wider operational efficiency initiative. The analysis examines how the change was managed, identifying strengths and limitations in the approach taken by site leadership.</w:t>
          </w:r>
        </w:p>
        <w:p w14:paraId="0A48CC64" w14:textId="77777777" w:rsidR="00A32147" w:rsidRPr="00A32147" w:rsidRDefault="00A32147" w:rsidP="00A32147">
          <w:pPr>
            <w:jc w:val="both"/>
            <w:rPr>
              <w:rFonts w:ascii="Arial" w:hAnsi="Arial" w:cs="Arial"/>
              <w:sz w:val="24"/>
              <w:szCs w:val="24"/>
            </w:rPr>
          </w:pPr>
          <w:r w:rsidRPr="00A32147">
            <w:rPr>
              <w:rFonts w:ascii="Arial" w:hAnsi="Arial" w:cs="Arial"/>
              <w:sz w:val="24"/>
              <w:szCs w:val="24"/>
            </w:rPr>
            <w:t>Lewin's Force Field Analysis is applied to identify the driving and resisting forces surrounding the change. The analysis shows that operational efficiency requirements and alignment with Amazon's internal governance framework, including the approvals.amazon.com platform, acted as strong drivers. However, significant resistance emerged from associates concerned about disruption to personal routines, childcare arrangements and transport logistics. Lewin's Three-Step Change Model (Unfreeze, Change, Refreeze) is then used to generate recommendations for improving the management of similar changes, with emphasis on communication, consultation and embedding.</w:t>
          </w:r>
        </w:p>
        <w:p w14:paraId="25D5C177" w14:textId="77777777" w:rsidR="00A32147" w:rsidRPr="00A32147" w:rsidRDefault="00A32147" w:rsidP="00A32147">
          <w:pPr>
            <w:jc w:val="both"/>
            <w:rPr>
              <w:rFonts w:ascii="Arial" w:hAnsi="Arial" w:cs="Arial"/>
              <w:sz w:val="24"/>
              <w:szCs w:val="24"/>
            </w:rPr>
          </w:pPr>
          <w:r w:rsidRPr="00A32147">
            <w:rPr>
              <w:rFonts w:ascii="Arial" w:hAnsi="Arial" w:cs="Arial"/>
              <w:sz w:val="24"/>
              <w:szCs w:val="24"/>
            </w:rPr>
            <w:t>The report also considers the human dimension of the change process, applying Herzberg's Two-Factor Theory to assess the motivational impact of the revised schedules. The findings indicate that although the operational rationale for the change was sound, the implementation process lacked sufficient associate consultation and transparent communication, resulting in avoidable resistance and short-term disruption. Recommendations focus on early stakeholder engagement, structured use of Amazon's internal governance tools, and sustained motivational support throughout the transition period.</w:t>
          </w:r>
        </w:p>
        <w:p w14:paraId="5A2EB3B5" w14:textId="77777777" w:rsidR="002668B8" w:rsidRPr="00657308" w:rsidRDefault="002668B8"/>
        <w:p w14:paraId="3E204757" w14:textId="77777777" w:rsidR="007D1947" w:rsidRPr="00657308" w:rsidRDefault="007D1947"/>
        <w:p w14:paraId="775DA3A7" w14:textId="77777777" w:rsidR="007D1947" w:rsidRPr="00657308" w:rsidRDefault="007D1947"/>
        <w:p w14:paraId="5E5C2FB5" w14:textId="77777777" w:rsidR="007D1947" w:rsidRPr="00657308" w:rsidRDefault="007D1947"/>
        <w:p w14:paraId="119F1E47" w14:textId="77777777" w:rsidR="007D1947" w:rsidRPr="00657308" w:rsidRDefault="007D1947"/>
        <w:p w14:paraId="2059565F" w14:textId="77777777" w:rsidR="007D1947" w:rsidRPr="00657308" w:rsidRDefault="007D1947"/>
        <w:p w14:paraId="1E53466B" w14:textId="77777777" w:rsidR="007D1947" w:rsidRPr="00657308" w:rsidRDefault="007D1947"/>
        <w:p w14:paraId="7BC12A6B" w14:textId="77777777" w:rsidR="007D1947" w:rsidRPr="00657308" w:rsidRDefault="007D1947"/>
        <w:p w14:paraId="3C8549E0" w14:textId="77777777" w:rsidR="007D1947" w:rsidRPr="00657308" w:rsidRDefault="007D1947"/>
        <w:p w14:paraId="606FEBB7" w14:textId="0DFF74F2" w:rsidR="00E2043C" w:rsidRPr="00657308" w:rsidRDefault="00E2043C">
          <w:r w:rsidRPr="00657308">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noProof/>
            </w:rPr>
          </w:sdtEndPr>
          <w:sdtContent>
            <w:p w14:paraId="1DFECD67" w14:textId="77777777" w:rsidR="007D1947" w:rsidRPr="00657308" w:rsidRDefault="007D1947">
              <w:pPr>
                <w:pStyle w:val="TOCHeading"/>
              </w:pPr>
              <w:r w:rsidRPr="00657308">
                <w:t>Table of Contents</w:t>
              </w:r>
            </w:p>
            <w:p w14:paraId="3D494D76" w14:textId="6F2ED3FD" w:rsidR="00657308" w:rsidRPr="00657308" w:rsidRDefault="007D1947">
              <w:pPr>
                <w:pStyle w:val="TOC1"/>
                <w:tabs>
                  <w:tab w:val="right" w:leader="dot" w:pos="9016"/>
                </w:tabs>
                <w:rPr>
                  <w:rFonts w:eastAsiaTheme="minorEastAsia"/>
                  <w:noProof/>
                  <w:kern w:val="2"/>
                  <w:sz w:val="24"/>
                  <w:szCs w:val="24"/>
                  <w:lang w:eastAsia="en-GB"/>
                  <w14:ligatures w14:val="standardContextual"/>
                </w:rPr>
              </w:pPr>
              <w:r w:rsidRPr="00657308">
                <w:fldChar w:fldCharType="begin"/>
              </w:r>
              <w:r w:rsidRPr="00657308">
                <w:instrText xml:space="preserve"> TOC \o "1-3" \h \z \u </w:instrText>
              </w:r>
              <w:r w:rsidRPr="00657308">
                <w:fldChar w:fldCharType="separate"/>
              </w:r>
              <w:hyperlink w:anchor="_Toc228470812" w:history="1">
                <w:r w:rsidR="00657308" w:rsidRPr="00657308">
                  <w:rPr>
                    <w:rStyle w:val="Hyperlink"/>
                    <w:noProof/>
                  </w:rPr>
                  <w:t>Executive Summary</w:t>
                </w:r>
                <w:r w:rsidR="00657308" w:rsidRPr="00657308">
                  <w:rPr>
                    <w:noProof/>
                    <w:webHidden/>
                  </w:rPr>
                  <w:tab/>
                </w:r>
                <w:r w:rsidR="00657308" w:rsidRPr="00657308">
                  <w:rPr>
                    <w:noProof/>
                    <w:webHidden/>
                  </w:rPr>
                  <w:fldChar w:fldCharType="begin"/>
                </w:r>
                <w:r w:rsidR="00657308" w:rsidRPr="00657308">
                  <w:rPr>
                    <w:noProof/>
                    <w:webHidden/>
                  </w:rPr>
                  <w:instrText xml:space="preserve"> PAGEREF _Toc228470812 \h </w:instrText>
                </w:r>
                <w:r w:rsidR="00657308" w:rsidRPr="00657308">
                  <w:rPr>
                    <w:noProof/>
                    <w:webHidden/>
                  </w:rPr>
                </w:r>
                <w:r w:rsidR="00657308" w:rsidRPr="00657308">
                  <w:rPr>
                    <w:noProof/>
                    <w:webHidden/>
                  </w:rPr>
                  <w:fldChar w:fldCharType="separate"/>
                </w:r>
                <w:r w:rsidR="00657308" w:rsidRPr="00657308">
                  <w:rPr>
                    <w:noProof/>
                    <w:webHidden/>
                  </w:rPr>
                  <w:t>0</w:t>
                </w:r>
                <w:r w:rsidR="00657308" w:rsidRPr="00657308">
                  <w:rPr>
                    <w:noProof/>
                    <w:webHidden/>
                  </w:rPr>
                  <w:fldChar w:fldCharType="end"/>
                </w:r>
              </w:hyperlink>
            </w:p>
            <w:p w14:paraId="402D80E2" w14:textId="53A9305F" w:rsidR="00657308" w:rsidRPr="00657308" w:rsidRDefault="00657308">
              <w:pPr>
                <w:pStyle w:val="TOC1"/>
                <w:tabs>
                  <w:tab w:val="right" w:leader="dot" w:pos="9016"/>
                </w:tabs>
                <w:rPr>
                  <w:rFonts w:eastAsiaTheme="minorEastAsia"/>
                  <w:noProof/>
                  <w:kern w:val="2"/>
                  <w:sz w:val="24"/>
                  <w:szCs w:val="24"/>
                  <w:lang w:eastAsia="en-GB"/>
                  <w14:ligatures w14:val="standardContextual"/>
                </w:rPr>
              </w:pPr>
              <w:hyperlink w:anchor="_Toc228470813" w:history="1">
                <w:r w:rsidRPr="00657308">
                  <w:rPr>
                    <w:rStyle w:val="Hyperlink"/>
                    <w:noProof/>
                  </w:rPr>
                  <w:t>Introduction</w:t>
                </w:r>
                <w:r w:rsidRPr="00657308">
                  <w:rPr>
                    <w:noProof/>
                    <w:webHidden/>
                  </w:rPr>
                  <w:tab/>
                </w:r>
                <w:r w:rsidRPr="00657308">
                  <w:rPr>
                    <w:noProof/>
                    <w:webHidden/>
                  </w:rPr>
                  <w:fldChar w:fldCharType="begin"/>
                </w:r>
                <w:r w:rsidRPr="00657308">
                  <w:rPr>
                    <w:noProof/>
                    <w:webHidden/>
                  </w:rPr>
                  <w:instrText xml:space="preserve"> PAGEREF _Toc228470813 \h </w:instrText>
                </w:r>
                <w:r w:rsidRPr="00657308">
                  <w:rPr>
                    <w:noProof/>
                    <w:webHidden/>
                  </w:rPr>
                </w:r>
                <w:r w:rsidRPr="00657308">
                  <w:rPr>
                    <w:noProof/>
                    <w:webHidden/>
                  </w:rPr>
                  <w:fldChar w:fldCharType="separate"/>
                </w:r>
                <w:r w:rsidRPr="00657308">
                  <w:rPr>
                    <w:noProof/>
                    <w:webHidden/>
                  </w:rPr>
                  <w:t>3</w:t>
                </w:r>
                <w:r w:rsidRPr="00657308">
                  <w:rPr>
                    <w:noProof/>
                    <w:webHidden/>
                  </w:rPr>
                  <w:fldChar w:fldCharType="end"/>
                </w:r>
              </w:hyperlink>
            </w:p>
            <w:p w14:paraId="2CB62FDA" w14:textId="618D3B97" w:rsidR="00657308" w:rsidRPr="00657308" w:rsidRDefault="00657308">
              <w:pPr>
                <w:pStyle w:val="TOC1"/>
                <w:tabs>
                  <w:tab w:val="right" w:leader="dot" w:pos="9016"/>
                </w:tabs>
                <w:rPr>
                  <w:rFonts w:eastAsiaTheme="minorEastAsia"/>
                  <w:noProof/>
                  <w:kern w:val="2"/>
                  <w:sz w:val="24"/>
                  <w:szCs w:val="24"/>
                  <w:lang w:eastAsia="en-GB"/>
                  <w14:ligatures w14:val="standardContextual"/>
                </w:rPr>
              </w:pPr>
              <w:hyperlink w:anchor="_Toc228470814" w:history="1">
                <w:r w:rsidRPr="00657308">
                  <w:rPr>
                    <w:rStyle w:val="Hyperlink"/>
                    <w:noProof/>
                  </w:rPr>
                  <w:t>Main Findings</w:t>
                </w:r>
                <w:r w:rsidRPr="00657308">
                  <w:rPr>
                    <w:noProof/>
                    <w:webHidden/>
                  </w:rPr>
                  <w:tab/>
                </w:r>
                <w:r w:rsidRPr="00657308">
                  <w:rPr>
                    <w:noProof/>
                    <w:webHidden/>
                  </w:rPr>
                  <w:fldChar w:fldCharType="begin"/>
                </w:r>
                <w:r w:rsidRPr="00657308">
                  <w:rPr>
                    <w:noProof/>
                    <w:webHidden/>
                  </w:rPr>
                  <w:instrText xml:space="preserve"> PAGEREF _Toc228470814 \h </w:instrText>
                </w:r>
                <w:r w:rsidRPr="00657308">
                  <w:rPr>
                    <w:noProof/>
                    <w:webHidden/>
                  </w:rPr>
                </w:r>
                <w:r w:rsidRPr="00657308">
                  <w:rPr>
                    <w:noProof/>
                    <w:webHidden/>
                  </w:rPr>
                  <w:fldChar w:fldCharType="separate"/>
                </w:r>
                <w:r w:rsidRPr="00657308">
                  <w:rPr>
                    <w:noProof/>
                    <w:webHidden/>
                  </w:rPr>
                  <w:t>4</w:t>
                </w:r>
                <w:r w:rsidRPr="00657308">
                  <w:rPr>
                    <w:noProof/>
                    <w:webHidden/>
                  </w:rPr>
                  <w:fldChar w:fldCharType="end"/>
                </w:r>
              </w:hyperlink>
            </w:p>
            <w:p w14:paraId="64567830" w14:textId="1E930C94" w:rsidR="00657308" w:rsidRPr="00657308" w:rsidRDefault="00657308">
              <w:pPr>
                <w:pStyle w:val="TOC2"/>
                <w:tabs>
                  <w:tab w:val="right" w:leader="dot" w:pos="9016"/>
                </w:tabs>
                <w:rPr>
                  <w:rFonts w:eastAsiaTheme="minorEastAsia"/>
                  <w:noProof/>
                  <w:kern w:val="2"/>
                  <w:sz w:val="24"/>
                  <w:szCs w:val="24"/>
                  <w:lang w:eastAsia="en-GB"/>
                  <w14:ligatures w14:val="standardContextual"/>
                </w:rPr>
              </w:pPr>
              <w:hyperlink w:anchor="_Toc228470815" w:history="1">
                <w:r w:rsidRPr="00657308">
                  <w:rPr>
                    <w:rStyle w:val="Hyperlink"/>
                    <w:noProof/>
                  </w:rPr>
                  <w:t>Understanding Organisational Change</w:t>
                </w:r>
                <w:r w:rsidRPr="00657308">
                  <w:rPr>
                    <w:noProof/>
                    <w:webHidden/>
                  </w:rPr>
                  <w:tab/>
                </w:r>
                <w:r w:rsidRPr="00657308">
                  <w:rPr>
                    <w:noProof/>
                    <w:webHidden/>
                  </w:rPr>
                  <w:fldChar w:fldCharType="begin"/>
                </w:r>
                <w:r w:rsidRPr="00657308">
                  <w:rPr>
                    <w:noProof/>
                    <w:webHidden/>
                  </w:rPr>
                  <w:instrText xml:space="preserve"> PAGEREF _Toc228470815 \h </w:instrText>
                </w:r>
                <w:r w:rsidRPr="00657308">
                  <w:rPr>
                    <w:noProof/>
                    <w:webHidden/>
                  </w:rPr>
                </w:r>
                <w:r w:rsidRPr="00657308">
                  <w:rPr>
                    <w:noProof/>
                    <w:webHidden/>
                  </w:rPr>
                  <w:fldChar w:fldCharType="separate"/>
                </w:r>
                <w:r w:rsidRPr="00657308">
                  <w:rPr>
                    <w:noProof/>
                    <w:webHidden/>
                  </w:rPr>
                  <w:t>4</w:t>
                </w:r>
                <w:r w:rsidRPr="00657308">
                  <w:rPr>
                    <w:noProof/>
                    <w:webHidden/>
                  </w:rPr>
                  <w:fldChar w:fldCharType="end"/>
                </w:r>
              </w:hyperlink>
            </w:p>
            <w:p w14:paraId="644DB9E7" w14:textId="29F116C5" w:rsidR="00657308" w:rsidRPr="00657308" w:rsidRDefault="00657308">
              <w:pPr>
                <w:pStyle w:val="TOC2"/>
                <w:tabs>
                  <w:tab w:val="right" w:leader="dot" w:pos="9016"/>
                </w:tabs>
                <w:rPr>
                  <w:rFonts w:eastAsiaTheme="minorEastAsia"/>
                  <w:noProof/>
                  <w:kern w:val="2"/>
                  <w:sz w:val="24"/>
                  <w:szCs w:val="24"/>
                  <w:lang w:eastAsia="en-GB"/>
                  <w14:ligatures w14:val="standardContextual"/>
                </w:rPr>
              </w:pPr>
              <w:hyperlink w:anchor="_Toc228470816" w:history="1">
                <w:r w:rsidRPr="00657308">
                  <w:rPr>
                    <w:rStyle w:val="Hyperlink"/>
                    <w:rFonts w:ascii="Arial" w:hAnsi="Arial" w:cs="Arial"/>
                    <w:noProof/>
                  </w:rPr>
                  <w:t>O</w:t>
                </w:r>
                <w:r w:rsidRPr="00657308">
                  <w:rPr>
                    <w:rStyle w:val="Hyperlink"/>
                    <w:noProof/>
                  </w:rPr>
                  <w:t>verview of the Change at CWL1</w:t>
                </w:r>
                <w:r w:rsidRPr="00657308">
                  <w:rPr>
                    <w:noProof/>
                    <w:webHidden/>
                  </w:rPr>
                  <w:tab/>
                </w:r>
                <w:r w:rsidRPr="00657308">
                  <w:rPr>
                    <w:noProof/>
                    <w:webHidden/>
                  </w:rPr>
                  <w:fldChar w:fldCharType="begin"/>
                </w:r>
                <w:r w:rsidRPr="00657308">
                  <w:rPr>
                    <w:noProof/>
                    <w:webHidden/>
                  </w:rPr>
                  <w:instrText xml:space="preserve"> PAGEREF _Toc228470816 \h </w:instrText>
                </w:r>
                <w:r w:rsidRPr="00657308">
                  <w:rPr>
                    <w:noProof/>
                    <w:webHidden/>
                  </w:rPr>
                </w:r>
                <w:r w:rsidRPr="00657308">
                  <w:rPr>
                    <w:noProof/>
                    <w:webHidden/>
                  </w:rPr>
                  <w:fldChar w:fldCharType="separate"/>
                </w:r>
                <w:r w:rsidRPr="00657308">
                  <w:rPr>
                    <w:noProof/>
                    <w:webHidden/>
                  </w:rPr>
                  <w:t>4</w:t>
                </w:r>
                <w:r w:rsidRPr="00657308">
                  <w:rPr>
                    <w:noProof/>
                    <w:webHidden/>
                  </w:rPr>
                  <w:fldChar w:fldCharType="end"/>
                </w:r>
              </w:hyperlink>
            </w:p>
            <w:p w14:paraId="14E1C569" w14:textId="14C502C4" w:rsidR="00657308" w:rsidRPr="00657308" w:rsidRDefault="00657308">
              <w:pPr>
                <w:pStyle w:val="TOC2"/>
                <w:tabs>
                  <w:tab w:val="right" w:leader="dot" w:pos="9016"/>
                </w:tabs>
                <w:rPr>
                  <w:rFonts w:eastAsiaTheme="minorEastAsia"/>
                  <w:noProof/>
                  <w:kern w:val="2"/>
                  <w:sz w:val="24"/>
                  <w:szCs w:val="24"/>
                  <w:lang w:eastAsia="en-GB"/>
                  <w14:ligatures w14:val="standardContextual"/>
                </w:rPr>
              </w:pPr>
              <w:hyperlink w:anchor="_Toc228470817" w:history="1">
                <w:r w:rsidRPr="00657308">
                  <w:rPr>
                    <w:rStyle w:val="Hyperlink"/>
                    <w:noProof/>
                  </w:rPr>
                  <w:t>Lewin's Force Field Analysis Applied to CWL1</w:t>
                </w:r>
                <w:r w:rsidRPr="00657308">
                  <w:rPr>
                    <w:noProof/>
                    <w:webHidden/>
                  </w:rPr>
                  <w:tab/>
                </w:r>
                <w:r w:rsidRPr="00657308">
                  <w:rPr>
                    <w:noProof/>
                    <w:webHidden/>
                  </w:rPr>
                  <w:fldChar w:fldCharType="begin"/>
                </w:r>
                <w:r w:rsidRPr="00657308">
                  <w:rPr>
                    <w:noProof/>
                    <w:webHidden/>
                  </w:rPr>
                  <w:instrText xml:space="preserve"> PAGEREF _Toc228470817 \h </w:instrText>
                </w:r>
                <w:r w:rsidRPr="00657308">
                  <w:rPr>
                    <w:noProof/>
                    <w:webHidden/>
                  </w:rPr>
                </w:r>
                <w:r w:rsidRPr="00657308">
                  <w:rPr>
                    <w:noProof/>
                    <w:webHidden/>
                  </w:rPr>
                  <w:fldChar w:fldCharType="separate"/>
                </w:r>
                <w:r w:rsidRPr="00657308">
                  <w:rPr>
                    <w:noProof/>
                    <w:webHidden/>
                  </w:rPr>
                  <w:t>5</w:t>
                </w:r>
                <w:r w:rsidRPr="00657308">
                  <w:rPr>
                    <w:noProof/>
                    <w:webHidden/>
                  </w:rPr>
                  <w:fldChar w:fldCharType="end"/>
                </w:r>
              </w:hyperlink>
            </w:p>
            <w:p w14:paraId="345F159A" w14:textId="75F96FC1" w:rsidR="00657308" w:rsidRPr="00657308" w:rsidRDefault="00657308">
              <w:pPr>
                <w:pStyle w:val="TOC2"/>
                <w:tabs>
                  <w:tab w:val="right" w:leader="dot" w:pos="9016"/>
                </w:tabs>
                <w:rPr>
                  <w:rFonts w:eastAsiaTheme="minorEastAsia"/>
                  <w:noProof/>
                  <w:kern w:val="2"/>
                  <w:sz w:val="24"/>
                  <w:szCs w:val="24"/>
                  <w:lang w:eastAsia="en-GB"/>
                  <w14:ligatures w14:val="standardContextual"/>
                </w:rPr>
              </w:pPr>
              <w:hyperlink w:anchor="_Toc228470818" w:history="1">
                <w:r w:rsidRPr="00657308">
                  <w:rPr>
                    <w:rStyle w:val="Hyperlink"/>
                    <w:noProof/>
                  </w:rPr>
                  <w:t>Lewin's Three-Step Change Model – Recommendations</w:t>
                </w:r>
                <w:r w:rsidRPr="00657308">
                  <w:rPr>
                    <w:noProof/>
                    <w:webHidden/>
                  </w:rPr>
                  <w:tab/>
                </w:r>
                <w:r w:rsidRPr="00657308">
                  <w:rPr>
                    <w:noProof/>
                    <w:webHidden/>
                  </w:rPr>
                  <w:fldChar w:fldCharType="begin"/>
                </w:r>
                <w:r w:rsidRPr="00657308">
                  <w:rPr>
                    <w:noProof/>
                    <w:webHidden/>
                  </w:rPr>
                  <w:instrText xml:space="preserve"> PAGEREF _Toc228470818 \h </w:instrText>
                </w:r>
                <w:r w:rsidRPr="00657308">
                  <w:rPr>
                    <w:noProof/>
                    <w:webHidden/>
                  </w:rPr>
                </w:r>
                <w:r w:rsidRPr="00657308">
                  <w:rPr>
                    <w:noProof/>
                    <w:webHidden/>
                  </w:rPr>
                  <w:fldChar w:fldCharType="separate"/>
                </w:r>
                <w:r w:rsidRPr="00657308">
                  <w:rPr>
                    <w:noProof/>
                    <w:webHidden/>
                  </w:rPr>
                  <w:t>6</w:t>
                </w:r>
                <w:r w:rsidRPr="00657308">
                  <w:rPr>
                    <w:noProof/>
                    <w:webHidden/>
                  </w:rPr>
                  <w:fldChar w:fldCharType="end"/>
                </w:r>
              </w:hyperlink>
            </w:p>
            <w:p w14:paraId="3ECC8139" w14:textId="475E23D5" w:rsidR="00657308" w:rsidRPr="00657308" w:rsidRDefault="00657308">
              <w:pPr>
                <w:pStyle w:val="TOC3"/>
                <w:tabs>
                  <w:tab w:val="right" w:leader="dot" w:pos="9016"/>
                </w:tabs>
                <w:rPr>
                  <w:rFonts w:eastAsiaTheme="minorEastAsia"/>
                  <w:noProof/>
                  <w:kern w:val="2"/>
                  <w:sz w:val="24"/>
                  <w:szCs w:val="24"/>
                  <w:lang w:eastAsia="en-GB"/>
                  <w14:ligatures w14:val="standardContextual"/>
                </w:rPr>
              </w:pPr>
              <w:hyperlink w:anchor="_Toc228470819" w:history="1">
                <w:r w:rsidRPr="00657308">
                  <w:rPr>
                    <w:rStyle w:val="Hyperlink"/>
                    <w:noProof/>
                  </w:rPr>
                  <w:t>Unfreezing at CWL1</w:t>
                </w:r>
                <w:r w:rsidRPr="00657308">
                  <w:rPr>
                    <w:noProof/>
                    <w:webHidden/>
                  </w:rPr>
                  <w:tab/>
                </w:r>
                <w:r w:rsidRPr="00657308">
                  <w:rPr>
                    <w:noProof/>
                    <w:webHidden/>
                  </w:rPr>
                  <w:fldChar w:fldCharType="begin"/>
                </w:r>
                <w:r w:rsidRPr="00657308">
                  <w:rPr>
                    <w:noProof/>
                    <w:webHidden/>
                  </w:rPr>
                  <w:instrText xml:space="preserve"> PAGEREF _Toc228470819 \h </w:instrText>
                </w:r>
                <w:r w:rsidRPr="00657308">
                  <w:rPr>
                    <w:noProof/>
                    <w:webHidden/>
                  </w:rPr>
                </w:r>
                <w:r w:rsidRPr="00657308">
                  <w:rPr>
                    <w:noProof/>
                    <w:webHidden/>
                  </w:rPr>
                  <w:fldChar w:fldCharType="separate"/>
                </w:r>
                <w:r w:rsidRPr="00657308">
                  <w:rPr>
                    <w:noProof/>
                    <w:webHidden/>
                  </w:rPr>
                  <w:t>6</w:t>
                </w:r>
                <w:r w:rsidRPr="00657308">
                  <w:rPr>
                    <w:noProof/>
                    <w:webHidden/>
                  </w:rPr>
                  <w:fldChar w:fldCharType="end"/>
                </w:r>
              </w:hyperlink>
            </w:p>
            <w:p w14:paraId="46863E19" w14:textId="42C7DF81" w:rsidR="00657308" w:rsidRPr="00657308" w:rsidRDefault="00657308">
              <w:pPr>
                <w:pStyle w:val="TOC3"/>
                <w:tabs>
                  <w:tab w:val="right" w:leader="dot" w:pos="9016"/>
                </w:tabs>
                <w:rPr>
                  <w:rFonts w:eastAsiaTheme="minorEastAsia"/>
                  <w:noProof/>
                  <w:kern w:val="2"/>
                  <w:sz w:val="24"/>
                  <w:szCs w:val="24"/>
                  <w:lang w:eastAsia="en-GB"/>
                  <w14:ligatures w14:val="standardContextual"/>
                </w:rPr>
              </w:pPr>
              <w:hyperlink w:anchor="_Toc228470820" w:history="1">
                <w:r w:rsidRPr="00657308">
                  <w:rPr>
                    <w:rStyle w:val="Hyperlink"/>
                    <w:noProof/>
                  </w:rPr>
                  <w:t>Moving at CWL1</w:t>
                </w:r>
                <w:r w:rsidRPr="00657308">
                  <w:rPr>
                    <w:noProof/>
                    <w:webHidden/>
                  </w:rPr>
                  <w:tab/>
                </w:r>
                <w:r w:rsidRPr="00657308">
                  <w:rPr>
                    <w:noProof/>
                    <w:webHidden/>
                  </w:rPr>
                  <w:fldChar w:fldCharType="begin"/>
                </w:r>
                <w:r w:rsidRPr="00657308">
                  <w:rPr>
                    <w:noProof/>
                    <w:webHidden/>
                  </w:rPr>
                  <w:instrText xml:space="preserve"> PAGEREF _Toc228470820 \h </w:instrText>
                </w:r>
                <w:r w:rsidRPr="00657308">
                  <w:rPr>
                    <w:noProof/>
                    <w:webHidden/>
                  </w:rPr>
                </w:r>
                <w:r w:rsidRPr="00657308">
                  <w:rPr>
                    <w:noProof/>
                    <w:webHidden/>
                  </w:rPr>
                  <w:fldChar w:fldCharType="separate"/>
                </w:r>
                <w:r w:rsidRPr="00657308">
                  <w:rPr>
                    <w:noProof/>
                    <w:webHidden/>
                  </w:rPr>
                  <w:t>7</w:t>
                </w:r>
                <w:r w:rsidRPr="00657308">
                  <w:rPr>
                    <w:noProof/>
                    <w:webHidden/>
                  </w:rPr>
                  <w:fldChar w:fldCharType="end"/>
                </w:r>
              </w:hyperlink>
            </w:p>
            <w:p w14:paraId="27092F7B" w14:textId="194105EE" w:rsidR="00657308" w:rsidRPr="00657308" w:rsidRDefault="00657308">
              <w:pPr>
                <w:pStyle w:val="TOC3"/>
                <w:tabs>
                  <w:tab w:val="right" w:leader="dot" w:pos="9016"/>
                </w:tabs>
                <w:rPr>
                  <w:rFonts w:eastAsiaTheme="minorEastAsia"/>
                  <w:noProof/>
                  <w:kern w:val="2"/>
                  <w:sz w:val="24"/>
                  <w:szCs w:val="24"/>
                  <w:lang w:eastAsia="en-GB"/>
                  <w14:ligatures w14:val="standardContextual"/>
                </w:rPr>
              </w:pPr>
              <w:hyperlink w:anchor="_Toc228470821" w:history="1">
                <w:r w:rsidRPr="00657308">
                  <w:rPr>
                    <w:rStyle w:val="Hyperlink"/>
                    <w:noProof/>
                  </w:rPr>
                  <w:t>Refreezing at CWL1</w:t>
                </w:r>
                <w:r w:rsidRPr="00657308">
                  <w:rPr>
                    <w:noProof/>
                    <w:webHidden/>
                  </w:rPr>
                  <w:tab/>
                </w:r>
                <w:r w:rsidRPr="00657308">
                  <w:rPr>
                    <w:noProof/>
                    <w:webHidden/>
                  </w:rPr>
                  <w:fldChar w:fldCharType="begin"/>
                </w:r>
                <w:r w:rsidRPr="00657308">
                  <w:rPr>
                    <w:noProof/>
                    <w:webHidden/>
                  </w:rPr>
                  <w:instrText xml:space="preserve"> PAGEREF _Toc228470821 \h </w:instrText>
                </w:r>
                <w:r w:rsidRPr="00657308">
                  <w:rPr>
                    <w:noProof/>
                    <w:webHidden/>
                  </w:rPr>
                </w:r>
                <w:r w:rsidRPr="00657308">
                  <w:rPr>
                    <w:noProof/>
                    <w:webHidden/>
                  </w:rPr>
                  <w:fldChar w:fldCharType="separate"/>
                </w:r>
                <w:r w:rsidRPr="00657308">
                  <w:rPr>
                    <w:noProof/>
                    <w:webHidden/>
                  </w:rPr>
                  <w:t>8</w:t>
                </w:r>
                <w:r w:rsidRPr="00657308">
                  <w:rPr>
                    <w:noProof/>
                    <w:webHidden/>
                  </w:rPr>
                  <w:fldChar w:fldCharType="end"/>
                </w:r>
              </w:hyperlink>
            </w:p>
            <w:p w14:paraId="266F58D4" w14:textId="3B56C774" w:rsidR="00657308" w:rsidRPr="00657308" w:rsidRDefault="00657308">
              <w:pPr>
                <w:pStyle w:val="TOC2"/>
                <w:tabs>
                  <w:tab w:val="right" w:leader="dot" w:pos="9016"/>
                </w:tabs>
                <w:rPr>
                  <w:rFonts w:eastAsiaTheme="minorEastAsia"/>
                  <w:noProof/>
                  <w:kern w:val="2"/>
                  <w:sz w:val="24"/>
                  <w:szCs w:val="24"/>
                  <w:lang w:eastAsia="en-GB"/>
                  <w14:ligatures w14:val="standardContextual"/>
                </w:rPr>
              </w:pPr>
              <w:hyperlink w:anchor="_Toc228470822" w:history="1">
                <w:r w:rsidRPr="00657308">
                  <w:rPr>
                    <w:rStyle w:val="Hyperlink"/>
                    <w:noProof/>
                  </w:rPr>
                  <w:t>Employee Motivation During Change – Herzberg's Two-Factor Theory</w:t>
                </w:r>
                <w:r w:rsidRPr="00657308">
                  <w:rPr>
                    <w:noProof/>
                    <w:webHidden/>
                  </w:rPr>
                  <w:tab/>
                </w:r>
                <w:r w:rsidRPr="00657308">
                  <w:rPr>
                    <w:noProof/>
                    <w:webHidden/>
                  </w:rPr>
                  <w:fldChar w:fldCharType="begin"/>
                </w:r>
                <w:r w:rsidRPr="00657308">
                  <w:rPr>
                    <w:noProof/>
                    <w:webHidden/>
                  </w:rPr>
                  <w:instrText xml:space="preserve"> PAGEREF _Toc228470822 \h </w:instrText>
                </w:r>
                <w:r w:rsidRPr="00657308">
                  <w:rPr>
                    <w:noProof/>
                    <w:webHidden/>
                  </w:rPr>
                </w:r>
                <w:r w:rsidRPr="00657308">
                  <w:rPr>
                    <w:noProof/>
                    <w:webHidden/>
                  </w:rPr>
                  <w:fldChar w:fldCharType="separate"/>
                </w:r>
                <w:r w:rsidRPr="00657308">
                  <w:rPr>
                    <w:noProof/>
                    <w:webHidden/>
                  </w:rPr>
                  <w:t>8</w:t>
                </w:r>
                <w:r w:rsidRPr="00657308">
                  <w:rPr>
                    <w:noProof/>
                    <w:webHidden/>
                  </w:rPr>
                  <w:fldChar w:fldCharType="end"/>
                </w:r>
              </w:hyperlink>
            </w:p>
            <w:p w14:paraId="18AF7A03" w14:textId="10623ADD" w:rsidR="00657308" w:rsidRPr="00657308" w:rsidRDefault="00657308">
              <w:pPr>
                <w:pStyle w:val="TOC1"/>
                <w:tabs>
                  <w:tab w:val="right" w:leader="dot" w:pos="9016"/>
                </w:tabs>
                <w:rPr>
                  <w:rFonts w:eastAsiaTheme="minorEastAsia"/>
                  <w:noProof/>
                  <w:kern w:val="2"/>
                  <w:sz w:val="24"/>
                  <w:szCs w:val="24"/>
                  <w:lang w:eastAsia="en-GB"/>
                  <w14:ligatures w14:val="standardContextual"/>
                </w:rPr>
              </w:pPr>
              <w:hyperlink w:anchor="_Toc228470823" w:history="1">
                <w:r w:rsidRPr="00657308">
                  <w:rPr>
                    <w:rStyle w:val="Hyperlink"/>
                    <w:noProof/>
                  </w:rPr>
                  <w:t>Conclusion</w:t>
                </w:r>
                <w:r w:rsidRPr="00657308">
                  <w:rPr>
                    <w:noProof/>
                    <w:webHidden/>
                  </w:rPr>
                  <w:tab/>
                </w:r>
                <w:r w:rsidRPr="00657308">
                  <w:rPr>
                    <w:noProof/>
                    <w:webHidden/>
                  </w:rPr>
                  <w:fldChar w:fldCharType="begin"/>
                </w:r>
                <w:r w:rsidRPr="00657308">
                  <w:rPr>
                    <w:noProof/>
                    <w:webHidden/>
                  </w:rPr>
                  <w:instrText xml:space="preserve"> PAGEREF _Toc228470823 \h </w:instrText>
                </w:r>
                <w:r w:rsidRPr="00657308">
                  <w:rPr>
                    <w:noProof/>
                    <w:webHidden/>
                  </w:rPr>
                </w:r>
                <w:r w:rsidRPr="00657308">
                  <w:rPr>
                    <w:noProof/>
                    <w:webHidden/>
                  </w:rPr>
                  <w:fldChar w:fldCharType="separate"/>
                </w:r>
                <w:r w:rsidRPr="00657308">
                  <w:rPr>
                    <w:noProof/>
                    <w:webHidden/>
                  </w:rPr>
                  <w:t>10</w:t>
                </w:r>
                <w:r w:rsidRPr="00657308">
                  <w:rPr>
                    <w:noProof/>
                    <w:webHidden/>
                  </w:rPr>
                  <w:fldChar w:fldCharType="end"/>
                </w:r>
              </w:hyperlink>
            </w:p>
            <w:p w14:paraId="1EE87306" w14:textId="6F424775" w:rsidR="00657308" w:rsidRPr="00657308" w:rsidRDefault="00657308">
              <w:pPr>
                <w:pStyle w:val="TOC1"/>
                <w:tabs>
                  <w:tab w:val="right" w:leader="dot" w:pos="9016"/>
                </w:tabs>
                <w:rPr>
                  <w:rFonts w:eastAsiaTheme="minorEastAsia"/>
                  <w:noProof/>
                  <w:kern w:val="2"/>
                  <w:sz w:val="24"/>
                  <w:szCs w:val="24"/>
                  <w:lang w:eastAsia="en-GB"/>
                  <w14:ligatures w14:val="standardContextual"/>
                </w:rPr>
              </w:pPr>
              <w:hyperlink w:anchor="_Toc228470824" w:history="1">
                <w:r w:rsidRPr="00657308">
                  <w:rPr>
                    <w:rStyle w:val="Hyperlink"/>
                    <w:noProof/>
                  </w:rPr>
                  <w:t>Bibliography</w:t>
                </w:r>
                <w:r w:rsidRPr="00657308">
                  <w:rPr>
                    <w:noProof/>
                    <w:webHidden/>
                  </w:rPr>
                  <w:tab/>
                </w:r>
                <w:r w:rsidRPr="00657308">
                  <w:rPr>
                    <w:noProof/>
                    <w:webHidden/>
                  </w:rPr>
                  <w:fldChar w:fldCharType="begin"/>
                </w:r>
                <w:r w:rsidRPr="00657308">
                  <w:rPr>
                    <w:noProof/>
                    <w:webHidden/>
                  </w:rPr>
                  <w:instrText xml:space="preserve"> PAGEREF _Toc228470824 \h </w:instrText>
                </w:r>
                <w:r w:rsidRPr="00657308">
                  <w:rPr>
                    <w:noProof/>
                    <w:webHidden/>
                  </w:rPr>
                </w:r>
                <w:r w:rsidRPr="00657308">
                  <w:rPr>
                    <w:noProof/>
                    <w:webHidden/>
                  </w:rPr>
                  <w:fldChar w:fldCharType="separate"/>
                </w:r>
                <w:r w:rsidRPr="00657308">
                  <w:rPr>
                    <w:noProof/>
                    <w:webHidden/>
                  </w:rPr>
                  <w:t>11</w:t>
                </w:r>
                <w:r w:rsidRPr="00657308">
                  <w:rPr>
                    <w:noProof/>
                    <w:webHidden/>
                  </w:rPr>
                  <w:fldChar w:fldCharType="end"/>
                </w:r>
              </w:hyperlink>
            </w:p>
            <w:p w14:paraId="05194699" w14:textId="56916DEB" w:rsidR="007D1947" w:rsidRPr="00657308" w:rsidRDefault="007D1947">
              <w:r w:rsidRPr="00657308">
                <w:rPr>
                  <w:noProof/>
                </w:rPr>
                <w:fldChar w:fldCharType="end"/>
              </w:r>
            </w:p>
          </w:sdtContent>
        </w:sdt>
        <w:p w14:paraId="35B6052B" w14:textId="77777777" w:rsidR="007D1947" w:rsidRPr="00657308" w:rsidRDefault="007D1947"/>
        <w:p w14:paraId="6762DD1F" w14:textId="77777777" w:rsidR="00A1742E" w:rsidRPr="00657308" w:rsidRDefault="00A1742E">
          <w:pPr>
            <w:rPr>
              <w:rFonts w:asciiTheme="majorHAnsi" w:eastAsiaTheme="majorEastAsia" w:hAnsiTheme="majorHAnsi" w:cstheme="majorBidi"/>
              <w:color w:val="2E74B5" w:themeColor="accent1" w:themeShade="BF"/>
              <w:sz w:val="32"/>
              <w:szCs w:val="32"/>
            </w:rPr>
          </w:pPr>
          <w:r w:rsidRPr="00657308">
            <w:br w:type="page"/>
          </w:r>
        </w:p>
        <w:p w14:paraId="0ED321E6" w14:textId="4161FE3A" w:rsidR="007D1947" w:rsidRPr="00657308" w:rsidRDefault="007D1947" w:rsidP="00A12B58">
          <w:pPr>
            <w:pStyle w:val="Heading1"/>
          </w:pPr>
          <w:bookmarkStart w:id="1" w:name="_Toc228470813"/>
          <w:r w:rsidRPr="00657308">
            <w:lastRenderedPageBreak/>
            <w:t>Introduction</w:t>
          </w:r>
          <w:bookmarkEnd w:id="1"/>
          <w:r w:rsidR="00480872" w:rsidRPr="00657308">
            <w:t xml:space="preserve"> </w:t>
          </w:r>
          <w:r w:rsidR="00E91208" w:rsidRPr="00657308">
            <w:t xml:space="preserve"> </w:t>
          </w:r>
        </w:p>
        <w:p w14:paraId="342D902F" w14:textId="77777777" w:rsidR="00A32147" w:rsidRPr="00A32147" w:rsidRDefault="00A32147" w:rsidP="00A32147">
          <w:pPr>
            <w:jc w:val="both"/>
            <w:rPr>
              <w:rFonts w:ascii="Arial" w:eastAsia="Arial" w:hAnsi="Arial" w:cs="Arial"/>
              <w:sz w:val="24"/>
              <w:szCs w:val="24"/>
              <w:lang w:eastAsia="en-GB"/>
            </w:rPr>
          </w:pPr>
          <w:r w:rsidRPr="00A32147">
            <w:rPr>
              <w:rFonts w:ascii="Arial" w:eastAsia="Arial" w:hAnsi="Arial" w:cs="Arial"/>
              <w:sz w:val="24"/>
              <w:szCs w:val="24"/>
              <w:lang w:eastAsia="en-GB"/>
            </w:rPr>
            <w:t xml:space="preserve">Amazon is one of the world's largest employers and logistics operators, with its fulfilment network forming a critical component of its global supply chain infrastructure. CWL1, located in Swansea, Wales, is a major UK fulfilment centre employing thousands of associates across inbound, pick, pack and dispatch functions (Amazon, 2023). Like all Amazon sites, CWL1 operates within a highly structured, data-driven environment where operational efficiency, throughput and cost optimisation are central priorities (Kantor and </w:t>
          </w:r>
          <w:proofErr w:type="spellStart"/>
          <w:r w:rsidRPr="00A32147">
            <w:rPr>
              <w:rFonts w:ascii="Arial" w:eastAsia="Arial" w:hAnsi="Arial" w:cs="Arial"/>
              <w:sz w:val="24"/>
              <w:szCs w:val="24"/>
              <w:lang w:eastAsia="en-GB"/>
            </w:rPr>
            <w:t>Streitfeld</w:t>
          </w:r>
          <w:proofErr w:type="spellEnd"/>
          <w:r w:rsidRPr="00A32147">
            <w:rPr>
              <w:rFonts w:ascii="Arial" w:eastAsia="Arial" w:hAnsi="Arial" w:cs="Arial"/>
              <w:sz w:val="24"/>
              <w:szCs w:val="24"/>
              <w:lang w:eastAsia="en-GB"/>
            </w:rPr>
            <w:t>, 2015).</w:t>
          </w:r>
        </w:p>
        <w:p w14:paraId="53013CDB" w14:textId="77777777" w:rsidR="00A32147" w:rsidRPr="00A32147" w:rsidRDefault="00A32147" w:rsidP="00A32147">
          <w:pPr>
            <w:jc w:val="both"/>
            <w:rPr>
              <w:rFonts w:ascii="Arial" w:eastAsia="Arial" w:hAnsi="Arial" w:cs="Arial"/>
              <w:sz w:val="24"/>
              <w:szCs w:val="24"/>
              <w:lang w:eastAsia="en-GB"/>
            </w:rPr>
          </w:pPr>
          <w:r w:rsidRPr="00A32147">
            <w:rPr>
              <w:rFonts w:ascii="Arial" w:eastAsia="Arial" w:hAnsi="Arial" w:cs="Arial"/>
              <w:sz w:val="24"/>
              <w:szCs w:val="24"/>
              <w:lang w:eastAsia="en-GB"/>
            </w:rPr>
            <w:t>Organisational change is an inevitable feature of modern business environments, particularly within high-volume logistics operations where market demands, technology and workforce dynamics evolve rapidly (Burnes, 2017). Effective change management is widely recognised as a key determinant of long-term organisational success (Kotter, 2012). Within Amazon, change is frequently driven by data analytics, productivity benchmarking and internal governance processes, including the approvals.amazon.com platform, which provides a structured framework for proposing and authorising operational changes (Amazon Internal Operations, 2023).</w:t>
          </w:r>
        </w:p>
        <w:p w14:paraId="718878F8" w14:textId="77777777" w:rsidR="00A32147" w:rsidRPr="00A32147" w:rsidRDefault="00A32147" w:rsidP="00A32147">
          <w:pPr>
            <w:jc w:val="both"/>
            <w:rPr>
              <w:rFonts w:ascii="Arial" w:eastAsia="Arial" w:hAnsi="Arial" w:cs="Arial"/>
              <w:sz w:val="24"/>
              <w:szCs w:val="24"/>
              <w:lang w:eastAsia="en-GB"/>
            </w:rPr>
          </w:pPr>
          <w:r w:rsidRPr="00A32147">
            <w:rPr>
              <w:rFonts w:ascii="Arial" w:eastAsia="Arial" w:hAnsi="Arial" w:cs="Arial"/>
              <w:sz w:val="24"/>
              <w:szCs w:val="24"/>
              <w:lang w:eastAsia="en-GB"/>
            </w:rPr>
            <w:t>Lewin's Force Field Analysis (1951) and Three-Step Model provide established frameworks for diagnosing the forces surrounding organisational change and structuring the transition process. Kotter's (2012) Eight-Step Model offers a more detailed interpretation of the change process, outlining the specific leadership actions required at each stage. Herzberg's Two-Factor Theory (1959) enables an assessment of the motivational implications of change by distinguishing between hygiene factors and motivators. Together, these frameworks offer complementary lenses for evaluating the management of a specific change implemented at CWL1 involving the restructuring of associate start times and break schedules.</w:t>
          </w:r>
        </w:p>
        <w:p w14:paraId="5DBAD65B" w14:textId="77777777" w:rsidR="004A11F6" w:rsidRPr="00657308" w:rsidRDefault="004A11F6" w:rsidP="007D1947"/>
        <w:p w14:paraId="6AE6089F" w14:textId="77777777" w:rsidR="002668B8" w:rsidRPr="00657308" w:rsidRDefault="002668B8" w:rsidP="007D1947"/>
        <w:p w14:paraId="63BE38B9" w14:textId="77777777" w:rsidR="004A11F6" w:rsidRPr="00657308" w:rsidRDefault="004A11F6" w:rsidP="007D1947"/>
        <w:p w14:paraId="1392FEFB" w14:textId="77777777" w:rsidR="004A11F6" w:rsidRPr="00657308" w:rsidRDefault="004A11F6" w:rsidP="007D1947"/>
        <w:p w14:paraId="094C9AA2" w14:textId="77777777" w:rsidR="004A11F6" w:rsidRPr="00657308" w:rsidRDefault="004A11F6" w:rsidP="007D1947"/>
        <w:p w14:paraId="5AD4FC36" w14:textId="77777777" w:rsidR="004A11F6" w:rsidRPr="00657308" w:rsidRDefault="004A11F6" w:rsidP="007D1947"/>
        <w:p w14:paraId="37DC88C5" w14:textId="77777777" w:rsidR="004A11F6" w:rsidRPr="00657308" w:rsidRDefault="004A11F6" w:rsidP="007D1947"/>
        <w:p w14:paraId="2277CFA6" w14:textId="77777777" w:rsidR="004A11F6" w:rsidRPr="00657308" w:rsidRDefault="004A11F6" w:rsidP="007D1947"/>
        <w:p w14:paraId="6965E43A" w14:textId="77777777" w:rsidR="004A11F6" w:rsidRPr="00657308" w:rsidRDefault="004A11F6" w:rsidP="007D1947"/>
        <w:p w14:paraId="04F16582" w14:textId="77777777" w:rsidR="004A11F6" w:rsidRPr="00657308" w:rsidRDefault="004A11F6" w:rsidP="007D1947"/>
        <w:p w14:paraId="3BCFD6F0" w14:textId="77777777" w:rsidR="004A11F6" w:rsidRPr="00657308" w:rsidRDefault="004A11F6" w:rsidP="007D1947"/>
        <w:p w14:paraId="2F757D32" w14:textId="77777777" w:rsidR="004A11F6" w:rsidRPr="00657308" w:rsidRDefault="004A11F6" w:rsidP="007D1947"/>
        <w:p w14:paraId="4950AFFE" w14:textId="508D680C" w:rsidR="008F1881" w:rsidRPr="00657308" w:rsidRDefault="008F1881">
          <w:r w:rsidRPr="00657308">
            <w:br w:type="page"/>
          </w:r>
        </w:p>
        <w:p w14:paraId="2E293EB9" w14:textId="77777777" w:rsidR="00480872" w:rsidRPr="00657308" w:rsidRDefault="00480872" w:rsidP="008D4C45">
          <w:pPr>
            <w:pStyle w:val="Heading1"/>
          </w:pPr>
          <w:bookmarkStart w:id="2" w:name="_Toc228470814"/>
          <w:r w:rsidRPr="00657308">
            <w:lastRenderedPageBreak/>
            <w:t>Main Findings</w:t>
          </w:r>
          <w:bookmarkEnd w:id="2"/>
        </w:p>
        <w:p w14:paraId="05D05EB1" w14:textId="25CD6745" w:rsidR="00A1742E" w:rsidRPr="00657308" w:rsidRDefault="00A1742E" w:rsidP="00A1742E">
          <w:pPr>
            <w:pStyle w:val="Heading2"/>
          </w:pPr>
          <w:bookmarkStart w:id="3" w:name="_Toc228470815"/>
          <w:r w:rsidRPr="00657308">
            <w:t>Understanding Organisational Change</w:t>
          </w:r>
          <w:bookmarkEnd w:id="3"/>
        </w:p>
        <w:p w14:paraId="18F1AEB7" w14:textId="77777777" w:rsidR="00A32147" w:rsidRPr="00A32147" w:rsidRDefault="00A32147" w:rsidP="00A32147">
          <w:pPr>
            <w:pStyle w:val="BodyText"/>
            <w:rPr>
              <w:sz w:val="24"/>
              <w:szCs w:val="24"/>
            </w:rPr>
          </w:pPr>
          <w:r w:rsidRPr="00A32147">
            <w:rPr>
              <w:sz w:val="24"/>
              <w:szCs w:val="24"/>
            </w:rPr>
            <w:t>Organisational change can be defined as any alteration to an organisation's structure, technology, processes or people (Mullins, 2016). Senior and Swailes (2016) distinguish between planned and emergent change, noting that planned change involves deliberate interventions designed to move an organisation from its current state to a desired future state. The change at CWL1 represents a planned operational change initiated in response to productivity data and network-wide scheduling directives.</w:t>
          </w:r>
        </w:p>
        <w:p w14:paraId="0AC86805" w14:textId="77777777" w:rsidR="00A32147" w:rsidRPr="00A32147" w:rsidRDefault="00A32147" w:rsidP="00A32147">
          <w:pPr>
            <w:pStyle w:val="BodyText"/>
            <w:rPr>
              <w:sz w:val="24"/>
              <w:szCs w:val="24"/>
            </w:rPr>
          </w:pPr>
          <w:r w:rsidRPr="00A32147">
            <w:rPr>
              <w:sz w:val="24"/>
              <w:szCs w:val="24"/>
            </w:rPr>
            <w:t>Cameron and Green (2015) emphasise that change is not purely technical but fundamentally human, shaped by perceptions, culture and leadership. This is particularly relevant in large fulfilment environments where the workforce is diverse and often sceptical of top-down directives. Paton and McCalman (2008) argue that many change initiatives fail not due to flawed strategy but due to insufficient attention to the people dimension, a theme that is central to the CWL1 case.</w:t>
          </w:r>
        </w:p>
        <w:p w14:paraId="675F05A0" w14:textId="7C399EF2" w:rsidR="00A1742E" w:rsidRPr="00657308" w:rsidRDefault="00A1742E" w:rsidP="00A1742E">
          <w:pPr>
            <w:pStyle w:val="Heading2"/>
          </w:pPr>
          <w:bookmarkStart w:id="4" w:name="_Toc228470816"/>
          <w:r w:rsidRPr="00657308">
            <w:rPr>
              <w:rFonts w:ascii="Arial" w:hAnsi="Arial" w:cs="Arial"/>
              <w:sz w:val="24"/>
              <w:szCs w:val="24"/>
            </w:rPr>
            <w:t>O</w:t>
          </w:r>
          <w:r w:rsidRPr="00657308">
            <w:t>verview of the Change at CWL1</w:t>
          </w:r>
          <w:bookmarkEnd w:id="4"/>
        </w:p>
        <w:p w14:paraId="31CE3314" w14:textId="77777777" w:rsidR="00A32147" w:rsidRPr="00A32147" w:rsidRDefault="00A32147" w:rsidP="00A32147">
          <w:pPr>
            <w:pStyle w:val="BodyText"/>
            <w:rPr>
              <w:sz w:val="24"/>
              <w:szCs w:val="24"/>
            </w:rPr>
          </w:pPr>
          <w:r w:rsidRPr="00A32147">
            <w:rPr>
              <w:sz w:val="24"/>
              <w:szCs w:val="24"/>
            </w:rPr>
            <w:t>The change involved revising associate start times and break schedules across multiple departments. Historically, associates worked fixed shift patterns with long-established break times. The new approach introduced staggered start times to reduce congestion at entry points, improve throughput during peak periods and align break schedules with updated productivity targets.</w:t>
          </w:r>
        </w:p>
        <w:p w14:paraId="4E8A485A" w14:textId="77777777" w:rsidR="00A32147" w:rsidRPr="00A32147" w:rsidRDefault="00A32147" w:rsidP="00A32147">
          <w:pPr>
            <w:pStyle w:val="BodyText"/>
            <w:rPr>
              <w:sz w:val="24"/>
              <w:szCs w:val="24"/>
            </w:rPr>
          </w:pPr>
          <w:r w:rsidRPr="00A32147">
            <w:rPr>
              <w:sz w:val="24"/>
              <w:szCs w:val="24"/>
            </w:rPr>
            <w:t>The change was initiated following a review of operational data by Area and Operations Managers and was submitted for approval through Amazon's internal governance platform, approvals.amazon.com. This process required sign-off from senior leadership and input from HR and Legal to ensure compliance with employment legislation (Amazon Internal Operations, 2023). The Operations Manager led the business case development, while the HR Business Partner reviewed the proposal for compliance with employment contracts and working time regulations. Area Managers were tasked with coordinating the implementation across their respective departments, supported by Team Leaders who delivered the change at floor level.</w:t>
          </w:r>
        </w:p>
        <w:p w14:paraId="2A06867A" w14:textId="77777777" w:rsidR="00A32147" w:rsidRPr="00A32147" w:rsidRDefault="00A32147" w:rsidP="00A32147">
          <w:pPr>
            <w:pStyle w:val="BodyText"/>
            <w:rPr>
              <w:sz w:val="24"/>
              <w:szCs w:val="24"/>
            </w:rPr>
          </w:pPr>
          <w:r w:rsidRPr="00A32147">
            <w:rPr>
              <w:sz w:val="24"/>
              <w:szCs w:val="24"/>
            </w:rPr>
            <w:t>Although operationally justified, the implementation process involved limited associate consultation. Associates were informed through team briefings with relatively short notice. Many expressed concerns about childcare, transport and disruption to personal routines. Pulse survey data indicated a temporary decline in morale following implementation.</w:t>
          </w:r>
        </w:p>
        <w:p w14:paraId="5761D1BB" w14:textId="77777777" w:rsidR="00A32147" w:rsidRPr="00A32147" w:rsidRDefault="00A32147" w:rsidP="00A32147">
          <w:pPr>
            <w:pStyle w:val="BodyText"/>
            <w:rPr>
              <w:sz w:val="24"/>
              <w:szCs w:val="24"/>
            </w:rPr>
          </w:pPr>
          <w:r w:rsidRPr="00A32147">
            <w:rPr>
              <w:sz w:val="24"/>
              <w:szCs w:val="24"/>
            </w:rPr>
            <w:t xml:space="preserve">Dent and Goldberg (1999) argue that resistance is often a rational response to perceived threats, and Kotter (2024) suggests that resistance frequently signals unmet communication needs rather than fundamental opposition to change. Ford, Ford and D'Amelio (2008) further contend that resistance can highlight legitimate concerns that, if addressed, improve change outcomes. These perspectives are directly consistent </w:t>
          </w:r>
          <w:r w:rsidRPr="00A32147">
            <w:rPr>
              <w:sz w:val="24"/>
              <w:szCs w:val="24"/>
            </w:rPr>
            <w:lastRenderedPageBreak/>
            <w:t>with the associate response observed at CWL1, where resistance was rooted in practical concerns rather than opposition to the principle of change itself.</w:t>
          </w:r>
        </w:p>
        <w:p w14:paraId="5B06BC29" w14:textId="431D1B85" w:rsidR="00A1742E" w:rsidRPr="00657308" w:rsidRDefault="00A1742E" w:rsidP="00A1742E">
          <w:pPr>
            <w:pStyle w:val="Heading2"/>
            <w:rPr>
              <w:rFonts w:ascii="Arial" w:hAnsi="Arial" w:cs="Arial"/>
              <w:sz w:val="24"/>
              <w:szCs w:val="24"/>
            </w:rPr>
          </w:pPr>
          <w:bookmarkStart w:id="5" w:name="_Toc228470817"/>
          <w:r w:rsidRPr="00657308">
            <w:t>Lewin's Force Field Analysis Applied to CWL1</w:t>
          </w:r>
          <w:bookmarkEnd w:id="5"/>
        </w:p>
        <w:p w14:paraId="320B5092" w14:textId="7FB8B1ED" w:rsidR="00A32147" w:rsidRPr="00A32147" w:rsidRDefault="00A32147" w:rsidP="00A32147">
          <w:pPr>
            <w:pStyle w:val="BodyText"/>
            <w:rPr>
              <w:sz w:val="24"/>
              <w:szCs w:val="24"/>
            </w:rPr>
          </w:pPr>
          <w:r w:rsidRPr="00A32147">
            <w:rPr>
              <w:sz w:val="24"/>
              <w:szCs w:val="24"/>
            </w:rPr>
            <w:t>Lewin's Force Field Analysis (1951)</w:t>
          </w:r>
          <w:r w:rsidR="00B50B3C">
            <w:rPr>
              <w:sz w:val="24"/>
              <w:szCs w:val="24"/>
            </w:rPr>
            <w:t xml:space="preserve"> </w:t>
          </w:r>
          <w:r w:rsidR="00B50B3C" w:rsidRPr="00B50B3C">
            <w:rPr>
              <w:sz w:val="24"/>
              <w:szCs w:val="24"/>
            </w:rPr>
            <w:t>is a widely used diagnostic tool in change management that explains change as the interaction between driving forces that push it forward and resisting forces that hold it back</w:t>
          </w:r>
          <w:r w:rsidRPr="00A32147">
            <w:rPr>
              <w:sz w:val="24"/>
              <w:szCs w:val="24"/>
            </w:rPr>
            <w:t>.</w:t>
          </w:r>
          <w:r w:rsidR="00B50B3C">
            <w:rPr>
              <w:sz w:val="24"/>
              <w:szCs w:val="24"/>
            </w:rPr>
            <w:t xml:space="preserve"> </w:t>
          </w:r>
          <w:r w:rsidRPr="00A32147">
            <w:rPr>
              <w:sz w:val="24"/>
              <w:szCs w:val="24"/>
            </w:rPr>
            <w:t xml:space="preserve">The model enables change leaders to outline the driving forces for the change and any resistance the change may encounter, highlighting that for change to occur, the driving forces must outweigh the resisting forces, either by strengthening the former, weakening the latter, or both (Burnes, 2004). Whilst the model has been critiqued for its relative simplicity and its assumption of a stable equilibrium prior to change (Dawson, 2003), it remains a valuable practical tool for identifying and mapping the forces at play </w:t>
          </w:r>
          <w:r w:rsidR="0025223E" w:rsidRPr="00A32147">
            <w:rPr>
              <w:sz w:val="24"/>
              <w:szCs w:val="24"/>
            </w:rPr>
            <w:t>in each</w:t>
          </w:r>
          <w:r w:rsidRPr="00A32147">
            <w:rPr>
              <w:sz w:val="24"/>
              <w:szCs w:val="24"/>
            </w:rPr>
            <w:t xml:space="preserve"> change situation.</w:t>
          </w:r>
        </w:p>
        <w:p w14:paraId="1D1EBE9E" w14:textId="31C6D174" w:rsidR="00A1742E" w:rsidRPr="00657308" w:rsidRDefault="00A1742E" w:rsidP="00A1742E">
          <w:pPr>
            <w:pStyle w:val="Caption"/>
            <w:keepNext/>
            <w:rPr>
              <w:i w:val="0"/>
              <w:iCs w:val="0"/>
            </w:rPr>
          </w:pPr>
          <w:r w:rsidRPr="00657308">
            <w:rPr>
              <w:i w:val="0"/>
              <w:iCs w:val="0"/>
            </w:rPr>
            <w:t xml:space="preserve">Table </w:t>
          </w:r>
          <w:r w:rsidRPr="00657308">
            <w:rPr>
              <w:i w:val="0"/>
              <w:iCs w:val="0"/>
            </w:rPr>
            <w:fldChar w:fldCharType="begin"/>
          </w:r>
          <w:r w:rsidRPr="00657308">
            <w:rPr>
              <w:i w:val="0"/>
              <w:iCs w:val="0"/>
            </w:rPr>
            <w:instrText xml:space="preserve"> SEQ Table \* ARABIC </w:instrText>
          </w:r>
          <w:r w:rsidRPr="00657308">
            <w:rPr>
              <w:i w:val="0"/>
              <w:iCs w:val="0"/>
            </w:rPr>
            <w:fldChar w:fldCharType="separate"/>
          </w:r>
          <w:r w:rsidRPr="00657308">
            <w:rPr>
              <w:i w:val="0"/>
              <w:iCs w:val="0"/>
              <w:noProof/>
            </w:rPr>
            <w:t>1</w:t>
          </w:r>
          <w:r w:rsidRPr="00657308">
            <w:rPr>
              <w:i w:val="0"/>
              <w:iCs w:val="0"/>
            </w:rPr>
            <w:fldChar w:fldCharType="end"/>
          </w:r>
          <w:r w:rsidRPr="00657308">
            <w:rPr>
              <w:i w:val="0"/>
              <w:iCs w:val="0"/>
            </w:rPr>
            <w:t xml:space="preserve"> Lewin's Force Field Analysis – CWL1 Schedule Change</w:t>
          </w:r>
        </w:p>
        <w:tbl>
          <w:tblPr>
            <w:tblStyle w:val="TableGridLight"/>
            <w:tblW w:w="90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85"/>
            <w:gridCol w:w="4677"/>
          </w:tblGrid>
          <w:tr w:rsidR="00A1742E" w:rsidRPr="0025223E" w14:paraId="28591B95" w14:textId="77777777" w:rsidTr="00D01823">
            <w:trPr>
              <w:trHeight w:val="315"/>
            </w:trPr>
            <w:tc>
              <w:tcPr>
                <w:tcW w:w="4385" w:type="dxa"/>
                <w:hideMark/>
              </w:tcPr>
              <w:p w14:paraId="335D718E" w14:textId="77777777" w:rsidR="00A1742E" w:rsidRPr="0025223E" w:rsidRDefault="00A1742E" w:rsidP="00A1742E">
                <w:pPr>
                  <w:rPr>
                    <w:rFonts w:ascii="Arial" w:eastAsia="Times New Roman" w:hAnsi="Arial" w:cs="Arial"/>
                    <w:b/>
                    <w:bCs/>
                    <w:color w:val="000000"/>
                    <w:sz w:val="24"/>
                    <w:szCs w:val="24"/>
                    <w:lang w:eastAsia="en-GB"/>
                  </w:rPr>
                </w:pPr>
                <w:r w:rsidRPr="0025223E">
                  <w:rPr>
                    <w:rFonts w:ascii="Arial" w:eastAsia="Times New Roman" w:hAnsi="Arial" w:cs="Arial"/>
                    <w:b/>
                    <w:bCs/>
                    <w:sz w:val="24"/>
                    <w:szCs w:val="24"/>
                    <w:lang w:eastAsia="en-GB"/>
                  </w:rPr>
                  <w:t>Driving Forces</w:t>
                </w:r>
              </w:p>
            </w:tc>
            <w:tc>
              <w:tcPr>
                <w:tcW w:w="4677" w:type="dxa"/>
                <w:hideMark/>
              </w:tcPr>
              <w:p w14:paraId="22DA3612" w14:textId="77777777" w:rsidR="00A1742E" w:rsidRPr="0025223E" w:rsidRDefault="00A1742E" w:rsidP="00A1742E">
                <w:pPr>
                  <w:rPr>
                    <w:rFonts w:ascii="Arial" w:eastAsia="Times New Roman" w:hAnsi="Arial" w:cs="Arial"/>
                    <w:b/>
                    <w:bCs/>
                    <w:color w:val="000000"/>
                    <w:sz w:val="24"/>
                    <w:szCs w:val="24"/>
                    <w:lang w:eastAsia="en-GB"/>
                  </w:rPr>
                </w:pPr>
                <w:r w:rsidRPr="0025223E">
                  <w:rPr>
                    <w:rFonts w:ascii="Arial" w:eastAsia="Times New Roman" w:hAnsi="Arial" w:cs="Arial"/>
                    <w:b/>
                    <w:bCs/>
                    <w:sz w:val="24"/>
                    <w:szCs w:val="24"/>
                    <w:lang w:eastAsia="en-GB"/>
                  </w:rPr>
                  <w:t>Resisting Forces</w:t>
                </w:r>
              </w:p>
            </w:tc>
          </w:tr>
          <w:tr w:rsidR="00A1742E" w:rsidRPr="00657308" w14:paraId="7799F77C" w14:textId="77777777" w:rsidTr="00D01823">
            <w:trPr>
              <w:trHeight w:val="615"/>
            </w:trPr>
            <w:tc>
              <w:tcPr>
                <w:tcW w:w="4385" w:type="dxa"/>
                <w:hideMark/>
              </w:tcPr>
              <w:p w14:paraId="449B8E3C" w14:textId="77777777" w:rsidR="00A1742E" w:rsidRPr="00657308" w:rsidRDefault="00A1742E" w:rsidP="00A1742E">
                <w:pPr>
                  <w:rPr>
                    <w:rFonts w:ascii="Arial" w:eastAsia="Times New Roman" w:hAnsi="Arial" w:cs="Arial"/>
                    <w:sz w:val="24"/>
                    <w:szCs w:val="24"/>
                    <w:lang w:eastAsia="en-GB"/>
                  </w:rPr>
                </w:pPr>
                <w:r w:rsidRPr="00657308">
                  <w:rPr>
                    <w:rFonts w:ascii="Arial" w:eastAsia="Times New Roman" w:hAnsi="Arial" w:cs="Arial"/>
                    <w:sz w:val="24"/>
                    <w:szCs w:val="24"/>
                    <w:lang w:eastAsia="en-GB"/>
                  </w:rPr>
                  <w:t>Operational efficiency data supporting schedule revision</w:t>
                </w:r>
              </w:p>
              <w:p w14:paraId="7D83E673" w14:textId="77777777" w:rsidR="00E2043C" w:rsidRPr="00657308" w:rsidRDefault="00E2043C" w:rsidP="00A1742E">
                <w:pPr>
                  <w:rPr>
                    <w:rFonts w:ascii="Arial" w:eastAsia="Times New Roman" w:hAnsi="Arial" w:cs="Arial"/>
                    <w:color w:val="000000"/>
                    <w:sz w:val="24"/>
                    <w:szCs w:val="24"/>
                    <w:lang w:eastAsia="en-GB"/>
                  </w:rPr>
                </w:pPr>
              </w:p>
            </w:tc>
            <w:tc>
              <w:tcPr>
                <w:tcW w:w="4677" w:type="dxa"/>
                <w:hideMark/>
              </w:tcPr>
              <w:p w14:paraId="482CBEA1" w14:textId="77777777" w:rsidR="00A1742E" w:rsidRPr="00657308" w:rsidRDefault="00A1742E" w:rsidP="00A1742E">
                <w:pPr>
                  <w:rPr>
                    <w:rFonts w:ascii="Arial" w:eastAsia="Times New Roman" w:hAnsi="Arial" w:cs="Arial"/>
                    <w:color w:val="000000"/>
                    <w:sz w:val="24"/>
                    <w:szCs w:val="24"/>
                    <w:lang w:eastAsia="en-GB"/>
                  </w:rPr>
                </w:pPr>
                <w:r w:rsidRPr="00657308">
                  <w:rPr>
                    <w:rFonts w:ascii="Arial" w:eastAsia="Times New Roman" w:hAnsi="Arial" w:cs="Arial"/>
                    <w:sz w:val="24"/>
                    <w:szCs w:val="24"/>
                    <w:lang w:eastAsia="en-GB"/>
                  </w:rPr>
                  <w:t>Associate concerns over childcare and transport disruption</w:t>
                </w:r>
              </w:p>
            </w:tc>
          </w:tr>
          <w:tr w:rsidR="00A1742E" w:rsidRPr="00657308" w14:paraId="2C7FE551" w14:textId="77777777" w:rsidTr="00D01823">
            <w:trPr>
              <w:trHeight w:val="315"/>
            </w:trPr>
            <w:tc>
              <w:tcPr>
                <w:tcW w:w="4385" w:type="dxa"/>
                <w:hideMark/>
              </w:tcPr>
              <w:p w14:paraId="569547CB" w14:textId="5EE71B60" w:rsidR="00A1742E" w:rsidRPr="00657308" w:rsidRDefault="00A1742E" w:rsidP="00A1742E">
                <w:pPr>
                  <w:rPr>
                    <w:rFonts w:ascii="Arial" w:eastAsia="Times New Roman" w:hAnsi="Arial" w:cs="Arial"/>
                    <w:sz w:val="24"/>
                    <w:szCs w:val="24"/>
                    <w:lang w:eastAsia="en-GB"/>
                  </w:rPr>
                </w:pPr>
                <w:r w:rsidRPr="00657308">
                  <w:rPr>
                    <w:rFonts w:ascii="Arial" w:eastAsia="Times New Roman" w:hAnsi="Arial" w:cs="Arial"/>
                    <w:sz w:val="24"/>
                    <w:szCs w:val="24"/>
                    <w:lang w:eastAsia="en-GB"/>
                  </w:rPr>
                  <w:t>Alignment with Amazon network</w:t>
                </w:r>
                <w:r w:rsidR="00657308" w:rsidRPr="00657308">
                  <w:rPr>
                    <w:rFonts w:ascii="Arial" w:eastAsia="Times New Roman" w:hAnsi="Arial" w:cs="Arial"/>
                    <w:sz w:val="24"/>
                    <w:szCs w:val="24"/>
                    <w:lang w:eastAsia="en-GB"/>
                  </w:rPr>
                  <w:t xml:space="preserve"> </w:t>
                </w:r>
                <w:r w:rsidRPr="00657308">
                  <w:rPr>
                    <w:rFonts w:ascii="Arial" w:eastAsia="Times New Roman" w:hAnsi="Arial" w:cs="Arial"/>
                    <w:sz w:val="24"/>
                    <w:szCs w:val="24"/>
                    <w:lang w:eastAsia="en-GB"/>
                  </w:rPr>
                  <w:t>wide scheduling directives</w:t>
                </w:r>
              </w:p>
              <w:p w14:paraId="68B83772" w14:textId="77777777" w:rsidR="00E2043C" w:rsidRPr="00657308" w:rsidRDefault="00E2043C" w:rsidP="00A1742E">
                <w:pPr>
                  <w:rPr>
                    <w:rFonts w:ascii="Arial" w:eastAsia="Times New Roman" w:hAnsi="Arial" w:cs="Arial"/>
                    <w:color w:val="000000"/>
                    <w:sz w:val="24"/>
                    <w:szCs w:val="24"/>
                    <w:lang w:eastAsia="en-GB"/>
                  </w:rPr>
                </w:pPr>
              </w:p>
            </w:tc>
            <w:tc>
              <w:tcPr>
                <w:tcW w:w="4677" w:type="dxa"/>
                <w:hideMark/>
              </w:tcPr>
              <w:p w14:paraId="7E3403BA" w14:textId="77777777" w:rsidR="00A1742E" w:rsidRPr="00657308" w:rsidRDefault="00A1742E" w:rsidP="00A1742E">
                <w:pPr>
                  <w:rPr>
                    <w:rFonts w:ascii="Arial" w:eastAsia="Times New Roman" w:hAnsi="Arial" w:cs="Arial"/>
                    <w:color w:val="000000"/>
                    <w:sz w:val="24"/>
                    <w:szCs w:val="24"/>
                    <w:lang w:eastAsia="en-GB"/>
                  </w:rPr>
                </w:pPr>
                <w:r w:rsidRPr="00657308">
                  <w:rPr>
                    <w:rFonts w:ascii="Arial" w:eastAsia="Times New Roman" w:hAnsi="Arial" w:cs="Arial"/>
                    <w:sz w:val="24"/>
                    <w:szCs w:val="24"/>
                    <w:lang w:eastAsia="en-GB"/>
                  </w:rPr>
                  <w:t>Disruption to established personal routines</w:t>
                </w:r>
              </w:p>
            </w:tc>
          </w:tr>
          <w:tr w:rsidR="00A1742E" w:rsidRPr="00657308" w14:paraId="36C19201" w14:textId="77777777" w:rsidTr="00D01823">
            <w:trPr>
              <w:trHeight w:val="315"/>
            </w:trPr>
            <w:tc>
              <w:tcPr>
                <w:tcW w:w="4385" w:type="dxa"/>
                <w:hideMark/>
              </w:tcPr>
              <w:p w14:paraId="10E12ED9" w14:textId="7701C3A5" w:rsidR="00A1742E" w:rsidRPr="00657308" w:rsidRDefault="00A1742E" w:rsidP="00A1742E">
                <w:pPr>
                  <w:rPr>
                    <w:rFonts w:ascii="Arial" w:eastAsia="Times New Roman" w:hAnsi="Arial" w:cs="Arial"/>
                    <w:sz w:val="24"/>
                    <w:szCs w:val="24"/>
                    <w:lang w:eastAsia="en-GB"/>
                  </w:rPr>
                </w:pPr>
                <w:r w:rsidRPr="00657308">
                  <w:rPr>
                    <w:rFonts w:ascii="Arial" w:eastAsia="Times New Roman" w:hAnsi="Arial" w:cs="Arial"/>
                    <w:sz w:val="24"/>
                    <w:szCs w:val="24"/>
                    <w:lang w:eastAsia="en-GB"/>
                  </w:rPr>
                  <w:t xml:space="preserve">Approval and governance support via </w:t>
                </w:r>
                <w:hyperlink r:id="rId9" w:history="1">
                  <w:r w:rsidR="00E2043C" w:rsidRPr="00657308">
                    <w:rPr>
                      <w:rStyle w:val="Hyperlink"/>
                      <w:rFonts w:ascii="Arial" w:eastAsia="Times New Roman" w:hAnsi="Arial" w:cs="Arial"/>
                      <w:sz w:val="24"/>
                      <w:szCs w:val="24"/>
                      <w:lang w:eastAsia="en-GB"/>
                    </w:rPr>
                    <w:t>www.approvals.amazon.com</w:t>
                  </w:r>
                </w:hyperlink>
              </w:p>
              <w:p w14:paraId="418D19E2" w14:textId="1D39078E" w:rsidR="00E2043C" w:rsidRPr="00657308" w:rsidRDefault="00E2043C" w:rsidP="00A1742E">
                <w:pPr>
                  <w:rPr>
                    <w:rFonts w:ascii="Arial" w:eastAsia="Times New Roman" w:hAnsi="Arial" w:cs="Arial"/>
                    <w:color w:val="000000"/>
                    <w:sz w:val="24"/>
                    <w:szCs w:val="24"/>
                    <w:lang w:eastAsia="en-GB"/>
                  </w:rPr>
                </w:pPr>
              </w:p>
            </w:tc>
            <w:tc>
              <w:tcPr>
                <w:tcW w:w="4677" w:type="dxa"/>
                <w:hideMark/>
              </w:tcPr>
              <w:p w14:paraId="5D26DB8D" w14:textId="77777777" w:rsidR="00A1742E" w:rsidRPr="00657308" w:rsidRDefault="00A1742E" w:rsidP="00A1742E">
                <w:pPr>
                  <w:rPr>
                    <w:rFonts w:ascii="Arial" w:eastAsia="Times New Roman" w:hAnsi="Arial" w:cs="Arial"/>
                    <w:color w:val="000000"/>
                    <w:sz w:val="24"/>
                    <w:szCs w:val="24"/>
                    <w:lang w:eastAsia="en-GB"/>
                  </w:rPr>
                </w:pPr>
                <w:r w:rsidRPr="00657308">
                  <w:rPr>
                    <w:rFonts w:ascii="Arial" w:eastAsia="Times New Roman" w:hAnsi="Arial" w:cs="Arial"/>
                    <w:sz w:val="24"/>
                    <w:szCs w:val="24"/>
                    <w:lang w:eastAsia="en-GB"/>
                  </w:rPr>
                  <w:t>Limited prior consultation with associates</w:t>
                </w:r>
              </w:p>
            </w:tc>
          </w:tr>
          <w:tr w:rsidR="00A1742E" w:rsidRPr="00657308" w14:paraId="049AA369" w14:textId="77777777" w:rsidTr="00D01823">
            <w:trPr>
              <w:trHeight w:val="615"/>
            </w:trPr>
            <w:tc>
              <w:tcPr>
                <w:tcW w:w="4385" w:type="dxa"/>
                <w:hideMark/>
              </w:tcPr>
              <w:p w14:paraId="55396F00" w14:textId="77777777" w:rsidR="00A1742E" w:rsidRPr="00657308" w:rsidRDefault="00A1742E" w:rsidP="00A1742E">
                <w:pPr>
                  <w:rPr>
                    <w:rFonts w:ascii="Arial" w:eastAsia="Times New Roman" w:hAnsi="Arial" w:cs="Arial"/>
                    <w:sz w:val="24"/>
                    <w:szCs w:val="24"/>
                    <w:lang w:eastAsia="en-GB"/>
                  </w:rPr>
                </w:pPr>
                <w:r w:rsidRPr="00657308">
                  <w:rPr>
                    <w:rFonts w:ascii="Arial" w:eastAsia="Times New Roman" w:hAnsi="Arial" w:cs="Arial"/>
                    <w:sz w:val="24"/>
                    <w:szCs w:val="24"/>
                    <w:lang w:eastAsia="en-GB"/>
                  </w:rPr>
                  <w:t>Productivity benchmarking against comparable fulfilment sites</w:t>
                </w:r>
              </w:p>
              <w:p w14:paraId="3B0B0BC7" w14:textId="77777777" w:rsidR="00E2043C" w:rsidRPr="00657308" w:rsidRDefault="00E2043C" w:rsidP="00A1742E">
                <w:pPr>
                  <w:rPr>
                    <w:rFonts w:ascii="Arial" w:eastAsia="Times New Roman" w:hAnsi="Arial" w:cs="Arial"/>
                    <w:color w:val="000000"/>
                    <w:sz w:val="24"/>
                    <w:szCs w:val="24"/>
                    <w:lang w:eastAsia="en-GB"/>
                  </w:rPr>
                </w:pPr>
              </w:p>
            </w:tc>
            <w:tc>
              <w:tcPr>
                <w:tcW w:w="4677" w:type="dxa"/>
                <w:hideMark/>
              </w:tcPr>
              <w:p w14:paraId="31CF9BD9" w14:textId="77777777" w:rsidR="00A1742E" w:rsidRPr="00657308" w:rsidRDefault="00A1742E" w:rsidP="00A1742E">
                <w:pPr>
                  <w:rPr>
                    <w:rFonts w:ascii="Arial" w:eastAsia="Times New Roman" w:hAnsi="Arial" w:cs="Arial"/>
                    <w:color w:val="000000"/>
                    <w:sz w:val="24"/>
                    <w:szCs w:val="24"/>
                    <w:lang w:eastAsia="en-GB"/>
                  </w:rPr>
                </w:pPr>
                <w:r w:rsidRPr="00657308">
                  <w:rPr>
                    <w:rFonts w:ascii="Arial" w:eastAsia="Times New Roman" w:hAnsi="Arial" w:cs="Arial"/>
                    <w:sz w:val="24"/>
                    <w:szCs w:val="24"/>
                    <w:lang w:eastAsia="en-GB"/>
                  </w:rPr>
                  <w:t>Perceived lack of transparency from site leadership</w:t>
                </w:r>
              </w:p>
            </w:tc>
          </w:tr>
          <w:tr w:rsidR="00A1742E" w:rsidRPr="00657308" w14:paraId="35CE142E" w14:textId="77777777" w:rsidTr="00D01823">
            <w:trPr>
              <w:trHeight w:val="315"/>
            </w:trPr>
            <w:tc>
              <w:tcPr>
                <w:tcW w:w="4385" w:type="dxa"/>
                <w:hideMark/>
              </w:tcPr>
              <w:p w14:paraId="7D071883" w14:textId="77777777" w:rsidR="00A1742E" w:rsidRPr="00657308" w:rsidRDefault="00A1742E" w:rsidP="00A1742E">
                <w:pPr>
                  <w:rPr>
                    <w:rFonts w:ascii="Arial" w:eastAsia="Times New Roman" w:hAnsi="Arial" w:cs="Arial"/>
                    <w:sz w:val="24"/>
                    <w:szCs w:val="24"/>
                    <w:lang w:eastAsia="en-GB"/>
                  </w:rPr>
                </w:pPr>
                <w:r w:rsidRPr="00657308">
                  <w:rPr>
                    <w:rFonts w:ascii="Arial" w:eastAsia="Times New Roman" w:hAnsi="Arial" w:cs="Arial"/>
                    <w:sz w:val="24"/>
                    <w:szCs w:val="24"/>
                    <w:lang w:eastAsia="en-GB"/>
                  </w:rPr>
                  <w:t>Reduction of site entry congestion during peak periods</w:t>
                </w:r>
              </w:p>
              <w:p w14:paraId="3B7BA2E0" w14:textId="77777777" w:rsidR="00E2043C" w:rsidRPr="00657308" w:rsidRDefault="00E2043C" w:rsidP="00A1742E">
                <w:pPr>
                  <w:rPr>
                    <w:rFonts w:ascii="Arial" w:eastAsia="Times New Roman" w:hAnsi="Arial" w:cs="Arial"/>
                    <w:color w:val="000000"/>
                    <w:sz w:val="24"/>
                    <w:szCs w:val="24"/>
                    <w:lang w:eastAsia="en-GB"/>
                  </w:rPr>
                </w:pPr>
              </w:p>
            </w:tc>
            <w:tc>
              <w:tcPr>
                <w:tcW w:w="4677" w:type="dxa"/>
                <w:hideMark/>
              </w:tcPr>
              <w:p w14:paraId="112439E7" w14:textId="77777777" w:rsidR="00A1742E" w:rsidRPr="00657308" w:rsidRDefault="00A1742E" w:rsidP="00A1742E">
                <w:pPr>
                  <w:rPr>
                    <w:rFonts w:ascii="Arial" w:eastAsia="Times New Roman" w:hAnsi="Arial" w:cs="Arial"/>
                    <w:color w:val="000000"/>
                    <w:sz w:val="24"/>
                    <w:szCs w:val="24"/>
                    <w:lang w:eastAsia="en-GB"/>
                  </w:rPr>
                </w:pPr>
                <w:r w:rsidRPr="00657308">
                  <w:rPr>
                    <w:rFonts w:ascii="Arial" w:eastAsia="Times New Roman" w:hAnsi="Arial" w:cs="Arial"/>
                    <w:sz w:val="24"/>
                    <w:szCs w:val="24"/>
                    <w:lang w:eastAsia="en-GB"/>
                  </w:rPr>
                  <w:t>Short notice period for implementation</w:t>
                </w:r>
              </w:p>
            </w:tc>
          </w:tr>
          <w:tr w:rsidR="00E2043C" w:rsidRPr="00657308" w14:paraId="384AE8E2" w14:textId="77777777" w:rsidTr="00D01823">
            <w:trPr>
              <w:trHeight w:val="315"/>
            </w:trPr>
            <w:tc>
              <w:tcPr>
                <w:tcW w:w="4385" w:type="dxa"/>
                <w:hideMark/>
              </w:tcPr>
              <w:p w14:paraId="36E97DB0" w14:textId="7B4228B3" w:rsidR="00E2043C" w:rsidRPr="00657308" w:rsidRDefault="00E2043C" w:rsidP="00E2043C">
                <w:pPr>
                  <w:rPr>
                    <w:rFonts w:ascii="Arial" w:eastAsia="Arial" w:hAnsi="Arial" w:cs="Arial"/>
                    <w:sz w:val="24"/>
                    <w:szCs w:val="24"/>
                  </w:rPr>
                </w:pPr>
                <w:r w:rsidRPr="00657308">
                  <w:rPr>
                    <w:rFonts w:ascii="Arial" w:eastAsia="Arial" w:hAnsi="Arial" w:cs="Arial"/>
                    <w:sz w:val="24"/>
                    <w:szCs w:val="24"/>
                  </w:rPr>
                  <w:t>Support from senior site leadership and HR, including formal sign</w:t>
                </w:r>
                <w:r w:rsidR="00657308" w:rsidRPr="00657308">
                  <w:rPr>
                    <w:rFonts w:ascii="Arial" w:eastAsia="Arial" w:hAnsi="Arial" w:cs="Arial"/>
                    <w:sz w:val="24"/>
                    <w:szCs w:val="24"/>
                  </w:rPr>
                  <w:t xml:space="preserve"> </w:t>
                </w:r>
                <w:r w:rsidRPr="00657308">
                  <w:rPr>
                    <w:rFonts w:ascii="Arial" w:eastAsia="Arial" w:hAnsi="Arial" w:cs="Arial"/>
                    <w:sz w:val="24"/>
                    <w:szCs w:val="24"/>
                  </w:rPr>
                  <w:t>off from the Site General Manager and active endorsement from the HR Business Partner, who reviewed the proposal for contractual compliance and allocated resources to support the transition</w:t>
                </w:r>
              </w:p>
              <w:p w14:paraId="3DE90A91" w14:textId="62A1DBCA" w:rsidR="00E2043C" w:rsidRPr="00657308" w:rsidRDefault="00E2043C" w:rsidP="00E2043C">
                <w:pPr>
                  <w:rPr>
                    <w:rFonts w:ascii="Arial" w:eastAsia="Times New Roman" w:hAnsi="Arial" w:cs="Arial"/>
                    <w:color w:val="000000"/>
                    <w:sz w:val="24"/>
                    <w:szCs w:val="24"/>
                    <w:lang w:eastAsia="en-GB"/>
                  </w:rPr>
                </w:pPr>
              </w:p>
            </w:tc>
            <w:tc>
              <w:tcPr>
                <w:tcW w:w="4677" w:type="dxa"/>
                <w:hideMark/>
              </w:tcPr>
              <w:p w14:paraId="30473F0F" w14:textId="77777777" w:rsidR="00E2043C" w:rsidRPr="00657308" w:rsidRDefault="00E2043C" w:rsidP="00E2043C">
                <w:pPr>
                  <w:rPr>
                    <w:rFonts w:ascii="Arial" w:eastAsia="Times New Roman" w:hAnsi="Arial" w:cs="Arial"/>
                    <w:color w:val="000000"/>
                    <w:sz w:val="24"/>
                    <w:szCs w:val="24"/>
                    <w:lang w:eastAsia="en-GB"/>
                  </w:rPr>
                </w:pPr>
                <w:r w:rsidRPr="00657308">
                  <w:rPr>
                    <w:rFonts w:ascii="Arial" w:eastAsia="Times New Roman" w:hAnsi="Arial" w:cs="Arial"/>
                    <w:sz w:val="24"/>
                    <w:szCs w:val="24"/>
                    <w:lang w:eastAsia="en-GB"/>
                  </w:rPr>
                  <w:t>Concerns regarding contractual implications</w:t>
                </w:r>
              </w:p>
            </w:tc>
          </w:tr>
          <w:tr w:rsidR="00A1742E" w:rsidRPr="00657308" w14:paraId="1786D488" w14:textId="77777777" w:rsidTr="00D01823">
            <w:trPr>
              <w:trHeight w:val="615"/>
            </w:trPr>
            <w:tc>
              <w:tcPr>
                <w:tcW w:w="4385" w:type="dxa"/>
                <w:hideMark/>
              </w:tcPr>
              <w:p w14:paraId="0B5D0AE7" w14:textId="50224B3F" w:rsidR="00A1742E" w:rsidRPr="00657308" w:rsidRDefault="00E2043C" w:rsidP="00A1742E">
                <w:pPr>
                  <w:rPr>
                    <w:rFonts w:ascii="Arial" w:eastAsia="Arial" w:hAnsi="Arial" w:cs="Arial"/>
                    <w:sz w:val="24"/>
                    <w:szCs w:val="24"/>
                  </w:rPr>
                </w:pPr>
                <w:r w:rsidRPr="00657308">
                  <w:rPr>
                    <w:rFonts w:ascii="Arial" w:eastAsia="Arial" w:hAnsi="Arial" w:cs="Arial"/>
                    <w:sz w:val="24"/>
                    <w:szCs w:val="24"/>
                  </w:rPr>
                  <w:t>Potential for improved work</w:t>
                </w:r>
                <w:r w:rsidR="00657308" w:rsidRPr="00657308">
                  <w:rPr>
                    <w:rFonts w:ascii="Arial" w:eastAsia="Arial" w:hAnsi="Arial" w:cs="Arial"/>
                    <w:sz w:val="24"/>
                    <w:szCs w:val="24"/>
                  </w:rPr>
                  <w:t xml:space="preserve"> </w:t>
                </w:r>
                <w:r w:rsidRPr="00657308">
                  <w:rPr>
                    <w:rFonts w:ascii="Arial" w:eastAsia="Arial" w:hAnsi="Arial" w:cs="Arial"/>
                    <w:sz w:val="24"/>
                    <w:szCs w:val="24"/>
                  </w:rPr>
                  <w:t>life balance through staggered starts, achieved by reducing peak</w:t>
                </w:r>
                <w:r w:rsidR="00657308" w:rsidRPr="00657308">
                  <w:rPr>
                    <w:rFonts w:ascii="Arial" w:eastAsia="Arial" w:hAnsi="Arial" w:cs="Arial"/>
                    <w:sz w:val="24"/>
                    <w:szCs w:val="24"/>
                  </w:rPr>
                  <w:t xml:space="preserve"> </w:t>
                </w:r>
                <w:r w:rsidRPr="00657308">
                  <w:rPr>
                    <w:rFonts w:ascii="Arial" w:eastAsia="Arial" w:hAnsi="Arial" w:cs="Arial"/>
                    <w:sz w:val="24"/>
                    <w:szCs w:val="24"/>
                  </w:rPr>
                  <w:t>hour congestion at site entry points and distributing break periods more evenly across the shift</w:t>
                </w:r>
              </w:p>
              <w:p w14:paraId="2CD4F60D" w14:textId="685490B2" w:rsidR="00E2043C" w:rsidRPr="00657308" w:rsidRDefault="00E2043C" w:rsidP="00A1742E">
                <w:pPr>
                  <w:rPr>
                    <w:rFonts w:ascii="Arial" w:eastAsia="Times New Roman" w:hAnsi="Arial" w:cs="Arial"/>
                    <w:color w:val="000000"/>
                    <w:sz w:val="24"/>
                    <w:szCs w:val="24"/>
                    <w:lang w:eastAsia="en-GB"/>
                  </w:rPr>
                </w:pPr>
              </w:p>
            </w:tc>
            <w:tc>
              <w:tcPr>
                <w:tcW w:w="4677" w:type="dxa"/>
                <w:hideMark/>
              </w:tcPr>
              <w:p w14:paraId="00F0234C" w14:textId="77777777" w:rsidR="00A1742E" w:rsidRPr="00657308" w:rsidRDefault="00A1742E" w:rsidP="00A1742E">
                <w:pPr>
                  <w:rPr>
                    <w:rFonts w:ascii="Arial" w:eastAsia="Times New Roman" w:hAnsi="Arial" w:cs="Arial"/>
                    <w:color w:val="000000"/>
                    <w:sz w:val="24"/>
                    <w:szCs w:val="24"/>
                    <w:lang w:eastAsia="en-GB"/>
                  </w:rPr>
                </w:pPr>
                <w:r w:rsidRPr="00657308">
                  <w:rPr>
                    <w:rFonts w:ascii="Arial" w:eastAsia="Times New Roman" w:hAnsi="Arial" w:cs="Arial"/>
                    <w:sz w:val="24"/>
                    <w:szCs w:val="24"/>
                    <w:lang w:eastAsia="en-GB"/>
                  </w:rPr>
                  <w:t>Low trust in management intentions among some associate cohorts</w:t>
                </w:r>
              </w:p>
            </w:tc>
          </w:tr>
        </w:tbl>
        <w:p w14:paraId="43654C78" w14:textId="77777777" w:rsidR="00D01823" w:rsidRPr="00657308" w:rsidRDefault="00D01823" w:rsidP="00E2043C">
          <w:pPr>
            <w:pStyle w:val="BodyText"/>
          </w:pPr>
        </w:p>
        <w:p w14:paraId="11FB705A" w14:textId="1F79D19A" w:rsidR="00A32147" w:rsidRPr="00A32147" w:rsidRDefault="00A32147" w:rsidP="00A32147">
          <w:pPr>
            <w:pStyle w:val="BodyText"/>
            <w:rPr>
              <w:sz w:val="24"/>
              <w:szCs w:val="24"/>
            </w:rPr>
          </w:pPr>
          <w:r w:rsidRPr="00A32147">
            <w:rPr>
              <w:sz w:val="24"/>
              <w:szCs w:val="24"/>
            </w:rPr>
            <w:t xml:space="preserve">The driving forces at CWL1 were substantial and well-evidenced. The operational data clearly supported the need for revised scheduling, and the formal approval process through approvals.amazon.com provided a structured governance framework that lent legitimacy to the change. Senior leadership alignment and HR involvement further strengthened the driving forces through formal sign-off from the Site General Manager, </w:t>
          </w:r>
          <w:r w:rsidRPr="00A32147">
            <w:rPr>
              <w:sz w:val="24"/>
              <w:szCs w:val="24"/>
            </w:rPr>
            <w:lastRenderedPageBreak/>
            <w:t>active policy endorsement from the HR Business Partner, and the allocation of management resource to oversee the transition. However, the resisting forces were equally significant, rooted primarily in the personal and practical concerns of associates rather than opposition to the principle of change itself. This distinction is important: the resistance was not ideological but practical and could therefore have been substantially reduced through more effective communication and consultation.</w:t>
          </w:r>
        </w:p>
        <w:p w14:paraId="2159417D" w14:textId="6F020DBA" w:rsidR="008F1881" w:rsidRPr="008F1881" w:rsidRDefault="00A32147" w:rsidP="008F1881">
          <w:pPr>
            <w:pStyle w:val="BodyText"/>
            <w:rPr>
              <w:sz w:val="24"/>
              <w:szCs w:val="24"/>
            </w:rPr>
          </w:pPr>
          <w:r w:rsidRPr="00A32147">
            <w:rPr>
              <w:sz w:val="24"/>
              <w:szCs w:val="24"/>
            </w:rPr>
            <w:t>Lewin (1951) argued that it is generally more effective to reduce resisting forces than to increase driving forces, as the latter approach can generate additional tension and conflict. This insight is directly applicable to the CWL1 case, where a more consultative approach to implementation, involving associates in the design of the new schedules, providing adequate notice, and offering practical support for those affected by transport or childcare challenges, could have significantly reduced resistance without compromising the operational objectives of the change</w:t>
          </w:r>
          <w:r>
            <w:rPr>
              <w:sz w:val="24"/>
              <w:szCs w:val="24"/>
            </w:rPr>
            <w:t>.</w:t>
          </w:r>
        </w:p>
        <w:p w14:paraId="37B4FAA5" w14:textId="4D2C059B" w:rsidR="00A1742E" w:rsidRPr="00657308" w:rsidRDefault="00A1742E" w:rsidP="00A1742E">
          <w:pPr>
            <w:pStyle w:val="Heading2"/>
          </w:pPr>
          <w:bookmarkStart w:id="6" w:name="_Toc228470818"/>
          <w:r w:rsidRPr="00657308">
            <w:t>Lewin's Three-Step Change Model – Recommendations</w:t>
          </w:r>
          <w:bookmarkEnd w:id="6"/>
        </w:p>
        <w:p w14:paraId="2D9A04C5" w14:textId="1C59F41A" w:rsidR="00A32147" w:rsidRPr="00A32147" w:rsidRDefault="00A32147" w:rsidP="00A32147">
          <w:pPr>
            <w:pStyle w:val="BodyText"/>
            <w:rPr>
              <w:sz w:val="24"/>
              <w:szCs w:val="24"/>
            </w:rPr>
          </w:pPr>
          <w:r w:rsidRPr="00A32147">
            <w:rPr>
              <w:sz w:val="24"/>
              <w:szCs w:val="24"/>
            </w:rPr>
            <w:t xml:space="preserve">Lewin's Three-Step Model (1951) proposes that successful change requires three sequential stages: Unfreezing the current state, </w:t>
          </w:r>
          <w:r w:rsidR="0025223E" w:rsidRPr="00A32147">
            <w:rPr>
              <w:sz w:val="24"/>
              <w:szCs w:val="24"/>
            </w:rPr>
            <w:t>moving</w:t>
          </w:r>
          <w:r w:rsidRPr="00A32147">
            <w:rPr>
              <w:sz w:val="24"/>
              <w:szCs w:val="24"/>
            </w:rPr>
            <w:t xml:space="preserve"> to the new state, and </w:t>
          </w:r>
          <w:r w:rsidR="0025223E">
            <w:rPr>
              <w:sz w:val="24"/>
              <w:szCs w:val="24"/>
            </w:rPr>
            <w:t>re</w:t>
          </w:r>
          <w:r w:rsidRPr="00A32147">
            <w:rPr>
              <w:sz w:val="24"/>
              <w:szCs w:val="24"/>
            </w:rPr>
            <w:t xml:space="preserve">freezing the new state to embed it within the organisation. Schein (1996) elaborated on this model, arguing that the unfreezing stage is the most psychologically complex, as it requires individuals to relinquish established habits, beliefs and behaviours. Cummings, Bridgman and Brown (2016) have critiqued the model for its linearity and its implicit assumption that change is a discrete, bounded event rather than a continuous process. Nevertheless, the model provides a practical and accessible framework for structuring change recommendations. Kotter (2012) developed a more comprehensive interpretation of this process through his </w:t>
          </w:r>
          <w:proofErr w:type="gramStart"/>
          <w:r w:rsidR="0025223E">
            <w:rPr>
              <w:sz w:val="24"/>
              <w:szCs w:val="24"/>
            </w:rPr>
            <w:t>e</w:t>
          </w:r>
          <w:r w:rsidRPr="00A32147">
            <w:rPr>
              <w:sz w:val="24"/>
              <w:szCs w:val="24"/>
            </w:rPr>
            <w:t>ight</w:t>
          </w:r>
          <w:r w:rsidR="0025223E">
            <w:rPr>
              <w:sz w:val="24"/>
              <w:szCs w:val="24"/>
            </w:rPr>
            <w:t xml:space="preserve"> s</w:t>
          </w:r>
          <w:r w:rsidRPr="00A32147">
            <w:rPr>
              <w:sz w:val="24"/>
              <w:szCs w:val="24"/>
            </w:rPr>
            <w:t>tep</w:t>
          </w:r>
          <w:proofErr w:type="gramEnd"/>
          <w:r w:rsidRPr="00A32147">
            <w:rPr>
              <w:sz w:val="24"/>
              <w:szCs w:val="24"/>
            </w:rPr>
            <w:t xml:space="preserve"> </w:t>
          </w:r>
          <w:r w:rsidR="0025223E">
            <w:rPr>
              <w:sz w:val="24"/>
              <w:szCs w:val="24"/>
            </w:rPr>
            <w:t>m</w:t>
          </w:r>
          <w:r w:rsidRPr="00A32147">
            <w:rPr>
              <w:sz w:val="24"/>
              <w:szCs w:val="24"/>
            </w:rPr>
            <w:t>odel, which outlines in greater depth the specific leadership actions required at each stage of change. The two frameworks are therefore complementary, and both are applied here to generate recommendations for future change initiatives at CWL1.</w:t>
          </w:r>
        </w:p>
        <w:p w14:paraId="1310CE6A" w14:textId="44C6B68C" w:rsidR="00A1742E" w:rsidRPr="00657308" w:rsidRDefault="00A1742E" w:rsidP="00A1742E">
          <w:pPr>
            <w:pStyle w:val="Heading3"/>
          </w:pPr>
          <w:bookmarkStart w:id="7" w:name="_Toc228470819"/>
          <w:r w:rsidRPr="00657308">
            <w:t>Unfreezing at CWL1</w:t>
          </w:r>
          <w:bookmarkEnd w:id="7"/>
        </w:p>
        <w:p w14:paraId="6E69B06A" w14:textId="77777777" w:rsidR="00A32147" w:rsidRPr="00A32147" w:rsidRDefault="00A32147" w:rsidP="00A32147">
          <w:pPr>
            <w:pStyle w:val="BodyText"/>
            <w:rPr>
              <w:sz w:val="24"/>
              <w:szCs w:val="24"/>
            </w:rPr>
          </w:pPr>
          <w:r w:rsidRPr="00A32147">
            <w:rPr>
              <w:sz w:val="24"/>
              <w:szCs w:val="24"/>
            </w:rPr>
            <w:t>The unfreezing stage at CWL1 was insufficiently managed. Effective unfreezing requires creating a psychological readiness for change by communicating the rationale clearly, addressing concerns proactively and building a shared understanding of why the current state is no longer sustainable (Schein, 1996). This aligns with Kotter's (2012) first three steps: creating a sense of urgency, building a guiding coalition, and forming a strategic vision. At CWL1, each of these steps was underdeveloped in relation to the associate population. Whilst the Operations Manager and Area Managers communicated the operational rationale effectively to management-level stakeholders, this urgency was not cascaded meaningfully to associates on the floor. Team briefings were conducted with relatively short notice and were largely one-directional, providing associates with little opportunity to ask questions, raise concerns or understand the reasoning behind the change.</w:t>
          </w:r>
        </w:p>
        <w:p w14:paraId="67A1B962" w14:textId="77777777" w:rsidR="00A32147" w:rsidRPr="00A32147" w:rsidRDefault="00A32147" w:rsidP="00A32147">
          <w:pPr>
            <w:pStyle w:val="BodyText"/>
            <w:rPr>
              <w:sz w:val="24"/>
              <w:szCs w:val="24"/>
            </w:rPr>
          </w:pPr>
          <w:r w:rsidRPr="00A32147">
            <w:rPr>
              <w:sz w:val="24"/>
              <w:szCs w:val="24"/>
            </w:rPr>
            <w:t xml:space="preserve">The guiding coalition at CWL1 was similarly limited in scope. Although the HR Business Partner and senior site leadership were involved in the formal approval </w:t>
          </w:r>
          <w:r w:rsidRPr="00A32147">
            <w:rPr>
              <w:sz w:val="24"/>
              <w:szCs w:val="24"/>
            </w:rPr>
            <w:lastRenderedPageBreak/>
            <w:t>process through approvals.amazon.com, associate representatives were absent from this coalition. Kotter (2012) argues that a guiding coalition must include individuals with sufficient authority, credibility and diversity of perspective to drive change effectively. The exclusion of associate voices from this coalition meant that the practical concerns of the workforce, relating to childcare, transport and personal routines, were not identified or addressed until resistance had already emerged.</w:t>
          </w:r>
        </w:p>
        <w:p w14:paraId="4251CD94" w14:textId="77777777" w:rsidR="00A32147" w:rsidRPr="00A32147" w:rsidRDefault="00A32147" w:rsidP="00A32147">
          <w:pPr>
            <w:pStyle w:val="BodyText"/>
            <w:rPr>
              <w:sz w:val="24"/>
              <w:szCs w:val="24"/>
            </w:rPr>
          </w:pPr>
          <w:r w:rsidRPr="00A32147">
            <w:rPr>
              <w:sz w:val="24"/>
              <w:szCs w:val="24"/>
            </w:rPr>
            <w:t>The strategic vision for the change was articulated clearly at a managerial level but was not translated into language or formats that resonated with associates. Ford, Ford and D'Amelio (2008) argue that resistance to change frequently reflects a failure of communication rather than opposition to the change itself, a finding that is directly applicable to the CWL1 experience. A more effective approach to unfreezing would have involved earlier communication of the operational data underpinning the change, structured consultation sessions facilitated by Area Managers and Team Leaders with associate representatives, and the use of Amazon's internal feedback tools to gauge associate concerns before finalising the new schedules. The approvals.amazon.com platform could have been leveraged not only as a governance tool but as a transparency mechanism, with relevant elements of the approval documentation shared with associates to demonstrate the rigour and legitimacy of the decision-making process.</w:t>
          </w:r>
        </w:p>
        <w:p w14:paraId="4F2D712F" w14:textId="6EA0EA0B" w:rsidR="00A1742E" w:rsidRPr="00657308" w:rsidRDefault="00A1742E" w:rsidP="00A1742E">
          <w:pPr>
            <w:pStyle w:val="Heading3"/>
          </w:pPr>
          <w:bookmarkStart w:id="8" w:name="_Toc228470820"/>
          <w:r w:rsidRPr="00657308">
            <w:t>Moving at CWL1</w:t>
          </w:r>
          <w:bookmarkEnd w:id="8"/>
        </w:p>
        <w:p w14:paraId="50A9E9E3" w14:textId="77777777" w:rsidR="00A32147" w:rsidRPr="00A32147" w:rsidRDefault="00A32147" w:rsidP="00A32147">
          <w:pPr>
            <w:pStyle w:val="BodyText"/>
            <w:rPr>
              <w:sz w:val="24"/>
              <w:szCs w:val="24"/>
            </w:rPr>
          </w:pPr>
          <w:r w:rsidRPr="00A32147">
            <w:rPr>
              <w:sz w:val="24"/>
              <w:szCs w:val="24"/>
            </w:rPr>
            <w:t>The movement stage, the actual implementation of the new schedules, corresponds to Kotter's (2012) Steps Four to Six: communicating the vision, removing obstacles, and generating short-term wins. At CWL1, this stage was executed with insufficient support infrastructure across each of these dimensions. Communication during the implementation phase remained largely top-down and single-channel, delivered primarily through team briefings conducted by Area Managers. Whilst these briefings ensured that associates were formally informed of the changes, they did not constitute genuine two-way communication and provided limited opportunity for associates to raise individual concerns or receive tailored support.</w:t>
          </w:r>
        </w:p>
        <w:p w14:paraId="217E991C" w14:textId="77777777" w:rsidR="00A32147" w:rsidRPr="00A32147" w:rsidRDefault="00A32147" w:rsidP="00A32147">
          <w:pPr>
            <w:pStyle w:val="BodyText"/>
            <w:rPr>
              <w:sz w:val="24"/>
              <w:szCs w:val="24"/>
            </w:rPr>
          </w:pPr>
          <w:r w:rsidRPr="00A32147">
            <w:rPr>
              <w:sz w:val="24"/>
              <w:szCs w:val="24"/>
            </w:rPr>
            <w:t>The role of management during this stage was mixed. Area Managers and Team Leaders were responsible for delivering the change on the ground and, in some cases, demonstrated flexibility by accommodating individual associate concerns on an informal basis. However, the absence of a structured support framework meant that the quality of management engagement varied considerably across departments. Some associates reported feeling that their concerns were dismissed or minimised, which compounded the sense of dissatisfaction captured in the site's pulse survey data. Mullins (2016) notes that the relationship between employees and their line managers is one of the most significant determinants of engagement during periods of change, and the inconsistency of management support at CWL1 therefore represented a meaningful obstacle to successful implementation.</w:t>
          </w:r>
        </w:p>
        <w:p w14:paraId="10C49361" w14:textId="5B16C5A7" w:rsidR="00A32147" w:rsidRPr="00A32147" w:rsidRDefault="00A32147" w:rsidP="00A32147">
          <w:pPr>
            <w:pStyle w:val="BodyText"/>
            <w:rPr>
              <w:sz w:val="24"/>
              <w:szCs w:val="24"/>
            </w:rPr>
          </w:pPr>
          <w:r w:rsidRPr="00A32147">
            <w:rPr>
              <w:sz w:val="24"/>
              <w:szCs w:val="24"/>
            </w:rPr>
            <w:t xml:space="preserve">No formal change agent network was established at CWL1 during the implementation phase, which represented a missed opportunity. Change agents, individuals who act </w:t>
          </w:r>
          <w:r w:rsidRPr="00A32147">
            <w:rPr>
              <w:sz w:val="24"/>
              <w:szCs w:val="24"/>
            </w:rPr>
            <w:lastRenderedPageBreak/>
            <w:t xml:space="preserve">as bridges between management and the broader workforce, helping colleagues to understand, accept and adapt to change, have been identified as a critical success factor in large-scale change initiatives (Cameron and Green, 2015). In their absence, informal peer influence filled the void, and in some </w:t>
          </w:r>
          <w:r w:rsidR="0025223E" w:rsidRPr="00A32147">
            <w:rPr>
              <w:sz w:val="24"/>
              <w:szCs w:val="24"/>
            </w:rPr>
            <w:t>cases,</w:t>
          </w:r>
          <w:r w:rsidRPr="00A32147">
            <w:rPr>
              <w:sz w:val="24"/>
              <w:szCs w:val="24"/>
            </w:rPr>
            <w:t xml:space="preserve"> this took the form of negative sentiment spreading among associate cohorts, amplifying resistance rather than reducing it. The appointment of Change Champions drawn from experienced and respected associates within each department would have enabled peer-to-peer support, provided a credible channel for communicating the rationale for the change, and created a mechanism for relaying associate concerns to management in real time.</w:t>
          </w:r>
        </w:p>
        <w:p w14:paraId="6056994C" w14:textId="77777777" w:rsidR="00A32147" w:rsidRPr="00A32147" w:rsidRDefault="00A32147" w:rsidP="00A32147">
          <w:pPr>
            <w:pStyle w:val="BodyText"/>
            <w:rPr>
              <w:sz w:val="24"/>
              <w:szCs w:val="24"/>
            </w:rPr>
          </w:pPr>
          <w:r w:rsidRPr="00A32147">
            <w:rPr>
              <w:sz w:val="24"/>
              <w:szCs w:val="24"/>
            </w:rPr>
            <w:t>Recommendations for the movement stage of future change initiatives at CWL1 therefore include: the appointment of formal Change Champions at team level prior to implementation; a phased rollout beginning with a pilot department to allow for iterative learning before site-wide implementation; clear, multi-channel communication delivered through digital noticeboards, team briefings and one-to-one conversations for associates with specific concerns; and the removal of practical obstacles, such as providing information about alternative transport options or signposting available support for associates with childcare responsibilities, to reduce the personal burden of the change on individual associates. Kotter (2012) emphasises that generating visible short-term wins during the movement stage is essential for maintaining momentum and building confidence in the change process. At CWL1, this could have taken the form of early recognition of departments or associates who adapted positively to the new schedules, with successes communicated site-wide to build a positive narrative around the change.</w:t>
          </w:r>
        </w:p>
        <w:p w14:paraId="7C7F46FD" w14:textId="79785E6B" w:rsidR="00A1742E" w:rsidRPr="00657308" w:rsidRDefault="00A1742E" w:rsidP="00A1742E">
          <w:pPr>
            <w:pStyle w:val="Heading3"/>
          </w:pPr>
          <w:bookmarkStart w:id="9" w:name="_Toc228470821"/>
          <w:r w:rsidRPr="00657308">
            <w:t>Refreezing at CWL1</w:t>
          </w:r>
          <w:bookmarkEnd w:id="9"/>
        </w:p>
        <w:p w14:paraId="189B3952" w14:textId="0CE2F63E" w:rsidR="00A32147" w:rsidRPr="00A32147" w:rsidRDefault="00A32147" w:rsidP="00A32147">
          <w:pPr>
            <w:pStyle w:val="BodyText"/>
            <w:rPr>
              <w:sz w:val="24"/>
              <w:szCs w:val="24"/>
            </w:rPr>
          </w:pPr>
          <w:r w:rsidRPr="00A32147">
            <w:rPr>
              <w:sz w:val="24"/>
              <w:szCs w:val="24"/>
            </w:rPr>
            <w:t>The refreezing stage involves embedding the new arrangements within the organisational culture and ensuring that the change is sustained over time (Lewin, 1951). This corresponds to Kotter's (2012) Steps Seven and Eight: sustaining acceleration and anchoring the change within the organisation's culture and systems. At CWL1, this stage was relatively well-managed in comparison to the preceding stages, as the new schedules gradually became normalised over time and productivity metrics improved, suggesting that the operational objectives of the change were ultimately achieved. However, the refreezing process was prolonged by the resistance and dissatisfaction generated during the earlier stages and could have been accelerated and strengthened through more deliberate management action.</w:t>
          </w:r>
        </w:p>
        <w:p w14:paraId="15F2AB39" w14:textId="77777777" w:rsidR="00A32147" w:rsidRPr="00A32147" w:rsidRDefault="00A32147" w:rsidP="00A32147">
          <w:pPr>
            <w:pStyle w:val="BodyText"/>
            <w:rPr>
              <w:sz w:val="24"/>
              <w:szCs w:val="24"/>
            </w:rPr>
          </w:pPr>
          <w:r w:rsidRPr="00A32147">
            <w:rPr>
              <w:sz w:val="24"/>
              <w:szCs w:val="24"/>
            </w:rPr>
            <w:t xml:space="preserve">Senior site leadership played an important role in the refreezing stage by maintaining commitment to the new schedules and resisting pressure to revert to previous arrangements. This consistency of leadership stance was important in signalling that the change was permanent and that associates should direct their energy towards adaptation rather than resistance. However, leadership could have gone further by formally recognising and rewarding associates who demonstrated flexibility and adaptability during the transition, thereby reinforcing the behaviours and attitudes required for successful refreezing (Kotter, 2012). Armstrong (2014) argues that </w:t>
          </w:r>
          <w:r w:rsidRPr="00A32147">
            <w:rPr>
              <w:sz w:val="24"/>
              <w:szCs w:val="24"/>
            </w:rPr>
            <w:lastRenderedPageBreak/>
            <w:t>recognition is one of the most cost-effective tools available to managers for sustaining behavioural change, and its absence at CWL1 represented a missed opportunity to accelerate the normalisation of the new arrangements.</w:t>
          </w:r>
        </w:p>
        <w:p w14:paraId="199F7889" w14:textId="388E0579" w:rsidR="00A32147" w:rsidRPr="00A32147" w:rsidRDefault="00A32147" w:rsidP="00A32147">
          <w:pPr>
            <w:pStyle w:val="BodyText"/>
            <w:rPr>
              <w:sz w:val="24"/>
              <w:szCs w:val="24"/>
            </w:rPr>
          </w:pPr>
          <w:r w:rsidRPr="00A32147">
            <w:rPr>
              <w:sz w:val="24"/>
              <w:szCs w:val="24"/>
            </w:rPr>
            <w:t xml:space="preserve">The refreezing process could further have been strengthened through the incorporation of the new scheduling principles into onboarding materials for new starters, ensuring that incoming associates were introduced to the arrangements as standard practice rather than as a recent change. Regular review meetings involving Area Managers, Team Leaders and associate representatives would have provided a structured mechanism for assessing the ongoing effectiveness of the new arrangements, identifying residual concerns, and </w:t>
          </w:r>
          <w:r w:rsidR="0025223E" w:rsidRPr="00A32147">
            <w:rPr>
              <w:sz w:val="24"/>
              <w:szCs w:val="24"/>
            </w:rPr>
            <w:t>adjusting</w:t>
          </w:r>
          <w:r w:rsidRPr="00A32147">
            <w:rPr>
              <w:sz w:val="24"/>
              <w:szCs w:val="24"/>
            </w:rPr>
            <w:t xml:space="preserve"> where necessary. Cummings, Bridgman and Brown (2016) caution that treating refreezing as a definitive endpoint risks creating organisational rigidity and recommend instead that organisations cultivate a culture of ongoing review and adaptation. This perspective is particularly relevant to the CWL1 context, where operational demands evolve continuously and scheduling arrangements may require periodic revision in response to changing business needs.</w:t>
          </w:r>
        </w:p>
        <w:p w14:paraId="20E8741A" w14:textId="77777777" w:rsidR="00A1742E" w:rsidRPr="00657308" w:rsidRDefault="00A1742E" w:rsidP="00A1742E">
          <w:pPr>
            <w:pStyle w:val="Heading2"/>
          </w:pPr>
          <w:bookmarkStart w:id="10" w:name="_Toc228470822"/>
          <w:r w:rsidRPr="00657308">
            <w:t>Employee Motivation During Change – Herzberg's Two-Factor Theory</w:t>
          </w:r>
          <w:bookmarkEnd w:id="10"/>
        </w:p>
        <w:p w14:paraId="09D45D02" w14:textId="6CD307B9" w:rsidR="00A32147" w:rsidRPr="00A32147" w:rsidRDefault="00A32147" w:rsidP="00A32147">
          <w:pPr>
            <w:pStyle w:val="BodyText"/>
            <w:rPr>
              <w:sz w:val="24"/>
              <w:szCs w:val="24"/>
            </w:rPr>
          </w:pPr>
          <w:r w:rsidRPr="00A32147">
            <w:rPr>
              <w:sz w:val="24"/>
              <w:szCs w:val="24"/>
            </w:rPr>
            <w:t xml:space="preserve">The motivational impact of the schedule change at CWL1 can be effectively analysed through the lens of Herzberg's Two-Factor Theory (1959), which distinguishes between hygiene factors, extrinsic conditions whose absence causes </w:t>
          </w:r>
          <w:r w:rsidR="0025223E" w:rsidRPr="00A32147">
            <w:rPr>
              <w:sz w:val="24"/>
              <w:szCs w:val="24"/>
            </w:rPr>
            <w:t>dissatisfaction,</w:t>
          </w:r>
          <w:r w:rsidRPr="00A32147">
            <w:rPr>
              <w:sz w:val="24"/>
              <w:szCs w:val="24"/>
            </w:rPr>
            <w:t xml:space="preserve"> but whose presence does not in itself generate motivation, and motivators, intrinsic factors that actively drive engagement and job satisfaction. Mullins (2016) notes that Herzberg's framework remains highly relevant to contemporary workplace management, particularly in environments characterised by repetitive, process-driven work such as fulfilment centre operations.</w:t>
          </w:r>
        </w:p>
        <w:p w14:paraId="3300D1F8" w14:textId="77777777" w:rsidR="00A32147" w:rsidRPr="00A32147" w:rsidRDefault="00A32147" w:rsidP="00A32147">
          <w:pPr>
            <w:pStyle w:val="BodyText"/>
            <w:rPr>
              <w:sz w:val="24"/>
              <w:szCs w:val="24"/>
            </w:rPr>
          </w:pPr>
          <w:r w:rsidRPr="00A32147">
            <w:rPr>
              <w:sz w:val="24"/>
              <w:szCs w:val="24"/>
            </w:rPr>
            <w:t>The restructuring of start times and break schedules at CWL1 primarily affected hygiene factors, including working conditions, company policy, and the relationship between associates and their supervisors. Herzberg (1959) argued that deterioration in hygiene factors generates active dissatisfaction, which is consistent with the associate reactions observed at CWL1. The short notice period, limited consultation, and perceived lack of transparency all contributed to a deterioration in the hygiene factor of company policy and administration, triggering the dissatisfaction and resistance documented in the site's pulse survey data.</w:t>
          </w:r>
        </w:p>
        <w:p w14:paraId="4183F26E" w14:textId="77777777" w:rsidR="00A32147" w:rsidRPr="00A32147" w:rsidRDefault="00A32147" w:rsidP="00A32147">
          <w:pPr>
            <w:pStyle w:val="BodyText"/>
            <w:rPr>
              <w:sz w:val="24"/>
              <w:szCs w:val="24"/>
            </w:rPr>
          </w:pPr>
          <w:r w:rsidRPr="00A32147">
            <w:rPr>
              <w:sz w:val="24"/>
              <w:szCs w:val="24"/>
            </w:rPr>
            <w:t>The role of Area Managers and Team Leaders was particularly significant in this context, as they were the primary point of contact for associates during the transition. Where managers communicated with empathy and provided practical support, associates reported a more positive experience of the change; where communication was perfunctory or dismissive, dissatisfaction was amplified.</w:t>
          </w:r>
        </w:p>
        <w:p w14:paraId="7DF84FE8" w14:textId="77777777" w:rsidR="00A32147" w:rsidRPr="00A32147" w:rsidRDefault="00A32147" w:rsidP="00A32147">
          <w:pPr>
            <w:pStyle w:val="BodyText"/>
            <w:rPr>
              <w:sz w:val="24"/>
              <w:szCs w:val="24"/>
            </w:rPr>
          </w:pPr>
          <w:r w:rsidRPr="00A32147">
            <w:rPr>
              <w:sz w:val="24"/>
              <w:szCs w:val="24"/>
            </w:rPr>
            <w:t xml:space="preserve">To mitigate this motivational impact, site leadership could have taken steps to simultaneously address motivators during the change process. For example, involving associates in the design of the new schedules would have enhanced their sense of </w:t>
          </w:r>
          <w:r w:rsidRPr="00A32147">
            <w:rPr>
              <w:sz w:val="24"/>
              <w:szCs w:val="24"/>
            </w:rPr>
            <w:lastRenderedPageBreak/>
            <w:t>responsibility and achievement, both identified by Herzberg (1959) as powerful motivators. Recognising and rewarding associates who demonstrated flexibility and adaptability during the transition would have further reinforced positive motivational dynamics. Armstrong (2014) argues that organisations that attend to both hygiene factors and motivators during periods of change are significantly more likely to maintain associate engagement and minimise productivity disruption, a finding that is directly applicable to the CWL1 experience.</w:t>
          </w:r>
        </w:p>
        <w:p w14:paraId="3A1E7157" w14:textId="77777777" w:rsidR="00A32147" w:rsidRPr="00A32147" w:rsidRDefault="00A32147" w:rsidP="00A32147">
          <w:pPr>
            <w:pStyle w:val="BodyText"/>
            <w:rPr>
              <w:sz w:val="24"/>
              <w:szCs w:val="24"/>
            </w:rPr>
          </w:pPr>
          <w:r w:rsidRPr="00A32147">
            <w:rPr>
              <w:sz w:val="24"/>
              <w:szCs w:val="24"/>
            </w:rPr>
            <w:t>Vroom's Expectancy Theory (1964) offers a complementary perspective, suggesting that associates are motivated when they believe that their efforts will lead to desired outcomes. At CWL1, the absence of clear communication about the benefits of the new schedules for associates, as opposed to the organisation, meant that many associates could not identify a personal benefit from the change, reducing their motivation to engage positively with the transition. Future change initiatives should therefore ensure that the associate-level benefits of proposed changes are clearly articulated alongside the operational rationale.</w:t>
          </w:r>
        </w:p>
        <w:p w14:paraId="05BB49CB" w14:textId="7D0AB634" w:rsidR="00657308" w:rsidRPr="00657308" w:rsidRDefault="00657308">
          <w:pPr>
            <w:rPr>
              <w:rFonts w:ascii="Arial" w:eastAsia="Arial" w:hAnsi="Arial" w:cs="Arial"/>
              <w:sz w:val="24"/>
              <w:szCs w:val="24"/>
              <w:lang w:eastAsia="en-GB"/>
            </w:rPr>
          </w:pPr>
          <w:r w:rsidRPr="00657308">
            <w:rPr>
              <w:sz w:val="24"/>
              <w:szCs w:val="24"/>
            </w:rPr>
            <w:br w:type="page"/>
          </w:r>
        </w:p>
        <w:p w14:paraId="021E594C" w14:textId="2EBCC6D6" w:rsidR="00A1742E" w:rsidRPr="00657308" w:rsidRDefault="00A1742E" w:rsidP="00A1742E">
          <w:pPr>
            <w:pStyle w:val="Heading1"/>
            <w:rPr>
              <w:rFonts w:ascii="Arial" w:hAnsi="Arial" w:cs="Arial"/>
              <w:sz w:val="24"/>
              <w:szCs w:val="24"/>
            </w:rPr>
          </w:pPr>
          <w:bookmarkStart w:id="11" w:name="_Toc228470823"/>
          <w:r w:rsidRPr="00657308">
            <w:lastRenderedPageBreak/>
            <w:t>Conclusion</w:t>
          </w:r>
          <w:bookmarkEnd w:id="11"/>
        </w:p>
        <w:p w14:paraId="44560F34" w14:textId="77777777" w:rsidR="00A32147" w:rsidRPr="00A32147" w:rsidRDefault="00A32147" w:rsidP="00A32147">
          <w:pPr>
            <w:pStyle w:val="BodyText"/>
            <w:rPr>
              <w:sz w:val="24"/>
              <w:szCs w:val="24"/>
            </w:rPr>
          </w:pPr>
          <w:r w:rsidRPr="00A32147">
            <w:rPr>
              <w:sz w:val="24"/>
              <w:szCs w:val="24"/>
            </w:rPr>
            <w:t>The planned restructuring of associate start times and break schedules at Amazon’s CWL1 fulfilment centre was evaluated using Lewin’s Force Field Analysis, Lewin’s Three Step Model, Kotter’s (2012) Eight Step framework and Herzberg’s Two Factor Theory. The analysis showed that while the operational rationale for the change was strong, supported by productivity data, benchmarking and governance through approvals.amazon.com, the implementation process did not sufficiently address the human dimension of change.</w:t>
          </w:r>
        </w:p>
        <w:p w14:paraId="349223F2" w14:textId="77777777" w:rsidR="00A32147" w:rsidRPr="00A32147" w:rsidRDefault="00A32147" w:rsidP="00A32147">
          <w:pPr>
            <w:pStyle w:val="BodyText"/>
            <w:rPr>
              <w:sz w:val="24"/>
              <w:szCs w:val="24"/>
            </w:rPr>
          </w:pPr>
          <w:r w:rsidRPr="00A32147">
            <w:rPr>
              <w:sz w:val="24"/>
              <w:szCs w:val="24"/>
            </w:rPr>
            <w:t>The Force Field Analysis demonstrated that driving forces were clear and well evidenced, but resisting forces were equally significant and rooted in practical concerns such as childcare, transport and disruption to established routines (Lewin, 1951; Burnes, 2004). The unfreezing stage was weakened by limited consultation, short notice and insufficient communication of the strategic rationale. During the movement stage, the absence of structured support, inconsistent management communication and lack of change champions contributed to uneven associate experiences. Refreezing was eventually achieved, but the process was slower than necessary due to missed opportunities to reinforce positive behaviours and integrate the new schedules into wider organisational processes (Kotter, 2012).</w:t>
          </w:r>
        </w:p>
        <w:p w14:paraId="6579BD86" w14:textId="77777777" w:rsidR="00A32147" w:rsidRPr="00A32147" w:rsidRDefault="00A32147" w:rsidP="00A32147">
          <w:pPr>
            <w:pStyle w:val="BodyText"/>
            <w:rPr>
              <w:sz w:val="24"/>
              <w:szCs w:val="24"/>
            </w:rPr>
          </w:pPr>
          <w:r w:rsidRPr="00A32147">
            <w:rPr>
              <w:sz w:val="24"/>
              <w:szCs w:val="24"/>
            </w:rPr>
            <w:t>Herzberg’s Two Factor Theory (1959) highlighted that the change primarily affected hygiene factors, generating short term dissatisfaction. Motivators such as involvement, recognition and responsibility were not leveraged, reducing engagement and limiting the perceived value of the change for associates (Armstrong, 2014).</w:t>
          </w:r>
        </w:p>
        <w:p w14:paraId="0A68A9E1" w14:textId="77777777" w:rsidR="00A32147" w:rsidRPr="00A32147" w:rsidRDefault="00A32147" w:rsidP="00A32147">
          <w:pPr>
            <w:pStyle w:val="BodyText"/>
            <w:rPr>
              <w:sz w:val="24"/>
              <w:szCs w:val="24"/>
            </w:rPr>
          </w:pPr>
          <w:r w:rsidRPr="00A32147">
            <w:rPr>
              <w:sz w:val="24"/>
              <w:szCs w:val="24"/>
            </w:rPr>
            <w:t>Overall, the change achieved its operational objectives but would have benefited from earlier communication, stronger associate involvement, clearer articulation of personal benefits and more consistent managerial support (Kotter, 2012; Cameron and Green, 2015). Embedding these practices would enhance the effectiveness and acceptance of future change initiatives at CWL1.</w:t>
          </w:r>
        </w:p>
        <w:p w14:paraId="46626481" w14:textId="77777777" w:rsidR="00A32147" w:rsidRDefault="00A32147">
          <w:pPr>
            <w:rPr>
              <w:rFonts w:asciiTheme="majorHAnsi" w:eastAsiaTheme="majorEastAsia" w:hAnsiTheme="majorHAnsi" w:cstheme="majorBidi"/>
              <w:color w:val="2E74B5" w:themeColor="accent1" w:themeShade="BF"/>
              <w:sz w:val="32"/>
              <w:szCs w:val="32"/>
            </w:rPr>
          </w:pPr>
          <w:bookmarkStart w:id="12" w:name="_Toc228470824"/>
          <w:r>
            <w:br w:type="page"/>
          </w:r>
        </w:p>
        <w:p w14:paraId="7202FDFC" w14:textId="6F706869" w:rsidR="00AA2A91" w:rsidRPr="00657308" w:rsidRDefault="00AA2A91" w:rsidP="00AA2A91">
          <w:pPr>
            <w:pStyle w:val="Heading1"/>
          </w:pPr>
          <w:r w:rsidRPr="00657308">
            <w:lastRenderedPageBreak/>
            <w:t>Bibliography</w:t>
          </w:r>
          <w:bookmarkEnd w:id="12"/>
        </w:p>
        <w:p w14:paraId="78111B39"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Armstrong, M. (2014) Armstrong's Handbook of Human Resource Management Practice. 13th </w:t>
          </w:r>
          <w:proofErr w:type="spellStart"/>
          <w:r w:rsidRPr="00657308">
            <w:rPr>
              <w:rFonts w:ascii="Arial" w:hAnsi="Arial" w:cs="Arial"/>
              <w:sz w:val="24"/>
              <w:szCs w:val="24"/>
            </w:rPr>
            <w:t>edn</w:t>
          </w:r>
          <w:proofErr w:type="spellEnd"/>
          <w:r w:rsidRPr="00657308">
            <w:rPr>
              <w:rFonts w:ascii="Arial" w:hAnsi="Arial" w:cs="Arial"/>
              <w:sz w:val="24"/>
              <w:szCs w:val="24"/>
            </w:rPr>
            <w:t>. London: Kogan Page.</w:t>
          </w:r>
        </w:p>
        <w:p w14:paraId="434E521E"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Amazon Internal Operations (2023) Approvals and Change Governance Framework: CWL1 Site Operations. Internal document (unpublished). Amazon UK Services Ltd.</w:t>
          </w:r>
        </w:p>
        <w:p w14:paraId="2EB11ED8" w14:textId="476879FA"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Amazon (2023) Amazon in the UK: Our Fulfilment Network. Available at: https://www.aboutamazon.co.uk (Accessed: </w:t>
          </w:r>
          <w:r w:rsidR="00181679" w:rsidRPr="00657308">
            <w:rPr>
              <w:rFonts w:ascii="Arial" w:hAnsi="Arial" w:cs="Arial"/>
              <w:sz w:val="24"/>
              <w:szCs w:val="24"/>
            </w:rPr>
            <w:t>01</w:t>
          </w:r>
          <w:r w:rsidRPr="00657308">
            <w:rPr>
              <w:rFonts w:ascii="Arial" w:hAnsi="Arial" w:cs="Arial"/>
              <w:sz w:val="24"/>
              <w:szCs w:val="24"/>
            </w:rPr>
            <w:t xml:space="preserve"> April 202</w:t>
          </w:r>
          <w:r w:rsidR="00181679" w:rsidRPr="00657308">
            <w:rPr>
              <w:rFonts w:ascii="Arial" w:hAnsi="Arial" w:cs="Arial"/>
              <w:sz w:val="24"/>
              <w:szCs w:val="24"/>
            </w:rPr>
            <w:t>6</w:t>
          </w:r>
          <w:r w:rsidRPr="00657308">
            <w:rPr>
              <w:rFonts w:ascii="Arial" w:hAnsi="Arial" w:cs="Arial"/>
              <w:sz w:val="24"/>
              <w:szCs w:val="24"/>
            </w:rPr>
            <w:t>).</w:t>
          </w:r>
        </w:p>
        <w:p w14:paraId="5BF9050E" w14:textId="138CB1B8" w:rsidR="000E1F36" w:rsidRPr="00657308" w:rsidRDefault="000E1F36" w:rsidP="000E1F36">
          <w:pPr>
            <w:jc w:val="both"/>
            <w:rPr>
              <w:rFonts w:ascii="Arial" w:hAnsi="Arial" w:cs="Arial"/>
              <w:sz w:val="24"/>
              <w:szCs w:val="24"/>
            </w:rPr>
          </w:pPr>
          <w:r w:rsidRPr="00657308">
            <w:rPr>
              <w:rFonts w:ascii="Arial" w:hAnsi="Arial" w:cs="Arial"/>
              <w:sz w:val="24"/>
              <w:szCs w:val="24"/>
            </w:rPr>
            <w:t>Burnes, B. (2004) ‘Kurt Lewin and the Planned Approach to Change: A Re-appraisal’, Journal of Management Studies.</w:t>
          </w:r>
        </w:p>
        <w:p w14:paraId="7B43D9F3"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Burnes, B. (2017) Managing Change. 7th </w:t>
          </w:r>
          <w:proofErr w:type="spellStart"/>
          <w:r w:rsidRPr="00657308">
            <w:rPr>
              <w:rFonts w:ascii="Arial" w:hAnsi="Arial" w:cs="Arial"/>
              <w:sz w:val="24"/>
              <w:szCs w:val="24"/>
            </w:rPr>
            <w:t>edn</w:t>
          </w:r>
          <w:proofErr w:type="spellEnd"/>
          <w:r w:rsidRPr="00657308">
            <w:rPr>
              <w:rFonts w:ascii="Arial" w:hAnsi="Arial" w:cs="Arial"/>
              <w:sz w:val="24"/>
              <w:szCs w:val="24"/>
            </w:rPr>
            <w:t>. Harlow: Pearson Education.</w:t>
          </w:r>
        </w:p>
        <w:p w14:paraId="750D46BF"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Cameron, E. and Green, M. (2015) Making Sense of Change Management: A Complete Guide to the Models, Tools and Techniques of Organisational Change. 4th </w:t>
          </w:r>
          <w:proofErr w:type="spellStart"/>
          <w:r w:rsidRPr="00657308">
            <w:rPr>
              <w:rFonts w:ascii="Arial" w:hAnsi="Arial" w:cs="Arial"/>
              <w:sz w:val="24"/>
              <w:szCs w:val="24"/>
            </w:rPr>
            <w:t>edn</w:t>
          </w:r>
          <w:proofErr w:type="spellEnd"/>
          <w:r w:rsidRPr="00657308">
            <w:rPr>
              <w:rFonts w:ascii="Arial" w:hAnsi="Arial" w:cs="Arial"/>
              <w:sz w:val="24"/>
              <w:szCs w:val="24"/>
            </w:rPr>
            <w:t>. London: Kogan Page.</w:t>
          </w:r>
        </w:p>
        <w:p w14:paraId="118C52EC" w14:textId="0AE08E86" w:rsidR="000E1F36" w:rsidRPr="00657308" w:rsidRDefault="000E1F36" w:rsidP="000E1F36">
          <w:pPr>
            <w:jc w:val="both"/>
            <w:rPr>
              <w:rFonts w:ascii="Arial" w:hAnsi="Arial" w:cs="Arial"/>
              <w:sz w:val="24"/>
              <w:szCs w:val="24"/>
            </w:rPr>
          </w:pPr>
          <w:r w:rsidRPr="00657308">
            <w:rPr>
              <w:rFonts w:ascii="Arial" w:hAnsi="Arial" w:cs="Arial"/>
              <w:sz w:val="24"/>
              <w:szCs w:val="24"/>
            </w:rPr>
            <w:t>Cummings, S., Bridgman, T. and Brown, K.G. (2016) ‘Unfreezing Change as Three Steps: Rethinking Kurt Lewin's Legacy for Change Management’, Human Relations, 69(1).</w:t>
          </w:r>
        </w:p>
        <w:p w14:paraId="4F55D48A"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Dawson, P. (2003) Understanding Organisational Change: The Contemporary Experience of People at Work. London: SAGE Publications.</w:t>
          </w:r>
        </w:p>
        <w:p w14:paraId="2AC7A3CD" w14:textId="0E9AA8C2" w:rsidR="000E1F36" w:rsidRPr="00657308" w:rsidRDefault="000E1F36" w:rsidP="000E1F36">
          <w:pPr>
            <w:jc w:val="both"/>
            <w:rPr>
              <w:rFonts w:ascii="Arial" w:hAnsi="Arial" w:cs="Arial"/>
              <w:sz w:val="24"/>
              <w:szCs w:val="24"/>
            </w:rPr>
          </w:pPr>
          <w:r w:rsidRPr="00657308">
            <w:rPr>
              <w:rFonts w:ascii="Arial" w:hAnsi="Arial" w:cs="Arial"/>
              <w:sz w:val="24"/>
              <w:szCs w:val="24"/>
            </w:rPr>
            <w:t>Dent, E.B. and Goldberg, S.G. (1999) ‘Challenging “Resistance to Change”’, Journal of Applied Behavioural Science.</w:t>
          </w:r>
        </w:p>
        <w:p w14:paraId="47E3B801" w14:textId="4E29ACA9" w:rsidR="000E1F36" w:rsidRPr="00657308" w:rsidRDefault="000E1F36" w:rsidP="000E1F36">
          <w:pPr>
            <w:jc w:val="both"/>
            <w:rPr>
              <w:rFonts w:ascii="Arial" w:hAnsi="Arial" w:cs="Arial"/>
              <w:sz w:val="24"/>
              <w:szCs w:val="24"/>
            </w:rPr>
          </w:pPr>
          <w:r w:rsidRPr="00657308">
            <w:rPr>
              <w:rFonts w:ascii="Arial" w:hAnsi="Arial" w:cs="Arial"/>
              <w:sz w:val="24"/>
              <w:szCs w:val="24"/>
            </w:rPr>
            <w:t>Ford, J.D., Ford, L.W. and D’Amelio, A. (2008) ‘Resistance to Change: The Rest of the Story’, Academy of Management Review.</w:t>
          </w:r>
        </w:p>
        <w:p w14:paraId="34741FF2"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Herzberg, F. (1959) The Motivation to Work. New York: John Wiley and Sons.</w:t>
          </w:r>
        </w:p>
        <w:p w14:paraId="4E2882C6" w14:textId="09A8D8C6"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Kantor, J. and </w:t>
          </w:r>
          <w:proofErr w:type="spellStart"/>
          <w:r w:rsidRPr="00657308">
            <w:rPr>
              <w:rFonts w:ascii="Arial" w:hAnsi="Arial" w:cs="Arial"/>
              <w:sz w:val="24"/>
              <w:szCs w:val="24"/>
            </w:rPr>
            <w:t>Streitfeld</w:t>
          </w:r>
          <w:proofErr w:type="spellEnd"/>
          <w:r w:rsidRPr="00657308">
            <w:rPr>
              <w:rFonts w:ascii="Arial" w:hAnsi="Arial" w:cs="Arial"/>
              <w:sz w:val="24"/>
              <w:szCs w:val="24"/>
            </w:rPr>
            <w:t xml:space="preserve">, D. (2015) ‘Inside Amazon: Wrestling Big Ideas in a Bruising Workplace’, The New York Times, 15 August. Available at: https://www.nytimes.com (Accessed: </w:t>
          </w:r>
          <w:r w:rsidR="00181679" w:rsidRPr="00657308">
            <w:rPr>
              <w:rFonts w:ascii="Arial" w:hAnsi="Arial" w:cs="Arial"/>
              <w:sz w:val="24"/>
              <w:szCs w:val="24"/>
            </w:rPr>
            <w:t>02</w:t>
          </w:r>
          <w:r w:rsidRPr="00657308">
            <w:rPr>
              <w:rFonts w:ascii="Arial" w:hAnsi="Arial" w:cs="Arial"/>
              <w:sz w:val="24"/>
              <w:szCs w:val="24"/>
            </w:rPr>
            <w:t xml:space="preserve"> April 202</w:t>
          </w:r>
          <w:r w:rsidR="00181679" w:rsidRPr="00657308">
            <w:rPr>
              <w:rFonts w:ascii="Arial" w:hAnsi="Arial" w:cs="Arial"/>
              <w:sz w:val="24"/>
              <w:szCs w:val="24"/>
            </w:rPr>
            <w:t>6</w:t>
          </w:r>
          <w:r w:rsidRPr="00657308">
            <w:rPr>
              <w:rFonts w:ascii="Arial" w:hAnsi="Arial" w:cs="Arial"/>
              <w:sz w:val="24"/>
              <w:szCs w:val="24"/>
            </w:rPr>
            <w:t>).</w:t>
          </w:r>
        </w:p>
        <w:p w14:paraId="032DB4AF"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Kotter, J.P. (2012) Leading Change. Boston: Harvard Business Review Press.</w:t>
          </w:r>
        </w:p>
        <w:p w14:paraId="6304BEB0" w14:textId="6CAACF3B" w:rsidR="00D01823" w:rsidRPr="00657308" w:rsidRDefault="00D01823" w:rsidP="00D01823">
          <w:pPr>
            <w:rPr>
              <w:rFonts w:ascii="Arial" w:hAnsi="Arial" w:cs="Arial"/>
              <w:sz w:val="24"/>
              <w:szCs w:val="24"/>
            </w:rPr>
          </w:pPr>
          <w:r w:rsidRPr="00657308">
            <w:rPr>
              <w:rFonts w:ascii="Arial" w:hAnsi="Arial" w:cs="Arial"/>
              <w:sz w:val="24"/>
              <w:szCs w:val="24"/>
            </w:rPr>
            <w:t>Kotter, J.P. (2024) Change: How Organizations Achieve Hard-to-Imagine Results in Uncertain and Volatile Times. New York: Wiley.</w:t>
          </w:r>
        </w:p>
        <w:p w14:paraId="0B794D62"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Lewin, K. (1951) Field Theory in Social Science. New York: Harper and Row.</w:t>
          </w:r>
        </w:p>
        <w:p w14:paraId="226BBB35"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Mullins, L.J. (2016) Management and Organisational Behaviour. 11th </w:t>
          </w:r>
          <w:proofErr w:type="spellStart"/>
          <w:r w:rsidRPr="00657308">
            <w:rPr>
              <w:rFonts w:ascii="Arial" w:hAnsi="Arial" w:cs="Arial"/>
              <w:sz w:val="24"/>
              <w:szCs w:val="24"/>
            </w:rPr>
            <w:t>edn</w:t>
          </w:r>
          <w:proofErr w:type="spellEnd"/>
          <w:r w:rsidRPr="00657308">
            <w:rPr>
              <w:rFonts w:ascii="Arial" w:hAnsi="Arial" w:cs="Arial"/>
              <w:sz w:val="24"/>
              <w:szCs w:val="24"/>
            </w:rPr>
            <w:t>. Harlow: Pearson Education.</w:t>
          </w:r>
        </w:p>
        <w:p w14:paraId="19F9977B"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Paton, R.A. and McCalman, J. (2008) Change Management: A Guide to Effective Implementation. 3rd </w:t>
          </w:r>
          <w:proofErr w:type="spellStart"/>
          <w:r w:rsidRPr="00657308">
            <w:rPr>
              <w:rFonts w:ascii="Arial" w:hAnsi="Arial" w:cs="Arial"/>
              <w:sz w:val="24"/>
              <w:szCs w:val="24"/>
            </w:rPr>
            <w:t>edn</w:t>
          </w:r>
          <w:proofErr w:type="spellEnd"/>
          <w:r w:rsidRPr="00657308">
            <w:rPr>
              <w:rFonts w:ascii="Arial" w:hAnsi="Arial" w:cs="Arial"/>
              <w:sz w:val="24"/>
              <w:szCs w:val="24"/>
            </w:rPr>
            <w:t>. London: SAGE Publications.</w:t>
          </w:r>
        </w:p>
        <w:p w14:paraId="7F7FE063" w14:textId="0BC055DE" w:rsidR="000E1F36" w:rsidRPr="00657308" w:rsidRDefault="000E1F36" w:rsidP="000E1F36">
          <w:pPr>
            <w:jc w:val="both"/>
            <w:rPr>
              <w:rFonts w:ascii="Arial" w:hAnsi="Arial" w:cs="Arial"/>
              <w:sz w:val="24"/>
              <w:szCs w:val="24"/>
            </w:rPr>
          </w:pPr>
          <w:r w:rsidRPr="00657308">
            <w:rPr>
              <w:rFonts w:ascii="Arial" w:hAnsi="Arial" w:cs="Arial"/>
              <w:sz w:val="24"/>
              <w:szCs w:val="24"/>
            </w:rPr>
            <w:t xml:space="preserve">Schein, E.H. (1996) ‘Kurt Lewin's Change Theory in the Field and in the </w:t>
          </w:r>
          <w:proofErr w:type="gramStart"/>
          <w:r w:rsidRPr="00657308">
            <w:rPr>
              <w:rFonts w:ascii="Arial" w:hAnsi="Arial" w:cs="Arial"/>
              <w:sz w:val="24"/>
              <w:szCs w:val="24"/>
            </w:rPr>
            <w:t>Classroom</w:t>
          </w:r>
          <w:proofErr w:type="gramEnd"/>
          <w:r w:rsidRPr="00657308">
            <w:rPr>
              <w:rFonts w:ascii="Arial" w:hAnsi="Arial" w:cs="Arial"/>
              <w:sz w:val="24"/>
              <w:szCs w:val="24"/>
            </w:rPr>
            <w:t>: Notes Toward a Model of Managed Learning’, Systems Practice.</w:t>
          </w:r>
        </w:p>
        <w:p w14:paraId="67D037D0"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lastRenderedPageBreak/>
            <w:t xml:space="preserve">Senior, B. and Swailes, S. (2016) Organizational Change. 5th </w:t>
          </w:r>
          <w:proofErr w:type="spellStart"/>
          <w:r w:rsidRPr="00657308">
            <w:rPr>
              <w:rFonts w:ascii="Arial" w:hAnsi="Arial" w:cs="Arial"/>
              <w:sz w:val="24"/>
              <w:szCs w:val="24"/>
            </w:rPr>
            <w:t>edn</w:t>
          </w:r>
          <w:proofErr w:type="spellEnd"/>
          <w:r w:rsidRPr="00657308">
            <w:rPr>
              <w:rFonts w:ascii="Arial" w:hAnsi="Arial" w:cs="Arial"/>
              <w:sz w:val="24"/>
              <w:szCs w:val="24"/>
            </w:rPr>
            <w:t>. Harlow: Pearson Education.</w:t>
          </w:r>
        </w:p>
        <w:p w14:paraId="4B71CD1A" w14:textId="77777777" w:rsidR="000E1F36" w:rsidRPr="00657308" w:rsidRDefault="000E1F36" w:rsidP="000E1F36">
          <w:pPr>
            <w:jc w:val="both"/>
            <w:rPr>
              <w:rFonts w:ascii="Arial" w:hAnsi="Arial" w:cs="Arial"/>
              <w:sz w:val="24"/>
              <w:szCs w:val="24"/>
            </w:rPr>
          </w:pPr>
          <w:r w:rsidRPr="00657308">
            <w:rPr>
              <w:rFonts w:ascii="Arial" w:hAnsi="Arial" w:cs="Arial"/>
              <w:sz w:val="24"/>
              <w:szCs w:val="24"/>
            </w:rPr>
            <w:t>Vroom, V.H. (1964) Work and Motivation. New York: John Wiley and Sons.</w:t>
          </w:r>
        </w:p>
        <w:p w14:paraId="7F890C1F" w14:textId="24165158" w:rsidR="00CA09F3" w:rsidRPr="00657308" w:rsidRDefault="00000000" w:rsidP="00A1742E">
          <w:pPr>
            <w:jc w:val="both"/>
            <w:rPr>
              <w:rFonts w:ascii="Arial" w:hAnsi="Arial" w:cs="Arial"/>
              <w:sz w:val="24"/>
              <w:szCs w:val="24"/>
            </w:rPr>
          </w:pPr>
        </w:p>
      </w:sdtContent>
    </w:sdt>
    <w:sectPr w:rsidR="00CA09F3" w:rsidRPr="00657308"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F30F51"/>
    <w:multiLevelType w:val="multilevel"/>
    <w:tmpl w:val="77A21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3C028C"/>
    <w:multiLevelType w:val="multilevel"/>
    <w:tmpl w:val="CBDC3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1604486">
    <w:abstractNumId w:val="0"/>
  </w:num>
  <w:num w:numId="2" w16cid:durableId="1399210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A48D3"/>
    <w:rsid w:val="000E1F36"/>
    <w:rsid w:val="00107936"/>
    <w:rsid w:val="00115B96"/>
    <w:rsid w:val="0013236E"/>
    <w:rsid w:val="00181679"/>
    <w:rsid w:val="001E15AF"/>
    <w:rsid w:val="001E6C87"/>
    <w:rsid w:val="0025223E"/>
    <w:rsid w:val="002668B8"/>
    <w:rsid w:val="00291E01"/>
    <w:rsid w:val="00292977"/>
    <w:rsid w:val="00324CCD"/>
    <w:rsid w:val="003B4712"/>
    <w:rsid w:val="00480872"/>
    <w:rsid w:val="004912CA"/>
    <w:rsid w:val="004A11F6"/>
    <w:rsid w:val="004B71FD"/>
    <w:rsid w:val="004D519C"/>
    <w:rsid w:val="005014C5"/>
    <w:rsid w:val="00523DD1"/>
    <w:rsid w:val="00561F80"/>
    <w:rsid w:val="005864C7"/>
    <w:rsid w:val="00657308"/>
    <w:rsid w:val="00672495"/>
    <w:rsid w:val="00693E27"/>
    <w:rsid w:val="00732285"/>
    <w:rsid w:val="007D1947"/>
    <w:rsid w:val="008D4C45"/>
    <w:rsid w:val="008F1881"/>
    <w:rsid w:val="00931CAA"/>
    <w:rsid w:val="00984557"/>
    <w:rsid w:val="009E3A43"/>
    <w:rsid w:val="00A12B58"/>
    <w:rsid w:val="00A1742E"/>
    <w:rsid w:val="00A32147"/>
    <w:rsid w:val="00A4233F"/>
    <w:rsid w:val="00AA2A91"/>
    <w:rsid w:val="00B50B3C"/>
    <w:rsid w:val="00BE5918"/>
    <w:rsid w:val="00C0725F"/>
    <w:rsid w:val="00C53186"/>
    <w:rsid w:val="00CA09F3"/>
    <w:rsid w:val="00D01823"/>
    <w:rsid w:val="00D05787"/>
    <w:rsid w:val="00D55AFC"/>
    <w:rsid w:val="00D854A5"/>
    <w:rsid w:val="00DC76A7"/>
    <w:rsid w:val="00E10445"/>
    <w:rsid w:val="00E2043C"/>
    <w:rsid w:val="00E91208"/>
    <w:rsid w:val="00F22256"/>
    <w:rsid w:val="00F94A82"/>
    <w:rsid w:val="00FC17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174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Caption">
    <w:name w:val="caption"/>
    <w:basedOn w:val="Normal"/>
    <w:next w:val="Normal"/>
    <w:uiPriority w:val="35"/>
    <w:unhideWhenUsed/>
    <w:qFormat/>
    <w:rsid w:val="00A1742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1742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1742E"/>
    <w:pPr>
      <w:spacing w:after="100"/>
      <w:ind w:left="440"/>
    </w:pPr>
  </w:style>
  <w:style w:type="table" w:styleId="TableGridLight">
    <w:name w:val="Grid Table Light"/>
    <w:basedOn w:val="TableNormal"/>
    <w:uiPriority w:val="40"/>
    <w:rsid w:val="00F2225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4912CA"/>
    <w:rPr>
      <w:rFonts w:ascii="Times New Roman" w:hAnsi="Times New Roman" w:cs="Times New Roman"/>
      <w:sz w:val="24"/>
      <w:szCs w:val="24"/>
    </w:rPr>
  </w:style>
  <w:style w:type="paragraph" w:styleId="BodyText">
    <w:name w:val="Body Text"/>
    <w:link w:val="BodyTextChar"/>
    <w:rsid w:val="00E2043C"/>
    <w:pPr>
      <w:spacing w:line="276" w:lineRule="auto"/>
      <w:jc w:val="both"/>
    </w:pPr>
    <w:rPr>
      <w:rFonts w:ascii="Arial" w:eastAsia="Arial" w:hAnsi="Arial" w:cs="Arial"/>
      <w:lang w:eastAsia="en-GB"/>
    </w:rPr>
  </w:style>
  <w:style w:type="character" w:customStyle="1" w:styleId="BodyTextChar">
    <w:name w:val="Body Text Char"/>
    <w:basedOn w:val="DefaultParagraphFont"/>
    <w:link w:val="BodyText"/>
    <w:rsid w:val="00E2043C"/>
    <w:rPr>
      <w:rFonts w:ascii="Arial" w:eastAsia="Arial" w:hAnsi="Arial" w:cs="Arial"/>
      <w:lang w:eastAsia="en-GB"/>
    </w:rPr>
  </w:style>
  <w:style w:type="character" w:styleId="UnresolvedMention">
    <w:name w:val="Unresolved Mention"/>
    <w:basedOn w:val="DefaultParagraphFont"/>
    <w:uiPriority w:val="99"/>
    <w:semiHidden/>
    <w:unhideWhenUsed/>
    <w:rsid w:val="00E204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approvals.amazon.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77611"/>
    <w:rsid w:val="000A48D3"/>
    <w:rsid w:val="00145AD8"/>
    <w:rsid w:val="00242260"/>
    <w:rsid w:val="002450A7"/>
    <w:rsid w:val="00260D23"/>
    <w:rsid w:val="00291E01"/>
    <w:rsid w:val="003203C2"/>
    <w:rsid w:val="003B4712"/>
    <w:rsid w:val="0048542D"/>
    <w:rsid w:val="004B2D9D"/>
    <w:rsid w:val="004D25D2"/>
    <w:rsid w:val="005864C7"/>
    <w:rsid w:val="005A5228"/>
    <w:rsid w:val="00791FC0"/>
    <w:rsid w:val="00984557"/>
    <w:rsid w:val="009D7389"/>
    <w:rsid w:val="00A34C42"/>
    <w:rsid w:val="00A84AC0"/>
    <w:rsid w:val="00B67568"/>
    <w:rsid w:val="00BC1251"/>
    <w:rsid w:val="00C53186"/>
    <w:rsid w:val="00C67429"/>
    <w:rsid w:val="00E10445"/>
    <w:rsid w:val="00F914F7"/>
    <w:rsid w:val="00F94A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4335</Words>
  <Characters>24713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Management, Innovation and Sustainability</dc:subject>
  <dc:creator>Marie Pitson</dc:creator>
  <cp:keywords/>
  <dc:description/>
  <cp:lastModifiedBy>Brooks, Grant</cp:lastModifiedBy>
  <cp:revision>2</cp:revision>
  <dcterms:created xsi:type="dcterms:W3CDTF">2026-05-01T19:52:00Z</dcterms:created>
  <dcterms:modified xsi:type="dcterms:W3CDTF">2026-05-01T19:52:00Z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2026-03-15T20:16:34Z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621fb8be-cf54-492d-ab51-dbf3ce94f5a5</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