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98D457" w14:textId="77777777" w:rsidR="00475409" w:rsidRPr="00CA70AD" w:rsidRDefault="00475409" w:rsidP="00475409">
      <w:pPr>
        <w:pStyle w:val="BodyText"/>
        <w:ind w:left="2798"/>
        <w:rPr>
          <w:rFonts w:ascii="Times New Roman"/>
          <w:sz w:val="20"/>
        </w:rPr>
      </w:pPr>
      <w:r w:rsidRPr="00CA70AD">
        <w:rPr>
          <w:rFonts w:ascii="Times New Roman"/>
          <w:noProof/>
          <w:sz w:val="20"/>
          <w:lang w:bidi="ar-SA"/>
        </w:rPr>
        <w:drawing>
          <wp:inline distT="0" distB="0" distL="0" distR="0" wp14:anchorId="3A94124F" wp14:editId="5D8F22C9">
            <wp:extent cx="2880984" cy="1133855"/>
            <wp:effectExtent l="0" t="0" r="0" b="0"/>
            <wp:docPr id="1" name="image1.jpeg"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black and white sign with black text&#10;&#10;Description automatically generated"/>
                    <pic:cNvPicPr/>
                  </pic:nvPicPr>
                  <pic:blipFill>
                    <a:blip r:embed="rId7" cstate="print"/>
                    <a:stretch>
                      <a:fillRect/>
                    </a:stretch>
                  </pic:blipFill>
                  <pic:spPr>
                    <a:xfrm>
                      <a:off x="0" y="0"/>
                      <a:ext cx="2880984" cy="1133855"/>
                    </a:xfrm>
                    <a:prstGeom prst="rect">
                      <a:avLst/>
                    </a:prstGeom>
                  </pic:spPr>
                </pic:pic>
              </a:graphicData>
            </a:graphic>
          </wp:inline>
        </w:drawing>
      </w:r>
    </w:p>
    <w:p w14:paraId="2116DF6E" w14:textId="77777777" w:rsidR="00475409" w:rsidRPr="00CA70AD" w:rsidRDefault="00475409" w:rsidP="00475409">
      <w:pPr>
        <w:pStyle w:val="BodyText"/>
        <w:rPr>
          <w:rFonts w:ascii="Times New Roman"/>
          <w:sz w:val="20"/>
        </w:rPr>
      </w:pPr>
    </w:p>
    <w:p w14:paraId="05863FED" w14:textId="77777777" w:rsidR="00475409" w:rsidRPr="00CA70AD" w:rsidRDefault="00475409" w:rsidP="00475409">
      <w:pPr>
        <w:pStyle w:val="BodyText"/>
        <w:rPr>
          <w:rFonts w:ascii="Times New Roman"/>
          <w:sz w:val="20"/>
        </w:rPr>
      </w:pPr>
    </w:p>
    <w:p w14:paraId="0A4F2D16" w14:textId="77777777" w:rsidR="00475409" w:rsidRPr="00CA70AD" w:rsidRDefault="00475409" w:rsidP="00475409">
      <w:pPr>
        <w:pStyle w:val="BodyText"/>
        <w:rPr>
          <w:rFonts w:ascii="Times New Roman"/>
          <w:sz w:val="20"/>
        </w:rPr>
      </w:pPr>
    </w:p>
    <w:p w14:paraId="1A814B22" w14:textId="77777777" w:rsidR="00475409" w:rsidRPr="00CA70AD" w:rsidRDefault="00475409" w:rsidP="00475409">
      <w:pPr>
        <w:pStyle w:val="BodyText"/>
        <w:rPr>
          <w:rFonts w:ascii="Times New Roman"/>
          <w:sz w:val="20"/>
        </w:rPr>
      </w:pPr>
    </w:p>
    <w:p w14:paraId="6D2C1C48" w14:textId="77777777" w:rsidR="00475409" w:rsidRPr="00CA70AD" w:rsidRDefault="00475409" w:rsidP="00475409">
      <w:pPr>
        <w:spacing w:line="1342" w:lineRule="exact"/>
        <w:jc w:val="center"/>
        <w:rPr>
          <w:rFonts w:cstheme="minorHAnsi"/>
          <w:sz w:val="110"/>
        </w:rPr>
      </w:pPr>
    </w:p>
    <w:p w14:paraId="5045FA8E" w14:textId="77777777" w:rsidR="00475409" w:rsidRPr="00CA70AD" w:rsidRDefault="00475409" w:rsidP="00475409">
      <w:pPr>
        <w:spacing w:line="360" w:lineRule="auto"/>
        <w:jc w:val="center"/>
        <w:rPr>
          <w:rFonts w:cstheme="minorHAnsi"/>
          <w:b/>
          <w:bCs/>
          <w:sz w:val="40"/>
          <w:szCs w:val="40"/>
        </w:rPr>
      </w:pPr>
      <w:r w:rsidRPr="00CA70AD">
        <w:rPr>
          <w:rFonts w:cstheme="minorHAnsi"/>
          <w:b/>
          <w:bCs/>
          <w:sz w:val="40"/>
          <w:szCs w:val="40"/>
        </w:rPr>
        <w:t>BMNS4008</w:t>
      </w:r>
    </w:p>
    <w:p w14:paraId="27A9F1EE" w14:textId="77777777" w:rsidR="00475409" w:rsidRPr="00CA70AD" w:rsidRDefault="00475409" w:rsidP="00475409">
      <w:pPr>
        <w:spacing w:line="360" w:lineRule="auto"/>
        <w:jc w:val="center"/>
        <w:rPr>
          <w:rFonts w:cstheme="minorHAnsi"/>
          <w:b/>
          <w:bCs/>
          <w:sz w:val="40"/>
          <w:szCs w:val="40"/>
        </w:rPr>
      </w:pPr>
      <w:r w:rsidRPr="00CA70AD">
        <w:rPr>
          <w:rFonts w:cstheme="minorHAnsi"/>
          <w:b/>
          <w:bCs/>
          <w:sz w:val="40"/>
          <w:szCs w:val="40"/>
        </w:rPr>
        <w:t>Managing Organisations in Nursing</w:t>
      </w:r>
    </w:p>
    <w:p w14:paraId="3DB2F0DB" w14:textId="77777777" w:rsidR="00475409" w:rsidRPr="00CA70AD" w:rsidRDefault="00475409" w:rsidP="00475409">
      <w:pPr>
        <w:spacing w:line="360" w:lineRule="auto"/>
        <w:jc w:val="center"/>
        <w:rPr>
          <w:rFonts w:cstheme="minorHAnsi"/>
          <w:b/>
          <w:bCs/>
          <w:sz w:val="40"/>
          <w:szCs w:val="40"/>
        </w:rPr>
      </w:pPr>
    </w:p>
    <w:p w14:paraId="14CEE0A5" w14:textId="77777777" w:rsidR="00475409" w:rsidRPr="00CA70AD" w:rsidRDefault="00475409" w:rsidP="00475409">
      <w:pPr>
        <w:spacing w:line="1342" w:lineRule="exact"/>
        <w:jc w:val="center"/>
        <w:rPr>
          <w:rFonts w:cstheme="minorHAnsi"/>
          <w:sz w:val="110"/>
        </w:rPr>
      </w:pPr>
      <w:r w:rsidRPr="00CA70AD">
        <w:rPr>
          <w:rFonts w:cstheme="minorHAnsi"/>
          <w:sz w:val="110"/>
        </w:rPr>
        <w:t>Event Risk Management</w:t>
      </w:r>
    </w:p>
    <w:p w14:paraId="5F8CE0AC" w14:textId="77777777" w:rsidR="00475409" w:rsidRPr="00CA70AD" w:rsidRDefault="00475409" w:rsidP="00475409">
      <w:pPr>
        <w:spacing w:line="1342" w:lineRule="exact"/>
        <w:jc w:val="center"/>
        <w:rPr>
          <w:rFonts w:cstheme="minorHAnsi"/>
          <w:sz w:val="110"/>
        </w:rPr>
        <w:sectPr w:rsidR="00475409" w:rsidRPr="00CA70AD" w:rsidSect="00AA6A08">
          <w:footerReference w:type="default" r:id="rId8"/>
          <w:pgSz w:w="12240" w:h="15840"/>
          <w:pgMar w:top="520" w:right="840" w:bottom="1240" w:left="500" w:header="720" w:footer="1053" w:gutter="0"/>
          <w:pgNumType w:start="1"/>
          <w:cols w:space="720"/>
        </w:sectPr>
      </w:pPr>
      <w:r w:rsidRPr="00CA70AD">
        <w:rPr>
          <w:rFonts w:cstheme="minorHAnsi"/>
          <w:sz w:val="110"/>
        </w:rPr>
        <w:t>Template</w:t>
      </w:r>
    </w:p>
    <w:p w14:paraId="2542D5A8" w14:textId="77777777" w:rsidR="00E4277E" w:rsidRPr="00CA70AD" w:rsidRDefault="00E4277E" w:rsidP="00D41A82">
      <w:pPr>
        <w:pStyle w:val="ListParagraph"/>
        <w:numPr>
          <w:ilvl w:val="0"/>
          <w:numId w:val="1"/>
        </w:numPr>
        <w:jc w:val="both"/>
        <w:rPr>
          <w:rFonts w:ascii="Times New Roman" w:hAnsi="Times New Roman" w:cs="Times New Roman"/>
          <w:b/>
          <w:bCs/>
          <w:sz w:val="28"/>
          <w:szCs w:val="28"/>
        </w:rPr>
      </w:pPr>
      <w:r w:rsidRPr="00CA70AD">
        <w:rPr>
          <w:rFonts w:ascii="Times New Roman" w:hAnsi="Times New Roman" w:cs="Times New Roman"/>
          <w:b/>
          <w:bCs/>
          <w:sz w:val="28"/>
          <w:szCs w:val="28"/>
        </w:rPr>
        <w:lastRenderedPageBreak/>
        <w:t>Introduction</w:t>
      </w:r>
    </w:p>
    <w:p w14:paraId="7426D29C" w14:textId="76870370" w:rsidR="00E4277E" w:rsidRPr="00CA70AD" w:rsidRDefault="00E4277E" w:rsidP="00D41A82">
      <w:pPr>
        <w:spacing w:after="0" w:line="240" w:lineRule="auto"/>
        <w:jc w:val="both"/>
        <w:rPr>
          <w:rFonts w:ascii="Times New Roman" w:eastAsia="Times New Roman" w:hAnsi="Times New Roman" w:cs="Times New Roman"/>
          <w:kern w:val="0"/>
          <w:sz w:val="28"/>
          <w:szCs w:val="28"/>
          <w14:ligatures w14:val="none"/>
        </w:rPr>
      </w:pPr>
      <w:r w:rsidRPr="00CA70AD">
        <w:rPr>
          <w:rFonts w:ascii="Times New Roman" w:eastAsia="Times New Roman" w:hAnsi="Times New Roman" w:cs="Times New Roman"/>
          <w:kern w:val="0"/>
          <w:sz w:val="28"/>
          <w:szCs w:val="28"/>
          <w14:ligatures w14:val="none"/>
        </w:rPr>
        <w:t>Fundraising events are vital foundations in the changing landscape of healthcare support, helping to close resource shortages and improve community involvement. This report discusses the difficult task of planning a bake sale, raffle, and live entertainment for a fundraising event at a nearby hospital. Even if these kinds of projects are essential for mobilizing resources, they also come with several hazards that call for careful planning, risk assessment, and management technique.</w:t>
      </w:r>
    </w:p>
    <w:p w14:paraId="2762BFFD" w14:textId="77777777" w:rsidR="00C03D1A" w:rsidRPr="00CA70AD" w:rsidRDefault="00C03D1A" w:rsidP="00D41A82">
      <w:pPr>
        <w:spacing w:after="0" w:line="240" w:lineRule="auto"/>
        <w:jc w:val="both"/>
        <w:rPr>
          <w:rFonts w:ascii="Times New Roman" w:eastAsia="Times New Roman" w:hAnsi="Times New Roman" w:cs="Times New Roman"/>
          <w:kern w:val="0"/>
          <w:sz w:val="28"/>
          <w:szCs w:val="28"/>
          <w14:ligatures w14:val="none"/>
        </w:rPr>
      </w:pPr>
    </w:p>
    <w:p w14:paraId="36B8007A" w14:textId="740DF649" w:rsidR="00C03D1A" w:rsidRPr="00CA70AD" w:rsidRDefault="00C03D1A" w:rsidP="00D41A82">
      <w:pPr>
        <w:spacing w:after="0" w:line="240" w:lineRule="auto"/>
        <w:jc w:val="both"/>
        <w:rPr>
          <w:rFonts w:ascii="Times New Roman" w:eastAsia="Times New Roman" w:hAnsi="Times New Roman" w:cs="Times New Roman"/>
          <w:kern w:val="0"/>
          <w:sz w:val="28"/>
          <w:szCs w:val="28"/>
          <w14:ligatures w14:val="none"/>
        </w:rPr>
      </w:pPr>
      <w:r w:rsidRPr="00CA70AD">
        <w:rPr>
          <w:rFonts w:ascii="Times New Roman" w:eastAsia="Times New Roman" w:hAnsi="Times New Roman" w:cs="Times New Roman"/>
          <w:kern w:val="0"/>
          <w:sz w:val="28"/>
          <w:szCs w:val="28"/>
          <w14:ligatures w14:val="none"/>
        </w:rPr>
        <w:t>Fundraising events serve as a vital mechanism for public hospitals to secure necessary resources, particularly in an era marked by healthcare reform and shifting market dynamics. These events contribute significantly to improving patient care and facility enhancements, addressing the financial challenges faced by healthcare institutions</w:t>
      </w:r>
      <w:r w:rsidR="000B2968" w:rsidRPr="00CA70AD">
        <w:rPr>
          <w:rFonts w:ascii="Times New Roman" w:eastAsia="Times New Roman" w:hAnsi="Times New Roman" w:cs="Times New Roman"/>
          <w:kern w:val="0"/>
          <w:sz w:val="28"/>
          <w:szCs w:val="28"/>
          <w14:ligatures w14:val="none"/>
        </w:rPr>
        <w:t xml:space="preserve">. </w:t>
      </w:r>
      <w:r w:rsidRPr="00CA70AD">
        <w:rPr>
          <w:rFonts w:ascii="Times New Roman" w:eastAsia="Times New Roman" w:hAnsi="Times New Roman" w:cs="Times New Roman"/>
          <w:kern w:val="0"/>
          <w:sz w:val="28"/>
          <w:szCs w:val="28"/>
          <w14:ligatures w14:val="none"/>
        </w:rPr>
        <w:t>Through engaging the community and leveraging the support of various stakeholders, fundraising activities underscore the collective effort required to advance healthcare services</w:t>
      </w:r>
      <w:r w:rsidR="000B2968" w:rsidRPr="00CA70AD">
        <w:rPr>
          <w:rFonts w:ascii="Times New Roman" w:eastAsia="Times New Roman" w:hAnsi="Times New Roman" w:cs="Times New Roman"/>
          <w:kern w:val="0"/>
          <w:sz w:val="28"/>
          <w:szCs w:val="28"/>
          <w14:ligatures w14:val="none"/>
        </w:rPr>
        <w:t xml:space="preserve"> (Tulchinsky </w:t>
      </w:r>
      <w:r w:rsidR="005569AD">
        <w:rPr>
          <w:rFonts w:ascii="Times New Roman" w:eastAsia="Times New Roman" w:hAnsi="Times New Roman" w:cs="Times New Roman"/>
          <w:kern w:val="0"/>
          <w:sz w:val="28"/>
          <w:szCs w:val="28"/>
          <w14:ligatures w14:val="none"/>
        </w:rPr>
        <w:t>and</w:t>
      </w:r>
      <w:r w:rsidR="000B2968" w:rsidRPr="00CA70AD">
        <w:rPr>
          <w:rFonts w:ascii="Times New Roman" w:eastAsia="Times New Roman" w:hAnsi="Times New Roman" w:cs="Times New Roman"/>
          <w:kern w:val="0"/>
          <w:sz w:val="28"/>
          <w:szCs w:val="28"/>
          <w14:ligatures w14:val="none"/>
        </w:rPr>
        <w:t xml:space="preserve"> </w:t>
      </w:r>
      <w:proofErr w:type="spellStart"/>
      <w:r w:rsidR="000B2968" w:rsidRPr="00CA70AD">
        <w:rPr>
          <w:rFonts w:ascii="Times New Roman" w:eastAsia="Times New Roman" w:hAnsi="Times New Roman" w:cs="Times New Roman"/>
          <w:kern w:val="0"/>
          <w:sz w:val="28"/>
          <w:szCs w:val="28"/>
          <w14:ligatures w14:val="none"/>
        </w:rPr>
        <w:t>Varavikova</w:t>
      </w:r>
      <w:proofErr w:type="spellEnd"/>
      <w:r w:rsidR="000B2968" w:rsidRPr="00CA70AD">
        <w:rPr>
          <w:rFonts w:ascii="Times New Roman" w:eastAsia="Times New Roman" w:hAnsi="Times New Roman" w:cs="Times New Roman"/>
          <w:kern w:val="0"/>
          <w:sz w:val="28"/>
          <w:szCs w:val="28"/>
          <w14:ligatures w14:val="none"/>
        </w:rPr>
        <w:t>, 2014)</w:t>
      </w:r>
      <w:r w:rsidR="0008445B" w:rsidRPr="00CA70AD">
        <w:rPr>
          <w:rFonts w:ascii="Times New Roman" w:eastAsia="Times New Roman" w:hAnsi="Times New Roman" w:cs="Times New Roman"/>
          <w:kern w:val="0"/>
          <w:sz w:val="28"/>
          <w:szCs w:val="28"/>
          <w14:ligatures w14:val="none"/>
        </w:rPr>
        <w:t>.</w:t>
      </w:r>
    </w:p>
    <w:p w14:paraId="56EA740E" w14:textId="77777777" w:rsidR="0008445B" w:rsidRPr="00CA70AD" w:rsidRDefault="0008445B" w:rsidP="00D41A82">
      <w:pPr>
        <w:spacing w:after="0" w:line="240" w:lineRule="auto"/>
        <w:jc w:val="both"/>
        <w:rPr>
          <w:rFonts w:ascii="Times New Roman" w:eastAsia="Times New Roman" w:hAnsi="Times New Roman" w:cs="Times New Roman"/>
          <w:kern w:val="0"/>
          <w:sz w:val="28"/>
          <w:szCs w:val="28"/>
          <w14:ligatures w14:val="none"/>
        </w:rPr>
      </w:pPr>
    </w:p>
    <w:p w14:paraId="470D19A3" w14:textId="1E33A3FC" w:rsidR="00E4277E" w:rsidRPr="00CA70AD" w:rsidRDefault="0008445B" w:rsidP="00D41A82">
      <w:pPr>
        <w:spacing w:after="0" w:line="240" w:lineRule="auto"/>
        <w:jc w:val="both"/>
        <w:rPr>
          <w:rFonts w:ascii="Times New Roman" w:eastAsia="Times New Roman" w:hAnsi="Times New Roman" w:cs="Times New Roman"/>
          <w:kern w:val="0"/>
          <w:sz w:val="28"/>
          <w:szCs w:val="28"/>
          <w14:ligatures w14:val="none"/>
        </w:rPr>
      </w:pPr>
      <w:r w:rsidRPr="00CA70AD">
        <w:rPr>
          <w:rFonts w:ascii="Times New Roman" w:eastAsia="Times New Roman" w:hAnsi="Times New Roman" w:cs="Times New Roman"/>
          <w:kern w:val="0"/>
          <w:sz w:val="28"/>
          <w:szCs w:val="28"/>
          <w14:ligatures w14:val="none"/>
        </w:rPr>
        <w:t xml:space="preserve">The ability of nonprofit hospitals to draw public support through fundraising is crucial, with organizational characteristics such as the presence of an endowment and geographic location significantly influencing fundraising performance Furthermore, fundraising initiatives offer not-for-profit hospitals a competitive edge, generating additional operating cash, and supporting marketing and community relations programs (Erwin </w:t>
      </w:r>
      <w:r w:rsidR="005569AD">
        <w:rPr>
          <w:rFonts w:ascii="Times New Roman" w:eastAsia="Times New Roman" w:hAnsi="Times New Roman" w:cs="Times New Roman"/>
          <w:kern w:val="0"/>
          <w:sz w:val="28"/>
          <w:szCs w:val="28"/>
          <w14:ligatures w14:val="none"/>
        </w:rPr>
        <w:t>and</w:t>
      </w:r>
      <w:r w:rsidRPr="00CA70AD">
        <w:rPr>
          <w:rFonts w:ascii="Times New Roman" w:eastAsia="Times New Roman" w:hAnsi="Times New Roman" w:cs="Times New Roman"/>
          <w:kern w:val="0"/>
          <w:sz w:val="28"/>
          <w:szCs w:val="28"/>
          <w14:ligatures w14:val="none"/>
        </w:rPr>
        <w:t xml:space="preserve"> Landry, 2015).</w:t>
      </w:r>
    </w:p>
    <w:p w14:paraId="35E69D26" w14:textId="77777777" w:rsidR="0008445B" w:rsidRPr="00CA70AD" w:rsidRDefault="0008445B" w:rsidP="00D41A82">
      <w:pPr>
        <w:spacing w:after="0" w:line="240" w:lineRule="auto"/>
        <w:jc w:val="both"/>
        <w:rPr>
          <w:rFonts w:ascii="Times New Roman" w:eastAsia="Times New Roman" w:hAnsi="Times New Roman" w:cs="Times New Roman"/>
          <w:kern w:val="0"/>
          <w:sz w:val="28"/>
          <w:szCs w:val="28"/>
          <w14:ligatures w14:val="none"/>
        </w:rPr>
      </w:pPr>
    </w:p>
    <w:p w14:paraId="6AB3D80E" w14:textId="77777777" w:rsidR="00E4277E" w:rsidRPr="00CA70AD" w:rsidRDefault="00E4277E" w:rsidP="00D41A82">
      <w:pPr>
        <w:jc w:val="both"/>
        <w:rPr>
          <w:rFonts w:ascii="Times New Roman" w:hAnsi="Times New Roman" w:cs="Times New Roman"/>
          <w:b/>
          <w:bCs/>
          <w:sz w:val="28"/>
          <w:szCs w:val="28"/>
        </w:rPr>
      </w:pPr>
      <w:r w:rsidRPr="00CA70AD">
        <w:rPr>
          <w:rFonts w:ascii="Times New Roman" w:hAnsi="Times New Roman" w:cs="Times New Roman"/>
          <w:b/>
          <w:bCs/>
          <w:sz w:val="28"/>
          <w:szCs w:val="28"/>
        </w:rPr>
        <w:t>Context of the Report</w:t>
      </w:r>
    </w:p>
    <w:p w14:paraId="10747A70" w14:textId="418A98C8" w:rsidR="00E4277E" w:rsidRPr="00CA70AD" w:rsidRDefault="00E4277E" w:rsidP="00D41A82">
      <w:pPr>
        <w:jc w:val="both"/>
        <w:rPr>
          <w:rFonts w:ascii="Times New Roman" w:hAnsi="Times New Roman" w:cs="Times New Roman"/>
          <w:sz w:val="28"/>
          <w:szCs w:val="28"/>
        </w:rPr>
      </w:pPr>
      <w:r w:rsidRPr="00CA70AD">
        <w:rPr>
          <w:rFonts w:ascii="Times New Roman" w:hAnsi="Times New Roman" w:cs="Times New Roman"/>
          <w:sz w:val="28"/>
          <w:szCs w:val="28"/>
        </w:rPr>
        <w:t xml:space="preserve">The local hospital's mission to elevate its service and facility offerings through this fundraising event brings to light the multifaceted nature of the undertaking. With activities ranging from food sales to public gatherings and performances, the event’s success is dependent upon navigating a complex risk landscape. This entails not only the financial outcomes but also the assurance of a safe, compliant, and engaging environment for all stakeholders. The subsequent risk assessment </w:t>
      </w:r>
      <w:r w:rsidR="00356919" w:rsidRPr="00CA70AD">
        <w:rPr>
          <w:rFonts w:ascii="Times New Roman" w:hAnsi="Times New Roman" w:cs="Times New Roman"/>
          <w:sz w:val="28"/>
          <w:szCs w:val="28"/>
        </w:rPr>
        <w:t>endeavours</w:t>
      </w:r>
      <w:r w:rsidRPr="00CA70AD">
        <w:rPr>
          <w:rFonts w:ascii="Times New Roman" w:hAnsi="Times New Roman" w:cs="Times New Roman"/>
          <w:sz w:val="28"/>
          <w:szCs w:val="28"/>
        </w:rPr>
        <w:t xml:space="preserve"> to illuminate potential risks and craft strategies for their mitigation, thereby ensuring the event's alignment with the highest standards of safety, regulatory compliance, and overall success.</w:t>
      </w:r>
    </w:p>
    <w:p w14:paraId="5F89DCFF" w14:textId="77777777" w:rsidR="00E4277E" w:rsidRPr="00CA70AD" w:rsidRDefault="00E4277E" w:rsidP="00D41A82">
      <w:pPr>
        <w:jc w:val="both"/>
        <w:rPr>
          <w:rFonts w:ascii="Times New Roman" w:hAnsi="Times New Roman" w:cs="Times New Roman"/>
          <w:b/>
          <w:bCs/>
          <w:sz w:val="28"/>
          <w:szCs w:val="28"/>
        </w:rPr>
      </w:pPr>
      <w:r w:rsidRPr="00CA70AD">
        <w:rPr>
          <w:rFonts w:ascii="Times New Roman" w:hAnsi="Times New Roman" w:cs="Times New Roman"/>
          <w:b/>
          <w:bCs/>
          <w:sz w:val="28"/>
          <w:szCs w:val="28"/>
        </w:rPr>
        <w:t>Key Definitions</w:t>
      </w:r>
    </w:p>
    <w:p w14:paraId="46F01953" w14:textId="3D39DEFB" w:rsidR="00E4277E" w:rsidRPr="00CA70AD" w:rsidRDefault="00E4277E" w:rsidP="00D41A82">
      <w:pPr>
        <w:numPr>
          <w:ilvl w:val="0"/>
          <w:numId w:val="2"/>
        </w:numPr>
        <w:jc w:val="both"/>
        <w:rPr>
          <w:rFonts w:ascii="Times New Roman" w:hAnsi="Times New Roman" w:cs="Times New Roman"/>
          <w:sz w:val="28"/>
          <w:szCs w:val="28"/>
        </w:rPr>
      </w:pPr>
      <w:r w:rsidRPr="00CA70AD">
        <w:rPr>
          <w:rFonts w:ascii="Times New Roman" w:hAnsi="Times New Roman" w:cs="Times New Roman"/>
          <w:b/>
          <w:bCs/>
          <w:sz w:val="28"/>
          <w:szCs w:val="28"/>
        </w:rPr>
        <w:t>Risk Assessment</w:t>
      </w:r>
      <w:r w:rsidRPr="00CA70AD">
        <w:rPr>
          <w:rFonts w:ascii="Times New Roman" w:hAnsi="Times New Roman" w:cs="Times New Roman"/>
          <w:sz w:val="28"/>
          <w:szCs w:val="28"/>
        </w:rPr>
        <w:t>: A systematic process to identify, evaluate, and manage potential risks associated with specific activities or events, focusing on the likelihood and impact of adverse events (Huang et al, 2020</w:t>
      </w:r>
      <w:r w:rsidR="008B3820">
        <w:rPr>
          <w:rFonts w:ascii="Times New Roman" w:hAnsi="Times New Roman" w:cs="Times New Roman"/>
          <w:sz w:val="28"/>
          <w:szCs w:val="28"/>
        </w:rPr>
        <w:t>,</w:t>
      </w:r>
      <w:r w:rsidRPr="00CA70AD">
        <w:rPr>
          <w:rFonts w:ascii="Times New Roman" w:hAnsi="Times New Roman" w:cs="Times New Roman"/>
          <w:sz w:val="28"/>
          <w:szCs w:val="28"/>
        </w:rPr>
        <w:t xml:space="preserve"> Snyder, 2016).</w:t>
      </w:r>
    </w:p>
    <w:p w14:paraId="04085435" w14:textId="5CF2C86D" w:rsidR="00E4277E" w:rsidRPr="00CA70AD" w:rsidRDefault="00E4277E" w:rsidP="00D41A82">
      <w:pPr>
        <w:numPr>
          <w:ilvl w:val="0"/>
          <w:numId w:val="2"/>
        </w:numPr>
        <w:jc w:val="both"/>
        <w:rPr>
          <w:rFonts w:ascii="Times New Roman" w:hAnsi="Times New Roman" w:cs="Times New Roman"/>
          <w:sz w:val="28"/>
          <w:szCs w:val="28"/>
        </w:rPr>
      </w:pPr>
      <w:r w:rsidRPr="00CA70AD">
        <w:rPr>
          <w:rFonts w:ascii="Times New Roman" w:hAnsi="Times New Roman" w:cs="Times New Roman"/>
          <w:b/>
          <w:bCs/>
          <w:sz w:val="28"/>
          <w:szCs w:val="28"/>
        </w:rPr>
        <w:lastRenderedPageBreak/>
        <w:t>Legislative Compliance</w:t>
      </w:r>
      <w:r w:rsidRPr="00CA70AD">
        <w:rPr>
          <w:rFonts w:ascii="Times New Roman" w:hAnsi="Times New Roman" w:cs="Times New Roman"/>
          <w:sz w:val="28"/>
          <w:szCs w:val="28"/>
        </w:rPr>
        <w:t xml:space="preserve">: Adherence to applicable laws and regulations ensuring event operations are conducted within legal and ethical boundaries, particularly in health and safety, food hygiene, and public event management (Erwin </w:t>
      </w:r>
      <w:r w:rsidR="00081ADD">
        <w:rPr>
          <w:rFonts w:ascii="Times New Roman" w:hAnsi="Times New Roman" w:cs="Times New Roman"/>
          <w:sz w:val="28"/>
          <w:szCs w:val="28"/>
        </w:rPr>
        <w:t>and</w:t>
      </w:r>
      <w:r w:rsidRPr="00CA70AD">
        <w:rPr>
          <w:rFonts w:ascii="Times New Roman" w:hAnsi="Times New Roman" w:cs="Times New Roman"/>
          <w:sz w:val="28"/>
          <w:szCs w:val="28"/>
        </w:rPr>
        <w:t xml:space="preserve"> Landry, 2015).</w:t>
      </w:r>
    </w:p>
    <w:p w14:paraId="4E931A91" w14:textId="77777777" w:rsidR="00E4277E" w:rsidRPr="00CA70AD" w:rsidRDefault="00E4277E" w:rsidP="00D41A82">
      <w:pPr>
        <w:numPr>
          <w:ilvl w:val="0"/>
          <w:numId w:val="2"/>
        </w:numPr>
        <w:jc w:val="both"/>
        <w:rPr>
          <w:rFonts w:ascii="Times New Roman" w:hAnsi="Times New Roman" w:cs="Times New Roman"/>
          <w:sz w:val="28"/>
          <w:szCs w:val="28"/>
        </w:rPr>
      </w:pPr>
      <w:r w:rsidRPr="00CA70AD">
        <w:rPr>
          <w:rFonts w:ascii="Times New Roman" w:hAnsi="Times New Roman" w:cs="Times New Roman"/>
          <w:b/>
          <w:bCs/>
          <w:sz w:val="28"/>
          <w:szCs w:val="28"/>
        </w:rPr>
        <w:t>Risk Management</w:t>
      </w:r>
      <w:r w:rsidRPr="00CA70AD">
        <w:rPr>
          <w:rFonts w:ascii="Times New Roman" w:hAnsi="Times New Roman" w:cs="Times New Roman"/>
          <w:sz w:val="28"/>
          <w:szCs w:val="28"/>
        </w:rPr>
        <w:t>: The identification, analysis, and prioritization of risks followed by coordinated activities to minimize, control, and monitor the impact of unfortunate events or to maximize the realization of opportunities (Li, 2016).</w:t>
      </w:r>
    </w:p>
    <w:p w14:paraId="7C6F180B" w14:textId="77777777" w:rsidR="00E4277E" w:rsidRPr="00CA70AD" w:rsidRDefault="00E4277E" w:rsidP="00D41A82">
      <w:pPr>
        <w:jc w:val="both"/>
        <w:rPr>
          <w:rFonts w:ascii="Times New Roman" w:hAnsi="Times New Roman" w:cs="Times New Roman"/>
          <w:sz w:val="28"/>
          <w:szCs w:val="28"/>
        </w:rPr>
      </w:pPr>
      <w:r w:rsidRPr="00CA70AD">
        <w:rPr>
          <w:rFonts w:ascii="Times New Roman" w:hAnsi="Times New Roman" w:cs="Times New Roman"/>
          <w:sz w:val="28"/>
          <w:szCs w:val="28"/>
        </w:rPr>
        <w:t>The importance of conducting a detailed risk assessment for the hospital's fundraising event transcends the mere identification of potential hazards. It involves a comprehensive approach to ensuring the event's safety, effectiveness, and legislative compliance, thereby not only safeguarding participants but also aligning the event’s execution with best practices and regulatory standards.</w:t>
      </w:r>
    </w:p>
    <w:p w14:paraId="6F7F9F44" w14:textId="04291AE4" w:rsidR="00E4277E" w:rsidRPr="00CA70AD" w:rsidRDefault="00E4277E" w:rsidP="00D41A82">
      <w:pPr>
        <w:pStyle w:val="ListParagraph"/>
        <w:numPr>
          <w:ilvl w:val="0"/>
          <w:numId w:val="1"/>
        </w:numPr>
        <w:jc w:val="both"/>
        <w:rPr>
          <w:rFonts w:ascii="Times New Roman" w:hAnsi="Times New Roman" w:cs="Times New Roman"/>
          <w:b/>
          <w:bCs/>
          <w:sz w:val="28"/>
          <w:szCs w:val="28"/>
        </w:rPr>
      </w:pPr>
      <w:r w:rsidRPr="00CA70AD">
        <w:rPr>
          <w:rFonts w:ascii="Times New Roman" w:hAnsi="Times New Roman" w:cs="Times New Roman"/>
          <w:b/>
          <w:bCs/>
          <w:sz w:val="28"/>
          <w:szCs w:val="28"/>
        </w:rPr>
        <w:t xml:space="preserve"> Method</w:t>
      </w:r>
    </w:p>
    <w:p w14:paraId="0E0DD5CA" w14:textId="77777777" w:rsidR="00E4277E" w:rsidRPr="00CA70AD" w:rsidRDefault="00E4277E" w:rsidP="00D41A82">
      <w:pPr>
        <w:jc w:val="both"/>
        <w:rPr>
          <w:rFonts w:ascii="Times New Roman" w:hAnsi="Times New Roman" w:cs="Times New Roman"/>
          <w:sz w:val="28"/>
          <w:szCs w:val="28"/>
        </w:rPr>
      </w:pPr>
      <w:r w:rsidRPr="00CA70AD">
        <w:rPr>
          <w:rFonts w:ascii="Times New Roman" w:hAnsi="Times New Roman" w:cs="Times New Roman"/>
          <w:sz w:val="28"/>
          <w:szCs w:val="28"/>
        </w:rPr>
        <w:t>The methodology for conducting a comprehensive risk assessment of a healthcare fundraising event involves a multifaceted approach, blending both qualitative and quantitative analyses to ensure a thorough identification, evaluation, and management of potential risks. This section outlines the adopted methodology, justified through relevant literature, to systematically address the risks associated with planning, executing, and concluding a healthcare fundraising event featuring a bake sale, a raffle, and entertainment activities.</w:t>
      </w:r>
    </w:p>
    <w:p w14:paraId="43CF5104" w14:textId="77777777" w:rsidR="00E4277E" w:rsidRPr="00CA70AD" w:rsidRDefault="00E4277E" w:rsidP="00D41A82">
      <w:pPr>
        <w:jc w:val="both"/>
        <w:rPr>
          <w:rFonts w:ascii="Times New Roman" w:hAnsi="Times New Roman" w:cs="Times New Roman"/>
          <w:b/>
          <w:bCs/>
          <w:sz w:val="28"/>
          <w:szCs w:val="28"/>
        </w:rPr>
      </w:pPr>
      <w:r w:rsidRPr="00CA70AD">
        <w:rPr>
          <w:rFonts w:ascii="Times New Roman" w:hAnsi="Times New Roman" w:cs="Times New Roman"/>
          <w:b/>
          <w:bCs/>
          <w:sz w:val="28"/>
          <w:szCs w:val="28"/>
        </w:rPr>
        <w:t>Approach and Justification</w:t>
      </w:r>
    </w:p>
    <w:p w14:paraId="0363EDDC" w14:textId="68FFE958" w:rsidR="00E4277E" w:rsidRPr="00CA70AD" w:rsidRDefault="00E4277E" w:rsidP="00D41A82">
      <w:pPr>
        <w:jc w:val="both"/>
        <w:rPr>
          <w:rFonts w:ascii="Times New Roman" w:hAnsi="Times New Roman" w:cs="Times New Roman"/>
          <w:sz w:val="28"/>
          <w:szCs w:val="28"/>
        </w:rPr>
      </w:pPr>
      <w:r w:rsidRPr="00CA70AD">
        <w:rPr>
          <w:rFonts w:ascii="Times New Roman" w:hAnsi="Times New Roman" w:cs="Times New Roman"/>
          <w:sz w:val="28"/>
          <w:szCs w:val="28"/>
        </w:rPr>
        <w:t>The risk assessment process commenced with a qualitative analysis, leveraging observations, interviews, and documentation review. This approach was instrumental in identifying the specific risks associated with healthcare fundraising events, such as food safety concerns, crowd management challenges, and legal compliance issues associated with raffles and entertainment activities (Peng et al, 2021). Qualitative methods enabled the capture of nuanced insights from previous event organizers, healthcare administrators, and legal advisors, providing a rich understanding of potential risk factors and effective mitigation strategies.</w:t>
      </w:r>
    </w:p>
    <w:p w14:paraId="2BA8B783" w14:textId="5A82103E" w:rsidR="00E4277E" w:rsidRPr="00CA70AD" w:rsidRDefault="00E4277E" w:rsidP="00D41A82">
      <w:pPr>
        <w:jc w:val="both"/>
        <w:rPr>
          <w:rFonts w:ascii="Times New Roman" w:hAnsi="Times New Roman" w:cs="Times New Roman"/>
          <w:sz w:val="28"/>
          <w:szCs w:val="28"/>
        </w:rPr>
      </w:pPr>
      <w:r w:rsidRPr="00CA70AD">
        <w:rPr>
          <w:rFonts w:ascii="Times New Roman" w:hAnsi="Times New Roman" w:cs="Times New Roman"/>
          <w:sz w:val="28"/>
          <w:szCs w:val="28"/>
        </w:rPr>
        <w:t xml:space="preserve">Concurrently, a quantitative analysis was conducted to evaluate the likelihood and impact of identified risks, employing a Risk Register and Risk Matrix method. This involved scoring risks on a scale of 1 to 5 based on their probability of occurrence and potential severity of impact, facilitating the prioritization of risk mitigation </w:t>
      </w:r>
      <w:r w:rsidRPr="00CA70AD">
        <w:rPr>
          <w:rFonts w:ascii="Times New Roman" w:hAnsi="Times New Roman" w:cs="Times New Roman"/>
          <w:sz w:val="28"/>
          <w:szCs w:val="28"/>
        </w:rPr>
        <w:lastRenderedPageBreak/>
        <w:t xml:space="preserve">efforts (Haywood </w:t>
      </w:r>
      <w:r w:rsidR="00081ADD">
        <w:rPr>
          <w:rFonts w:ascii="Times New Roman" w:hAnsi="Times New Roman" w:cs="Times New Roman"/>
          <w:sz w:val="28"/>
          <w:szCs w:val="28"/>
        </w:rPr>
        <w:t>and</w:t>
      </w:r>
      <w:r w:rsidRPr="00CA70AD">
        <w:rPr>
          <w:rFonts w:ascii="Times New Roman" w:hAnsi="Times New Roman" w:cs="Times New Roman"/>
          <w:sz w:val="28"/>
          <w:szCs w:val="28"/>
        </w:rPr>
        <w:t xml:space="preserve"> Coackley, 2011</w:t>
      </w:r>
      <w:r w:rsidR="00081ADD">
        <w:rPr>
          <w:rFonts w:ascii="Times New Roman" w:hAnsi="Times New Roman" w:cs="Times New Roman"/>
          <w:sz w:val="28"/>
          <w:szCs w:val="28"/>
        </w:rPr>
        <w:t>,</w:t>
      </w:r>
      <w:r w:rsidRPr="00CA70AD">
        <w:rPr>
          <w:rFonts w:ascii="Times New Roman" w:hAnsi="Times New Roman" w:cs="Times New Roman"/>
          <w:sz w:val="28"/>
          <w:szCs w:val="28"/>
        </w:rPr>
        <w:t xml:space="preserve"> Silvers </w:t>
      </w:r>
      <w:r w:rsidR="00081ADD">
        <w:rPr>
          <w:rFonts w:ascii="Times New Roman" w:hAnsi="Times New Roman" w:cs="Times New Roman"/>
          <w:sz w:val="28"/>
          <w:szCs w:val="28"/>
        </w:rPr>
        <w:t>and</w:t>
      </w:r>
      <w:r w:rsidRPr="00CA70AD">
        <w:rPr>
          <w:rFonts w:ascii="Times New Roman" w:hAnsi="Times New Roman" w:cs="Times New Roman"/>
          <w:sz w:val="28"/>
          <w:szCs w:val="28"/>
        </w:rPr>
        <w:t xml:space="preserve"> </w:t>
      </w:r>
      <w:proofErr w:type="spellStart"/>
      <w:r w:rsidRPr="00CA70AD">
        <w:rPr>
          <w:rFonts w:ascii="Times New Roman" w:hAnsi="Times New Roman" w:cs="Times New Roman"/>
          <w:sz w:val="28"/>
          <w:szCs w:val="28"/>
        </w:rPr>
        <w:t>O'toole</w:t>
      </w:r>
      <w:proofErr w:type="spellEnd"/>
      <w:r w:rsidRPr="00CA70AD">
        <w:rPr>
          <w:rFonts w:ascii="Times New Roman" w:hAnsi="Times New Roman" w:cs="Times New Roman"/>
          <w:sz w:val="28"/>
          <w:szCs w:val="28"/>
        </w:rPr>
        <w:t>, 2020). The quantitative aspect of the methodology was critical in allocating resources efficiently towards the most significant risks.</w:t>
      </w:r>
    </w:p>
    <w:p w14:paraId="30903D4E" w14:textId="73A11056" w:rsidR="00E348CE" w:rsidRPr="00CA70AD" w:rsidRDefault="00E348CE" w:rsidP="00D41A82">
      <w:pPr>
        <w:jc w:val="both"/>
        <w:rPr>
          <w:rFonts w:ascii="Times New Roman" w:hAnsi="Times New Roman" w:cs="Times New Roman"/>
          <w:sz w:val="28"/>
          <w:szCs w:val="28"/>
        </w:rPr>
      </w:pPr>
      <w:r w:rsidRPr="00CA70AD">
        <w:rPr>
          <w:rFonts w:ascii="Times New Roman" w:hAnsi="Times New Roman" w:cs="Times New Roman"/>
          <w:sz w:val="28"/>
          <w:szCs w:val="28"/>
        </w:rPr>
        <w:t>A study highlighted the importance of formal risk management activities in managing risks within public service partnerships, suggesting the need for improvement in this area for healthcare fundraising events (Karlsson et al, 2020). This insight underscores the necessity of extending formal risk management practices to partnership working in the context of healthcare fundraising. The DMRA technique offers a structured approach for evaluating risks, combining both the likelihood of occurrence and the severity of impact. This methodology provides a clear framework for assessing and prioritizing risks systematically (Pascarella et al, 2021).</w:t>
      </w:r>
    </w:p>
    <w:p w14:paraId="0294E4FA" w14:textId="77777777" w:rsidR="00E4277E" w:rsidRPr="00CA70AD" w:rsidRDefault="00E4277E" w:rsidP="00D41A82">
      <w:pPr>
        <w:jc w:val="both"/>
        <w:rPr>
          <w:rFonts w:ascii="Times New Roman" w:hAnsi="Times New Roman" w:cs="Times New Roman"/>
          <w:b/>
          <w:bCs/>
          <w:sz w:val="28"/>
          <w:szCs w:val="28"/>
        </w:rPr>
      </w:pPr>
      <w:r w:rsidRPr="00CA70AD">
        <w:rPr>
          <w:rFonts w:ascii="Times New Roman" w:hAnsi="Times New Roman" w:cs="Times New Roman"/>
          <w:b/>
          <w:bCs/>
          <w:sz w:val="28"/>
          <w:szCs w:val="28"/>
        </w:rPr>
        <w:t>Areas Assessed</w:t>
      </w:r>
    </w:p>
    <w:p w14:paraId="2520E9C5" w14:textId="77777777" w:rsidR="00E4277E" w:rsidRPr="00CA70AD" w:rsidRDefault="00E4277E" w:rsidP="00D41A82">
      <w:pPr>
        <w:jc w:val="both"/>
        <w:rPr>
          <w:rFonts w:ascii="Times New Roman" w:hAnsi="Times New Roman" w:cs="Times New Roman"/>
          <w:sz w:val="28"/>
          <w:szCs w:val="28"/>
        </w:rPr>
      </w:pPr>
      <w:r w:rsidRPr="00CA70AD">
        <w:rPr>
          <w:rFonts w:ascii="Times New Roman" w:hAnsi="Times New Roman" w:cs="Times New Roman"/>
          <w:sz w:val="28"/>
          <w:szCs w:val="28"/>
        </w:rPr>
        <w:t>The risk assessment covered several key areas:</w:t>
      </w:r>
    </w:p>
    <w:p w14:paraId="7AB4DEB7" w14:textId="77777777" w:rsidR="00E4277E" w:rsidRPr="00CA70AD" w:rsidRDefault="00E4277E" w:rsidP="00D41A82">
      <w:pPr>
        <w:numPr>
          <w:ilvl w:val="0"/>
          <w:numId w:val="3"/>
        </w:numPr>
        <w:jc w:val="both"/>
        <w:rPr>
          <w:rFonts w:ascii="Times New Roman" w:hAnsi="Times New Roman" w:cs="Times New Roman"/>
          <w:sz w:val="28"/>
          <w:szCs w:val="28"/>
        </w:rPr>
      </w:pPr>
      <w:r w:rsidRPr="00CA70AD">
        <w:rPr>
          <w:rFonts w:ascii="Times New Roman" w:hAnsi="Times New Roman" w:cs="Times New Roman"/>
          <w:b/>
          <w:bCs/>
          <w:sz w:val="28"/>
          <w:szCs w:val="28"/>
        </w:rPr>
        <w:t>Food Safety</w:t>
      </w:r>
      <w:r w:rsidRPr="00CA70AD">
        <w:rPr>
          <w:rFonts w:ascii="Times New Roman" w:hAnsi="Times New Roman" w:cs="Times New Roman"/>
          <w:sz w:val="28"/>
          <w:szCs w:val="28"/>
        </w:rPr>
        <w:t>: Given the inclusion of a bake sale, risks related to food handling, preparation, and storage were thoroughly evaluated.</w:t>
      </w:r>
    </w:p>
    <w:p w14:paraId="07D11383" w14:textId="77777777" w:rsidR="00E4277E" w:rsidRPr="00CA70AD" w:rsidRDefault="00E4277E" w:rsidP="00D41A82">
      <w:pPr>
        <w:numPr>
          <w:ilvl w:val="0"/>
          <w:numId w:val="3"/>
        </w:numPr>
        <w:jc w:val="both"/>
        <w:rPr>
          <w:rFonts w:ascii="Times New Roman" w:hAnsi="Times New Roman" w:cs="Times New Roman"/>
          <w:sz w:val="28"/>
          <w:szCs w:val="28"/>
        </w:rPr>
      </w:pPr>
      <w:r w:rsidRPr="00CA70AD">
        <w:rPr>
          <w:rFonts w:ascii="Times New Roman" w:hAnsi="Times New Roman" w:cs="Times New Roman"/>
          <w:b/>
          <w:bCs/>
          <w:sz w:val="28"/>
          <w:szCs w:val="28"/>
        </w:rPr>
        <w:t>Crowd Management</w:t>
      </w:r>
      <w:r w:rsidRPr="00CA70AD">
        <w:rPr>
          <w:rFonts w:ascii="Times New Roman" w:hAnsi="Times New Roman" w:cs="Times New Roman"/>
          <w:sz w:val="28"/>
          <w:szCs w:val="28"/>
        </w:rPr>
        <w:t>: Assessing the risks associated with managing event attendees to prevent accidents and ensure a smooth flow of participants.</w:t>
      </w:r>
    </w:p>
    <w:p w14:paraId="7AE633F8" w14:textId="77777777" w:rsidR="00E4277E" w:rsidRPr="00CA70AD" w:rsidRDefault="00E4277E" w:rsidP="00D41A82">
      <w:pPr>
        <w:numPr>
          <w:ilvl w:val="0"/>
          <w:numId w:val="3"/>
        </w:numPr>
        <w:jc w:val="both"/>
        <w:rPr>
          <w:rFonts w:ascii="Times New Roman" w:hAnsi="Times New Roman" w:cs="Times New Roman"/>
          <w:sz w:val="28"/>
          <w:szCs w:val="28"/>
        </w:rPr>
      </w:pPr>
      <w:r w:rsidRPr="00CA70AD">
        <w:rPr>
          <w:rFonts w:ascii="Times New Roman" w:hAnsi="Times New Roman" w:cs="Times New Roman"/>
          <w:b/>
          <w:bCs/>
          <w:sz w:val="28"/>
          <w:szCs w:val="28"/>
        </w:rPr>
        <w:t>Legal Compliance</w:t>
      </w:r>
      <w:r w:rsidRPr="00CA70AD">
        <w:rPr>
          <w:rFonts w:ascii="Times New Roman" w:hAnsi="Times New Roman" w:cs="Times New Roman"/>
          <w:sz w:val="28"/>
          <w:szCs w:val="28"/>
        </w:rPr>
        <w:t>: Examination of compliance with local laws and regulations concerning raffles and public entertainment, including licensing requirements and gambling laws.</w:t>
      </w:r>
    </w:p>
    <w:p w14:paraId="6C64B7D0" w14:textId="77777777" w:rsidR="00E4277E" w:rsidRPr="00CA70AD" w:rsidRDefault="00E4277E" w:rsidP="00D41A82">
      <w:pPr>
        <w:numPr>
          <w:ilvl w:val="0"/>
          <w:numId w:val="3"/>
        </w:numPr>
        <w:jc w:val="both"/>
        <w:rPr>
          <w:rFonts w:ascii="Times New Roman" w:hAnsi="Times New Roman" w:cs="Times New Roman"/>
          <w:sz w:val="28"/>
          <w:szCs w:val="28"/>
        </w:rPr>
      </w:pPr>
      <w:r w:rsidRPr="00CA70AD">
        <w:rPr>
          <w:rFonts w:ascii="Times New Roman" w:hAnsi="Times New Roman" w:cs="Times New Roman"/>
          <w:b/>
          <w:bCs/>
          <w:sz w:val="28"/>
          <w:szCs w:val="28"/>
        </w:rPr>
        <w:t>Financial Management</w:t>
      </w:r>
      <w:r w:rsidRPr="00CA70AD">
        <w:rPr>
          <w:rFonts w:ascii="Times New Roman" w:hAnsi="Times New Roman" w:cs="Times New Roman"/>
          <w:sz w:val="28"/>
          <w:szCs w:val="28"/>
        </w:rPr>
        <w:t>: Evaluation of risks related to handling and safeguarding the funds raised during the event.</w:t>
      </w:r>
    </w:p>
    <w:p w14:paraId="6EEC972D" w14:textId="77777777" w:rsidR="00E4277E" w:rsidRPr="00CA70AD" w:rsidRDefault="00E4277E" w:rsidP="00D41A82">
      <w:pPr>
        <w:numPr>
          <w:ilvl w:val="0"/>
          <w:numId w:val="3"/>
        </w:numPr>
        <w:jc w:val="both"/>
        <w:rPr>
          <w:rFonts w:ascii="Times New Roman" w:hAnsi="Times New Roman" w:cs="Times New Roman"/>
          <w:sz w:val="28"/>
          <w:szCs w:val="28"/>
        </w:rPr>
      </w:pPr>
      <w:r w:rsidRPr="00CA70AD">
        <w:rPr>
          <w:rFonts w:ascii="Times New Roman" w:hAnsi="Times New Roman" w:cs="Times New Roman"/>
          <w:b/>
          <w:bCs/>
          <w:sz w:val="28"/>
          <w:szCs w:val="28"/>
        </w:rPr>
        <w:t>Health and Safety</w:t>
      </w:r>
      <w:r w:rsidRPr="00CA70AD">
        <w:rPr>
          <w:rFonts w:ascii="Times New Roman" w:hAnsi="Times New Roman" w:cs="Times New Roman"/>
          <w:sz w:val="28"/>
          <w:szCs w:val="28"/>
        </w:rPr>
        <w:t>: Consideration of general health and safety risks to participants, including first aid provisions and emergency response plans.</w:t>
      </w:r>
    </w:p>
    <w:p w14:paraId="419F42F2" w14:textId="668CC21D" w:rsidR="00E4277E" w:rsidRPr="00CA70AD" w:rsidRDefault="00E4277E" w:rsidP="00D41A82">
      <w:pPr>
        <w:pStyle w:val="ListParagraph"/>
        <w:numPr>
          <w:ilvl w:val="0"/>
          <w:numId w:val="1"/>
        </w:numPr>
        <w:jc w:val="both"/>
        <w:rPr>
          <w:rFonts w:ascii="Times New Roman" w:hAnsi="Times New Roman" w:cs="Times New Roman"/>
          <w:b/>
          <w:bCs/>
          <w:sz w:val="28"/>
          <w:szCs w:val="28"/>
        </w:rPr>
      </w:pPr>
      <w:r w:rsidRPr="00CA70AD">
        <w:rPr>
          <w:rFonts w:ascii="Times New Roman" w:hAnsi="Times New Roman" w:cs="Times New Roman"/>
          <w:b/>
          <w:bCs/>
          <w:sz w:val="28"/>
          <w:szCs w:val="28"/>
        </w:rPr>
        <w:t xml:space="preserve"> Compliance with Standards and Legislation</w:t>
      </w:r>
    </w:p>
    <w:p w14:paraId="15D822CF" w14:textId="77777777" w:rsidR="00E4277E" w:rsidRPr="00CA70AD" w:rsidRDefault="00E4277E" w:rsidP="00D41A82">
      <w:pPr>
        <w:jc w:val="both"/>
        <w:rPr>
          <w:rFonts w:ascii="Times New Roman" w:hAnsi="Times New Roman" w:cs="Times New Roman"/>
          <w:sz w:val="28"/>
          <w:szCs w:val="28"/>
        </w:rPr>
      </w:pPr>
      <w:r w:rsidRPr="00CA70AD">
        <w:rPr>
          <w:rFonts w:ascii="Times New Roman" w:hAnsi="Times New Roman" w:cs="Times New Roman"/>
          <w:sz w:val="28"/>
          <w:szCs w:val="28"/>
        </w:rPr>
        <w:t>Ensuring compliance with standards and legislation is paramount in the organization and execution of healthcare fundraising events. This section elucidates the critical compliance areas relevant to the planned fundraising event at a local hospital, incorporating a bake sale, a raffle, and entertainment.</w:t>
      </w:r>
    </w:p>
    <w:p w14:paraId="75833C97" w14:textId="77777777" w:rsidR="00135404" w:rsidRDefault="00135404" w:rsidP="00D41A82">
      <w:pPr>
        <w:jc w:val="both"/>
        <w:rPr>
          <w:rFonts w:ascii="Times New Roman" w:hAnsi="Times New Roman" w:cs="Times New Roman"/>
          <w:b/>
          <w:bCs/>
          <w:sz w:val="28"/>
          <w:szCs w:val="28"/>
        </w:rPr>
      </w:pPr>
    </w:p>
    <w:p w14:paraId="1FBC15C0" w14:textId="7C521F2F" w:rsidR="00E4277E" w:rsidRPr="00CA70AD" w:rsidRDefault="00E4277E" w:rsidP="00D41A82">
      <w:pPr>
        <w:jc w:val="both"/>
        <w:rPr>
          <w:rFonts w:ascii="Times New Roman" w:hAnsi="Times New Roman" w:cs="Times New Roman"/>
          <w:b/>
          <w:bCs/>
          <w:sz w:val="28"/>
          <w:szCs w:val="28"/>
        </w:rPr>
      </w:pPr>
      <w:r w:rsidRPr="00CA70AD">
        <w:rPr>
          <w:rFonts w:ascii="Times New Roman" w:hAnsi="Times New Roman" w:cs="Times New Roman"/>
          <w:b/>
          <w:bCs/>
          <w:sz w:val="28"/>
          <w:szCs w:val="28"/>
        </w:rPr>
        <w:lastRenderedPageBreak/>
        <w:t>Legal and Ethical Compliance</w:t>
      </w:r>
    </w:p>
    <w:p w14:paraId="0D9B2338" w14:textId="77777777" w:rsidR="00E4277E" w:rsidRPr="00CA70AD" w:rsidRDefault="00E4277E" w:rsidP="00D41A82">
      <w:pPr>
        <w:jc w:val="both"/>
        <w:rPr>
          <w:rFonts w:ascii="Times New Roman" w:hAnsi="Times New Roman" w:cs="Times New Roman"/>
          <w:sz w:val="28"/>
          <w:szCs w:val="28"/>
        </w:rPr>
      </w:pPr>
      <w:r w:rsidRPr="00CA70AD">
        <w:rPr>
          <w:rFonts w:ascii="Times New Roman" w:hAnsi="Times New Roman" w:cs="Times New Roman"/>
          <w:sz w:val="28"/>
          <w:szCs w:val="28"/>
        </w:rPr>
        <w:t>The ethical and legal frameworks governing healthcare fundraising events necessitate careful consideration of several factors, including donor recognition, partnerships with companies, and the avoidance of preferential treatment in care access. These considerations ensure that fundraising efforts align with both the public good and fiduciary responsibilities to patients, avoiding conflicts of interest and ensuring ethical integrity (Reid, 2017).</w:t>
      </w:r>
    </w:p>
    <w:p w14:paraId="13A2E53A" w14:textId="77777777" w:rsidR="00E4277E" w:rsidRPr="00CA70AD" w:rsidRDefault="00E4277E" w:rsidP="00D41A82">
      <w:pPr>
        <w:jc w:val="both"/>
        <w:rPr>
          <w:rFonts w:ascii="Times New Roman" w:hAnsi="Times New Roman" w:cs="Times New Roman"/>
          <w:b/>
          <w:bCs/>
          <w:sz w:val="28"/>
          <w:szCs w:val="28"/>
        </w:rPr>
      </w:pPr>
      <w:r w:rsidRPr="00CA70AD">
        <w:rPr>
          <w:rFonts w:ascii="Times New Roman" w:hAnsi="Times New Roman" w:cs="Times New Roman"/>
          <w:b/>
          <w:bCs/>
          <w:sz w:val="28"/>
          <w:szCs w:val="28"/>
        </w:rPr>
        <w:t>Regulatory Oversight</w:t>
      </w:r>
    </w:p>
    <w:p w14:paraId="6B40994A" w14:textId="6A3F97DA" w:rsidR="00E4277E" w:rsidRPr="00CA70AD" w:rsidRDefault="00E4277E" w:rsidP="00D41A82">
      <w:pPr>
        <w:jc w:val="both"/>
        <w:rPr>
          <w:rFonts w:ascii="Times New Roman" w:hAnsi="Times New Roman" w:cs="Times New Roman"/>
          <w:sz w:val="28"/>
          <w:szCs w:val="28"/>
        </w:rPr>
      </w:pPr>
      <w:r w:rsidRPr="00CA70AD">
        <w:rPr>
          <w:rFonts w:ascii="Times New Roman" w:hAnsi="Times New Roman" w:cs="Times New Roman"/>
          <w:sz w:val="28"/>
          <w:szCs w:val="28"/>
        </w:rPr>
        <w:t xml:space="preserve">Healthcare fundraising events fall under the purview of various regulatory bodies and legislation, depending on the nature of the activities involved. For instance, food sales require adherence to food safety regulations, while raffles and lotteries may need compliance with gambling laws. In Victoria, for example, Consumer Affairs Victoria (CAV) and the Fundraising Act 1998 (Vic) outline the regulatory framework for fundraising activities (Sargent </w:t>
      </w:r>
      <w:r w:rsidR="00A970AA">
        <w:rPr>
          <w:rFonts w:ascii="Times New Roman" w:hAnsi="Times New Roman" w:cs="Times New Roman"/>
          <w:sz w:val="28"/>
          <w:szCs w:val="28"/>
        </w:rPr>
        <w:t>and</w:t>
      </w:r>
      <w:r w:rsidRPr="00CA70AD">
        <w:rPr>
          <w:rFonts w:ascii="Times New Roman" w:hAnsi="Times New Roman" w:cs="Times New Roman"/>
          <w:sz w:val="28"/>
          <w:szCs w:val="28"/>
        </w:rPr>
        <w:t xml:space="preserve"> George, 2021). It is crucial for event organizers to familiarize themselves with and adhere to these regulations to ensure legal compliance and safeguard the event's success.</w:t>
      </w:r>
    </w:p>
    <w:p w14:paraId="2845A711" w14:textId="77777777" w:rsidR="00E4277E" w:rsidRPr="00CA70AD" w:rsidRDefault="00E4277E" w:rsidP="00D41A82">
      <w:pPr>
        <w:jc w:val="both"/>
        <w:rPr>
          <w:rFonts w:ascii="Times New Roman" w:hAnsi="Times New Roman" w:cs="Times New Roman"/>
          <w:b/>
          <w:bCs/>
          <w:sz w:val="28"/>
          <w:szCs w:val="28"/>
        </w:rPr>
      </w:pPr>
      <w:r w:rsidRPr="00CA70AD">
        <w:rPr>
          <w:rFonts w:ascii="Times New Roman" w:hAnsi="Times New Roman" w:cs="Times New Roman"/>
          <w:b/>
          <w:bCs/>
          <w:sz w:val="28"/>
          <w:szCs w:val="28"/>
        </w:rPr>
        <w:t>Stakeholder Involvement</w:t>
      </w:r>
    </w:p>
    <w:p w14:paraId="7BE856EF" w14:textId="485B8141" w:rsidR="00A318A7" w:rsidRPr="00CA70AD" w:rsidRDefault="00A318A7" w:rsidP="00D41A82">
      <w:pPr>
        <w:jc w:val="both"/>
        <w:rPr>
          <w:rFonts w:ascii="Times New Roman" w:hAnsi="Times New Roman" w:cs="Times New Roman"/>
          <w:b/>
          <w:bCs/>
          <w:sz w:val="28"/>
          <w:szCs w:val="28"/>
        </w:rPr>
      </w:pPr>
      <w:r w:rsidRPr="00CA70AD">
        <w:rPr>
          <w:rFonts w:ascii="Times New Roman" w:hAnsi="Times New Roman" w:cs="Times New Roman"/>
          <w:sz w:val="28"/>
          <w:szCs w:val="28"/>
        </w:rPr>
        <w:t>Stakeholder involvement in compliance for healthcare fundraising events is crucial to navigate the complex landscape of ethical dilemmas and legal requirements, ensuring alignment with the public good and fiduciary responsibilities of healthcare institutions (Reid, 2017). The performance of medical crowdfunding, significantly influenced by charities' reputation and social capital, underscores the importance of stakeholder engagement in enhancing fundraising outcomes (Ba et al, 2022). Furthermore, stakeholder involvement, particularly through social networks and the social capital of fundraisers, plays a pivotal role in the success of medical crowdfunding events, impacting the amount of donations obtained (</w:t>
      </w:r>
      <w:r w:rsidR="005442D8" w:rsidRPr="00CA70AD">
        <w:rPr>
          <w:rFonts w:ascii="Times New Roman" w:hAnsi="Times New Roman" w:cs="Times New Roman"/>
          <w:sz w:val="28"/>
          <w:szCs w:val="28"/>
        </w:rPr>
        <w:t>Pollock et al, 2018)</w:t>
      </w:r>
      <w:r w:rsidRPr="00CA70AD">
        <w:rPr>
          <w:rFonts w:ascii="Times New Roman" w:hAnsi="Times New Roman" w:cs="Times New Roman"/>
          <w:b/>
          <w:bCs/>
          <w:sz w:val="28"/>
          <w:szCs w:val="28"/>
        </w:rPr>
        <w:t xml:space="preserve"> </w:t>
      </w:r>
    </w:p>
    <w:p w14:paraId="5A913179" w14:textId="5109B16C" w:rsidR="00E4277E" w:rsidRPr="00CA70AD" w:rsidRDefault="00E4277E" w:rsidP="00D41A82">
      <w:pPr>
        <w:jc w:val="both"/>
        <w:rPr>
          <w:rFonts w:ascii="Times New Roman" w:hAnsi="Times New Roman" w:cs="Times New Roman"/>
          <w:b/>
          <w:bCs/>
          <w:sz w:val="28"/>
          <w:szCs w:val="28"/>
        </w:rPr>
      </w:pPr>
      <w:r w:rsidRPr="00CA70AD">
        <w:rPr>
          <w:rFonts w:ascii="Times New Roman" w:hAnsi="Times New Roman" w:cs="Times New Roman"/>
          <w:b/>
          <w:bCs/>
          <w:sz w:val="28"/>
          <w:szCs w:val="28"/>
        </w:rPr>
        <w:t>Best Practices</w:t>
      </w:r>
    </w:p>
    <w:p w14:paraId="0F23CA73" w14:textId="77777777" w:rsidR="00E4277E" w:rsidRDefault="00E4277E" w:rsidP="00D41A82">
      <w:pPr>
        <w:jc w:val="both"/>
        <w:rPr>
          <w:rFonts w:ascii="Times New Roman" w:hAnsi="Times New Roman" w:cs="Times New Roman"/>
          <w:sz w:val="28"/>
          <w:szCs w:val="28"/>
        </w:rPr>
      </w:pPr>
      <w:r w:rsidRPr="00CA70AD">
        <w:rPr>
          <w:rFonts w:ascii="Times New Roman" w:hAnsi="Times New Roman" w:cs="Times New Roman"/>
          <w:sz w:val="28"/>
          <w:szCs w:val="28"/>
        </w:rPr>
        <w:t>Adopting best practices in planning and managing hospital fundraising activities is instrumental in achieving compliance and fundraising success. Effective strategies include the active participation of management, physicians, employees, and the community in the fundraising process, leveraging their roles to enhance the event's credibility, appeal, and adherence to compliance requirements (Li, 2016).</w:t>
      </w:r>
    </w:p>
    <w:p w14:paraId="13062880" w14:textId="77777777" w:rsidR="00255583" w:rsidRPr="00CA70AD" w:rsidRDefault="00255583" w:rsidP="00255583">
      <w:pPr>
        <w:jc w:val="both"/>
        <w:rPr>
          <w:rFonts w:ascii="Times New Roman" w:hAnsi="Times New Roman" w:cs="Times New Roman"/>
          <w:b/>
          <w:bCs/>
          <w:sz w:val="28"/>
          <w:szCs w:val="28"/>
        </w:rPr>
      </w:pPr>
      <w:r w:rsidRPr="00CA70AD">
        <w:rPr>
          <w:rFonts w:ascii="Times New Roman" w:hAnsi="Times New Roman" w:cs="Times New Roman"/>
          <w:b/>
          <w:bCs/>
          <w:sz w:val="28"/>
          <w:szCs w:val="28"/>
        </w:rPr>
        <w:lastRenderedPageBreak/>
        <w:t>Compliance Strategies</w:t>
      </w:r>
    </w:p>
    <w:p w14:paraId="6E4C6255" w14:textId="77777777" w:rsidR="00255583" w:rsidRPr="00CA70AD" w:rsidRDefault="00255583" w:rsidP="00255583">
      <w:pPr>
        <w:jc w:val="both"/>
        <w:rPr>
          <w:rFonts w:ascii="Times New Roman" w:hAnsi="Times New Roman" w:cs="Times New Roman"/>
          <w:sz w:val="28"/>
          <w:szCs w:val="28"/>
        </w:rPr>
      </w:pPr>
      <w:r w:rsidRPr="00CA70AD">
        <w:rPr>
          <w:rFonts w:ascii="Times New Roman" w:hAnsi="Times New Roman" w:cs="Times New Roman"/>
          <w:sz w:val="28"/>
          <w:szCs w:val="28"/>
        </w:rPr>
        <w:t>Fundraising event organizers must implement comprehensive strategies to ensure compliance with standards and legislation, including:</w:t>
      </w:r>
    </w:p>
    <w:p w14:paraId="03653AB0" w14:textId="77777777" w:rsidR="00255583" w:rsidRPr="00CA70AD" w:rsidRDefault="00255583" w:rsidP="00255583">
      <w:pPr>
        <w:numPr>
          <w:ilvl w:val="0"/>
          <w:numId w:val="10"/>
        </w:numPr>
        <w:jc w:val="both"/>
        <w:rPr>
          <w:rFonts w:ascii="Times New Roman" w:hAnsi="Times New Roman" w:cs="Times New Roman"/>
          <w:sz w:val="28"/>
          <w:szCs w:val="28"/>
        </w:rPr>
      </w:pPr>
      <w:r w:rsidRPr="00CA70AD">
        <w:rPr>
          <w:rFonts w:ascii="Times New Roman" w:hAnsi="Times New Roman" w:cs="Times New Roman"/>
          <w:b/>
          <w:bCs/>
          <w:sz w:val="28"/>
          <w:szCs w:val="28"/>
        </w:rPr>
        <w:t>Compliance Monitoring</w:t>
      </w:r>
      <w:r w:rsidRPr="00CA70AD">
        <w:rPr>
          <w:rFonts w:ascii="Times New Roman" w:hAnsi="Times New Roman" w:cs="Times New Roman"/>
          <w:sz w:val="28"/>
          <w:szCs w:val="28"/>
        </w:rPr>
        <w:t>: Establish a dedicated compliance team to monitor changes in legislation and ethical guidelines related to healthcare fundraising, ensuring ongoing adherence (Guerra et al, 2021)</w:t>
      </w:r>
      <w:r>
        <w:rPr>
          <w:rFonts w:ascii="Times New Roman" w:hAnsi="Times New Roman" w:cs="Times New Roman"/>
          <w:sz w:val="28"/>
          <w:szCs w:val="28"/>
        </w:rPr>
        <w:t>.</w:t>
      </w:r>
    </w:p>
    <w:p w14:paraId="5D892350" w14:textId="77777777" w:rsidR="00255583" w:rsidRPr="00CA70AD" w:rsidRDefault="00255583" w:rsidP="00255583">
      <w:pPr>
        <w:numPr>
          <w:ilvl w:val="0"/>
          <w:numId w:val="10"/>
        </w:numPr>
        <w:jc w:val="both"/>
        <w:rPr>
          <w:rFonts w:ascii="Times New Roman" w:hAnsi="Times New Roman" w:cs="Times New Roman"/>
          <w:sz w:val="28"/>
          <w:szCs w:val="28"/>
        </w:rPr>
      </w:pPr>
      <w:r w:rsidRPr="00CA70AD">
        <w:rPr>
          <w:rFonts w:ascii="Times New Roman" w:hAnsi="Times New Roman" w:cs="Times New Roman"/>
          <w:b/>
          <w:bCs/>
          <w:sz w:val="28"/>
          <w:szCs w:val="28"/>
        </w:rPr>
        <w:t>Stakeholder Engagement</w:t>
      </w:r>
      <w:r w:rsidRPr="00CA70AD">
        <w:rPr>
          <w:rFonts w:ascii="Times New Roman" w:hAnsi="Times New Roman" w:cs="Times New Roman"/>
          <w:sz w:val="28"/>
          <w:szCs w:val="28"/>
        </w:rPr>
        <w:t>: Engage with key stakeholders, including regulatory bodies, legal advisors, and the community, to foster a transparent and collaborative approach to compliance.</w:t>
      </w:r>
    </w:p>
    <w:p w14:paraId="711CA8CC" w14:textId="77777777" w:rsidR="00255583" w:rsidRPr="00CA70AD" w:rsidRDefault="00255583" w:rsidP="00255583">
      <w:pPr>
        <w:numPr>
          <w:ilvl w:val="0"/>
          <w:numId w:val="10"/>
        </w:numPr>
        <w:jc w:val="both"/>
        <w:rPr>
          <w:rFonts w:ascii="Times New Roman" w:hAnsi="Times New Roman" w:cs="Times New Roman"/>
          <w:sz w:val="28"/>
          <w:szCs w:val="28"/>
        </w:rPr>
      </w:pPr>
      <w:r w:rsidRPr="00CA70AD">
        <w:rPr>
          <w:rFonts w:ascii="Times New Roman" w:hAnsi="Times New Roman" w:cs="Times New Roman"/>
          <w:b/>
          <w:bCs/>
          <w:sz w:val="28"/>
          <w:szCs w:val="28"/>
        </w:rPr>
        <w:t>Education and Training</w:t>
      </w:r>
      <w:r w:rsidRPr="00CA70AD">
        <w:rPr>
          <w:rFonts w:ascii="Times New Roman" w:hAnsi="Times New Roman" w:cs="Times New Roman"/>
          <w:sz w:val="28"/>
          <w:szCs w:val="28"/>
        </w:rPr>
        <w:t>: Implement comprehensive training programs for staff and volunteers on compliance requirements, ethical considerations, and best practices in healthcare fundraising.</w:t>
      </w:r>
    </w:p>
    <w:p w14:paraId="73849A29" w14:textId="77777777" w:rsidR="00255583" w:rsidRPr="00CA70AD" w:rsidRDefault="00255583" w:rsidP="00255583">
      <w:pPr>
        <w:numPr>
          <w:ilvl w:val="0"/>
          <w:numId w:val="10"/>
        </w:numPr>
        <w:jc w:val="both"/>
        <w:rPr>
          <w:rFonts w:ascii="Times New Roman" w:hAnsi="Times New Roman" w:cs="Times New Roman"/>
          <w:sz w:val="28"/>
          <w:szCs w:val="28"/>
        </w:rPr>
      </w:pPr>
      <w:r w:rsidRPr="00CA70AD">
        <w:rPr>
          <w:rFonts w:ascii="Times New Roman" w:hAnsi="Times New Roman" w:cs="Times New Roman"/>
          <w:b/>
          <w:bCs/>
          <w:sz w:val="28"/>
          <w:szCs w:val="28"/>
        </w:rPr>
        <w:t xml:space="preserve"> Documentation and Reporting</w:t>
      </w:r>
      <w:r w:rsidRPr="00CA70AD">
        <w:rPr>
          <w:rFonts w:ascii="Times New Roman" w:hAnsi="Times New Roman" w:cs="Times New Roman"/>
          <w:sz w:val="28"/>
          <w:szCs w:val="28"/>
        </w:rPr>
        <w:t>: Maintain detailed records of fundraising activities, financial transactions, and compliance efforts to facilitate auditing processes and demonstrate transparency.</w:t>
      </w:r>
    </w:p>
    <w:p w14:paraId="1A4CE552" w14:textId="77777777" w:rsidR="00255583" w:rsidRPr="00CA70AD" w:rsidRDefault="00255583" w:rsidP="00D41A82">
      <w:pPr>
        <w:jc w:val="both"/>
        <w:rPr>
          <w:rFonts w:ascii="Times New Roman" w:hAnsi="Times New Roman" w:cs="Times New Roman"/>
          <w:sz w:val="28"/>
          <w:szCs w:val="28"/>
        </w:rPr>
      </w:pPr>
    </w:p>
    <w:tbl>
      <w:tblPr>
        <w:tblpPr w:leftFromText="180" w:rightFromText="180" w:vertAnchor="page" w:horzAnchor="margin" w:tblpXSpec="center" w:tblpY="8485"/>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04"/>
        <w:gridCol w:w="3969"/>
        <w:gridCol w:w="1559"/>
        <w:gridCol w:w="1560"/>
        <w:gridCol w:w="1559"/>
        <w:gridCol w:w="1559"/>
      </w:tblGrid>
      <w:tr w:rsidR="00255583" w:rsidRPr="00CA70AD" w14:paraId="06A4885B" w14:textId="77777777" w:rsidTr="00255583">
        <w:trPr>
          <w:trHeight w:val="267"/>
        </w:trPr>
        <w:tc>
          <w:tcPr>
            <w:tcW w:w="704" w:type="dxa"/>
            <w:tcBorders>
              <w:top w:val="single" w:sz="4" w:space="0" w:color="auto"/>
              <w:left w:val="single" w:sz="4" w:space="0" w:color="auto"/>
              <w:bottom w:val="single" w:sz="4" w:space="0" w:color="auto"/>
              <w:right w:val="single" w:sz="4" w:space="0" w:color="auto"/>
            </w:tcBorders>
            <w:shd w:val="clear" w:color="auto" w:fill="C0C0C0"/>
            <w:hideMark/>
          </w:tcPr>
          <w:p w14:paraId="0E2CCEF8"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Ref</w:t>
            </w:r>
          </w:p>
        </w:tc>
        <w:tc>
          <w:tcPr>
            <w:tcW w:w="3969" w:type="dxa"/>
            <w:tcBorders>
              <w:top w:val="single" w:sz="4" w:space="0" w:color="auto"/>
              <w:left w:val="single" w:sz="4" w:space="0" w:color="auto"/>
              <w:bottom w:val="single" w:sz="4" w:space="0" w:color="auto"/>
              <w:right w:val="single" w:sz="4" w:space="0" w:color="auto"/>
            </w:tcBorders>
            <w:shd w:val="clear" w:color="auto" w:fill="C0C0C0"/>
            <w:hideMark/>
          </w:tcPr>
          <w:p w14:paraId="680CB105"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Risk Description</w:t>
            </w:r>
          </w:p>
        </w:tc>
        <w:tc>
          <w:tcPr>
            <w:tcW w:w="1559" w:type="dxa"/>
            <w:tcBorders>
              <w:top w:val="single" w:sz="4" w:space="0" w:color="auto"/>
              <w:left w:val="single" w:sz="4" w:space="0" w:color="auto"/>
              <w:bottom w:val="single" w:sz="4" w:space="0" w:color="auto"/>
              <w:right w:val="single" w:sz="4" w:space="0" w:color="auto"/>
            </w:tcBorders>
            <w:shd w:val="clear" w:color="auto" w:fill="C0C0C0"/>
            <w:hideMark/>
          </w:tcPr>
          <w:p w14:paraId="49EFFE1C"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Likelihood of occurrence (Score 1-5)</w:t>
            </w:r>
          </w:p>
        </w:tc>
        <w:tc>
          <w:tcPr>
            <w:tcW w:w="1560" w:type="dxa"/>
            <w:tcBorders>
              <w:top w:val="single" w:sz="4" w:space="0" w:color="auto"/>
              <w:left w:val="single" w:sz="4" w:space="0" w:color="auto"/>
              <w:bottom w:val="single" w:sz="4" w:space="0" w:color="auto"/>
              <w:right w:val="single" w:sz="4" w:space="0" w:color="auto"/>
            </w:tcBorders>
            <w:shd w:val="clear" w:color="auto" w:fill="C0C0C0"/>
            <w:hideMark/>
          </w:tcPr>
          <w:p w14:paraId="16F4443A"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Impact of Risk occurrence (Score 1-5)</w:t>
            </w:r>
          </w:p>
        </w:tc>
        <w:tc>
          <w:tcPr>
            <w:tcW w:w="1559" w:type="dxa"/>
            <w:tcBorders>
              <w:top w:val="single" w:sz="4" w:space="0" w:color="auto"/>
              <w:left w:val="single" w:sz="4" w:space="0" w:color="auto"/>
              <w:bottom w:val="single" w:sz="4" w:space="0" w:color="auto"/>
              <w:right w:val="single" w:sz="4" w:space="0" w:color="auto"/>
            </w:tcBorders>
            <w:shd w:val="clear" w:color="auto" w:fill="C0C0C0"/>
            <w:hideMark/>
          </w:tcPr>
          <w:p w14:paraId="33EA268F"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Risk Score (Likelihood x Occurrence)</w:t>
            </w:r>
          </w:p>
        </w:tc>
        <w:tc>
          <w:tcPr>
            <w:tcW w:w="1559" w:type="dxa"/>
            <w:tcBorders>
              <w:top w:val="single" w:sz="4" w:space="0" w:color="auto"/>
              <w:left w:val="single" w:sz="4" w:space="0" w:color="auto"/>
              <w:bottom w:val="single" w:sz="4" w:space="0" w:color="auto"/>
              <w:right w:val="single" w:sz="4" w:space="0" w:color="auto"/>
            </w:tcBorders>
            <w:shd w:val="clear" w:color="auto" w:fill="C0C0C0"/>
            <w:hideMark/>
          </w:tcPr>
          <w:p w14:paraId="38D60C59"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Risk Severity (High, Medium, or Low)</w:t>
            </w:r>
          </w:p>
        </w:tc>
      </w:tr>
      <w:tr w:rsidR="00255583" w:rsidRPr="00CA70AD" w14:paraId="334B0972" w14:textId="77777777" w:rsidTr="00255583">
        <w:trPr>
          <w:trHeight w:val="550"/>
        </w:trPr>
        <w:tc>
          <w:tcPr>
            <w:tcW w:w="704" w:type="dxa"/>
            <w:tcBorders>
              <w:top w:val="single" w:sz="4" w:space="0" w:color="auto"/>
              <w:left w:val="single" w:sz="4" w:space="0" w:color="auto"/>
              <w:bottom w:val="single" w:sz="4" w:space="0" w:color="auto"/>
              <w:right w:val="single" w:sz="4" w:space="0" w:color="auto"/>
            </w:tcBorders>
          </w:tcPr>
          <w:p w14:paraId="710FAC40" w14:textId="77777777" w:rsidR="00255583" w:rsidRPr="00CA70AD" w:rsidRDefault="00255583" w:rsidP="00255583">
            <w:pPr>
              <w:jc w:val="both"/>
              <w:rPr>
                <w:rFonts w:ascii="Times New Roman" w:hAnsi="Times New Roman" w:cs="Times New Roman"/>
                <w:sz w:val="28"/>
                <w:szCs w:val="28"/>
                <w:lang w:bidi="en-GB"/>
              </w:rPr>
            </w:pPr>
          </w:p>
          <w:p w14:paraId="014FFF00"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1</w:t>
            </w:r>
          </w:p>
        </w:tc>
        <w:tc>
          <w:tcPr>
            <w:tcW w:w="3969" w:type="dxa"/>
            <w:tcBorders>
              <w:top w:val="single" w:sz="4" w:space="0" w:color="auto"/>
              <w:left w:val="single" w:sz="4" w:space="0" w:color="auto"/>
              <w:bottom w:val="single" w:sz="4" w:space="0" w:color="auto"/>
              <w:right w:val="single" w:sz="4" w:space="0" w:color="auto"/>
            </w:tcBorders>
          </w:tcPr>
          <w:p w14:paraId="74F65E44"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Foodborne illness from the bake sale</w:t>
            </w:r>
          </w:p>
        </w:tc>
        <w:tc>
          <w:tcPr>
            <w:tcW w:w="1559" w:type="dxa"/>
            <w:tcBorders>
              <w:top w:val="single" w:sz="4" w:space="0" w:color="auto"/>
              <w:left w:val="single" w:sz="4" w:space="0" w:color="auto"/>
              <w:bottom w:val="single" w:sz="4" w:space="0" w:color="auto"/>
              <w:right w:val="single" w:sz="4" w:space="0" w:color="auto"/>
            </w:tcBorders>
          </w:tcPr>
          <w:p w14:paraId="2A8B4A8C"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3</w:t>
            </w:r>
          </w:p>
        </w:tc>
        <w:tc>
          <w:tcPr>
            <w:tcW w:w="1560" w:type="dxa"/>
            <w:tcBorders>
              <w:top w:val="single" w:sz="4" w:space="0" w:color="auto"/>
              <w:left w:val="single" w:sz="4" w:space="0" w:color="auto"/>
              <w:bottom w:val="single" w:sz="4" w:space="0" w:color="auto"/>
              <w:right w:val="single" w:sz="4" w:space="0" w:color="auto"/>
            </w:tcBorders>
          </w:tcPr>
          <w:p w14:paraId="3CB794D5"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4</w:t>
            </w:r>
          </w:p>
        </w:tc>
        <w:tc>
          <w:tcPr>
            <w:tcW w:w="1559" w:type="dxa"/>
            <w:tcBorders>
              <w:top w:val="single" w:sz="4" w:space="0" w:color="auto"/>
              <w:left w:val="single" w:sz="4" w:space="0" w:color="auto"/>
              <w:bottom w:val="single" w:sz="4" w:space="0" w:color="auto"/>
              <w:right w:val="single" w:sz="4" w:space="0" w:color="auto"/>
            </w:tcBorders>
          </w:tcPr>
          <w:p w14:paraId="69D57D27"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12</w:t>
            </w:r>
          </w:p>
        </w:tc>
        <w:tc>
          <w:tcPr>
            <w:tcW w:w="1559" w:type="dxa"/>
            <w:tcBorders>
              <w:top w:val="single" w:sz="4" w:space="0" w:color="auto"/>
              <w:left w:val="single" w:sz="4" w:space="0" w:color="auto"/>
              <w:bottom w:val="single" w:sz="4" w:space="0" w:color="auto"/>
              <w:right w:val="single" w:sz="4" w:space="0" w:color="auto"/>
            </w:tcBorders>
          </w:tcPr>
          <w:p w14:paraId="3E2F2FD6" w14:textId="77777777" w:rsidR="00255583" w:rsidRPr="00CA70AD" w:rsidRDefault="00255583" w:rsidP="00255583">
            <w:pPr>
              <w:jc w:val="both"/>
              <w:rPr>
                <w:rFonts w:ascii="Times New Roman" w:hAnsi="Times New Roman" w:cs="Times New Roman"/>
                <w:b/>
                <w:sz w:val="28"/>
                <w:szCs w:val="28"/>
                <w:lang w:bidi="en-GB"/>
              </w:rPr>
            </w:pPr>
            <w:r w:rsidRPr="00CA70AD">
              <w:rPr>
                <w:rFonts w:ascii="Times New Roman" w:hAnsi="Times New Roman" w:cs="Times New Roman"/>
                <w:b/>
                <w:sz w:val="28"/>
                <w:szCs w:val="28"/>
                <w:lang w:bidi="en-GB"/>
              </w:rPr>
              <w:t>High</w:t>
            </w:r>
          </w:p>
        </w:tc>
      </w:tr>
      <w:tr w:rsidR="00255583" w:rsidRPr="00CA70AD" w14:paraId="53E0391D" w14:textId="77777777" w:rsidTr="00255583">
        <w:trPr>
          <w:trHeight w:val="535"/>
        </w:trPr>
        <w:tc>
          <w:tcPr>
            <w:tcW w:w="704" w:type="dxa"/>
            <w:tcBorders>
              <w:top w:val="single" w:sz="4" w:space="0" w:color="auto"/>
              <w:left w:val="single" w:sz="4" w:space="0" w:color="auto"/>
              <w:bottom w:val="single" w:sz="4" w:space="0" w:color="auto"/>
              <w:right w:val="single" w:sz="4" w:space="0" w:color="auto"/>
            </w:tcBorders>
          </w:tcPr>
          <w:p w14:paraId="60B6390C" w14:textId="77777777" w:rsidR="00255583" w:rsidRPr="00CA70AD" w:rsidRDefault="00255583" w:rsidP="00255583">
            <w:pPr>
              <w:jc w:val="both"/>
              <w:rPr>
                <w:rFonts w:ascii="Times New Roman" w:hAnsi="Times New Roman" w:cs="Times New Roman"/>
                <w:sz w:val="28"/>
                <w:szCs w:val="28"/>
                <w:lang w:bidi="en-GB"/>
              </w:rPr>
            </w:pPr>
          </w:p>
          <w:p w14:paraId="49B76B02"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2</w:t>
            </w:r>
          </w:p>
        </w:tc>
        <w:tc>
          <w:tcPr>
            <w:tcW w:w="3969" w:type="dxa"/>
            <w:tcBorders>
              <w:top w:val="single" w:sz="4" w:space="0" w:color="auto"/>
              <w:left w:val="single" w:sz="4" w:space="0" w:color="auto"/>
              <w:bottom w:val="single" w:sz="4" w:space="0" w:color="auto"/>
              <w:right w:val="single" w:sz="4" w:space="0" w:color="auto"/>
            </w:tcBorders>
          </w:tcPr>
          <w:p w14:paraId="1C9109EA"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Overcrowding at the event venue</w:t>
            </w:r>
          </w:p>
        </w:tc>
        <w:tc>
          <w:tcPr>
            <w:tcW w:w="1559" w:type="dxa"/>
            <w:tcBorders>
              <w:top w:val="single" w:sz="4" w:space="0" w:color="auto"/>
              <w:left w:val="single" w:sz="4" w:space="0" w:color="auto"/>
              <w:bottom w:val="single" w:sz="4" w:space="0" w:color="auto"/>
              <w:right w:val="single" w:sz="4" w:space="0" w:color="auto"/>
            </w:tcBorders>
          </w:tcPr>
          <w:p w14:paraId="033615DA"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2</w:t>
            </w:r>
          </w:p>
        </w:tc>
        <w:tc>
          <w:tcPr>
            <w:tcW w:w="1560" w:type="dxa"/>
            <w:tcBorders>
              <w:top w:val="single" w:sz="4" w:space="0" w:color="auto"/>
              <w:left w:val="single" w:sz="4" w:space="0" w:color="auto"/>
              <w:bottom w:val="single" w:sz="4" w:space="0" w:color="auto"/>
              <w:right w:val="single" w:sz="4" w:space="0" w:color="auto"/>
            </w:tcBorders>
          </w:tcPr>
          <w:p w14:paraId="4CF0F661"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5</w:t>
            </w:r>
          </w:p>
        </w:tc>
        <w:tc>
          <w:tcPr>
            <w:tcW w:w="1559" w:type="dxa"/>
            <w:tcBorders>
              <w:top w:val="single" w:sz="4" w:space="0" w:color="auto"/>
              <w:left w:val="single" w:sz="4" w:space="0" w:color="auto"/>
              <w:bottom w:val="single" w:sz="4" w:space="0" w:color="auto"/>
              <w:right w:val="single" w:sz="4" w:space="0" w:color="auto"/>
            </w:tcBorders>
          </w:tcPr>
          <w:p w14:paraId="5328CB32"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10</w:t>
            </w:r>
          </w:p>
        </w:tc>
        <w:tc>
          <w:tcPr>
            <w:tcW w:w="1559" w:type="dxa"/>
            <w:tcBorders>
              <w:top w:val="single" w:sz="4" w:space="0" w:color="auto"/>
              <w:left w:val="single" w:sz="4" w:space="0" w:color="auto"/>
              <w:bottom w:val="single" w:sz="4" w:space="0" w:color="auto"/>
              <w:right w:val="single" w:sz="4" w:space="0" w:color="auto"/>
            </w:tcBorders>
          </w:tcPr>
          <w:p w14:paraId="5F08137B" w14:textId="77777777" w:rsidR="00255583" w:rsidRPr="00CA70AD" w:rsidRDefault="00255583" w:rsidP="00255583">
            <w:pPr>
              <w:jc w:val="both"/>
              <w:rPr>
                <w:rFonts w:ascii="Times New Roman" w:hAnsi="Times New Roman" w:cs="Times New Roman"/>
                <w:b/>
                <w:sz w:val="28"/>
                <w:szCs w:val="28"/>
                <w:lang w:bidi="en-GB"/>
              </w:rPr>
            </w:pPr>
            <w:r w:rsidRPr="00CA70AD">
              <w:rPr>
                <w:rFonts w:ascii="Times New Roman" w:hAnsi="Times New Roman" w:cs="Times New Roman"/>
                <w:b/>
                <w:sz w:val="28"/>
                <w:szCs w:val="28"/>
                <w:lang w:bidi="en-GB"/>
              </w:rPr>
              <w:t>High</w:t>
            </w:r>
          </w:p>
        </w:tc>
      </w:tr>
      <w:tr w:rsidR="00255583" w:rsidRPr="00CA70AD" w14:paraId="442A9DD2" w14:textId="77777777" w:rsidTr="00255583">
        <w:trPr>
          <w:trHeight w:val="550"/>
        </w:trPr>
        <w:tc>
          <w:tcPr>
            <w:tcW w:w="704" w:type="dxa"/>
            <w:tcBorders>
              <w:top w:val="single" w:sz="4" w:space="0" w:color="auto"/>
              <w:left w:val="single" w:sz="4" w:space="0" w:color="auto"/>
              <w:bottom w:val="single" w:sz="4" w:space="0" w:color="auto"/>
              <w:right w:val="single" w:sz="4" w:space="0" w:color="auto"/>
            </w:tcBorders>
          </w:tcPr>
          <w:p w14:paraId="5BFBE8CC" w14:textId="77777777" w:rsidR="00255583" w:rsidRPr="00CA70AD" w:rsidRDefault="00255583" w:rsidP="00255583">
            <w:pPr>
              <w:jc w:val="both"/>
              <w:rPr>
                <w:rFonts w:ascii="Times New Roman" w:hAnsi="Times New Roman" w:cs="Times New Roman"/>
                <w:sz w:val="28"/>
                <w:szCs w:val="28"/>
                <w:lang w:bidi="en-GB"/>
              </w:rPr>
            </w:pPr>
          </w:p>
          <w:p w14:paraId="6A1EBD16"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3</w:t>
            </w:r>
          </w:p>
        </w:tc>
        <w:tc>
          <w:tcPr>
            <w:tcW w:w="3969" w:type="dxa"/>
            <w:tcBorders>
              <w:top w:val="single" w:sz="4" w:space="0" w:color="auto"/>
              <w:left w:val="single" w:sz="4" w:space="0" w:color="auto"/>
              <w:bottom w:val="single" w:sz="4" w:space="0" w:color="auto"/>
              <w:right w:val="single" w:sz="4" w:space="0" w:color="auto"/>
            </w:tcBorders>
          </w:tcPr>
          <w:p w14:paraId="3848F32C"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Non-compliance with raffle regulations</w:t>
            </w:r>
          </w:p>
        </w:tc>
        <w:tc>
          <w:tcPr>
            <w:tcW w:w="1559" w:type="dxa"/>
            <w:tcBorders>
              <w:top w:val="single" w:sz="4" w:space="0" w:color="auto"/>
              <w:left w:val="single" w:sz="4" w:space="0" w:color="auto"/>
              <w:bottom w:val="single" w:sz="4" w:space="0" w:color="auto"/>
              <w:right w:val="single" w:sz="4" w:space="0" w:color="auto"/>
            </w:tcBorders>
          </w:tcPr>
          <w:p w14:paraId="61A5B453"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1</w:t>
            </w:r>
          </w:p>
        </w:tc>
        <w:tc>
          <w:tcPr>
            <w:tcW w:w="1560" w:type="dxa"/>
            <w:tcBorders>
              <w:top w:val="single" w:sz="4" w:space="0" w:color="auto"/>
              <w:left w:val="single" w:sz="4" w:space="0" w:color="auto"/>
              <w:bottom w:val="single" w:sz="4" w:space="0" w:color="auto"/>
              <w:right w:val="single" w:sz="4" w:space="0" w:color="auto"/>
            </w:tcBorders>
          </w:tcPr>
          <w:p w14:paraId="2D03D016"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5</w:t>
            </w:r>
          </w:p>
        </w:tc>
        <w:tc>
          <w:tcPr>
            <w:tcW w:w="1559" w:type="dxa"/>
            <w:tcBorders>
              <w:top w:val="single" w:sz="4" w:space="0" w:color="auto"/>
              <w:left w:val="single" w:sz="4" w:space="0" w:color="auto"/>
              <w:bottom w:val="single" w:sz="4" w:space="0" w:color="auto"/>
              <w:right w:val="single" w:sz="4" w:space="0" w:color="auto"/>
            </w:tcBorders>
          </w:tcPr>
          <w:p w14:paraId="0652A01B" w14:textId="77777777" w:rsidR="00255583" w:rsidRPr="00CA70AD" w:rsidRDefault="00255583" w:rsidP="00255583">
            <w:pPr>
              <w:jc w:val="both"/>
              <w:rPr>
                <w:rFonts w:ascii="Times New Roman" w:hAnsi="Times New Roman" w:cs="Times New Roman"/>
                <w:sz w:val="28"/>
                <w:szCs w:val="28"/>
                <w:lang w:bidi="en-GB"/>
              </w:rPr>
            </w:pPr>
            <w:r w:rsidRPr="00CA70AD">
              <w:rPr>
                <w:rFonts w:ascii="Times New Roman" w:hAnsi="Times New Roman" w:cs="Times New Roman"/>
                <w:sz w:val="28"/>
                <w:szCs w:val="28"/>
                <w:lang w:bidi="en-GB"/>
              </w:rPr>
              <w:t>5</w:t>
            </w:r>
          </w:p>
        </w:tc>
        <w:tc>
          <w:tcPr>
            <w:tcW w:w="1559" w:type="dxa"/>
            <w:tcBorders>
              <w:top w:val="single" w:sz="4" w:space="0" w:color="auto"/>
              <w:left w:val="single" w:sz="4" w:space="0" w:color="auto"/>
              <w:bottom w:val="single" w:sz="4" w:space="0" w:color="auto"/>
              <w:right w:val="single" w:sz="4" w:space="0" w:color="auto"/>
            </w:tcBorders>
          </w:tcPr>
          <w:p w14:paraId="2AD4E38F" w14:textId="77777777" w:rsidR="00255583" w:rsidRPr="00CA70AD" w:rsidRDefault="00255583" w:rsidP="00255583">
            <w:pPr>
              <w:jc w:val="both"/>
              <w:rPr>
                <w:rFonts w:ascii="Times New Roman" w:hAnsi="Times New Roman" w:cs="Times New Roman"/>
                <w:b/>
                <w:sz w:val="28"/>
                <w:szCs w:val="28"/>
                <w:lang w:bidi="en-GB"/>
              </w:rPr>
            </w:pPr>
            <w:r w:rsidRPr="00CA70AD">
              <w:rPr>
                <w:rFonts w:ascii="Times New Roman" w:hAnsi="Times New Roman" w:cs="Times New Roman"/>
                <w:b/>
                <w:sz w:val="28"/>
                <w:szCs w:val="28"/>
                <w:lang w:bidi="en-GB"/>
              </w:rPr>
              <w:t>Medium</w:t>
            </w:r>
          </w:p>
        </w:tc>
      </w:tr>
    </w:tbl>
    <w:p w14:paraId="1B3EB629" w14:textId="0F391370" w:rsidR="00783D25" w:rsidRPr="00CA70AD" w:rsidRDefault="00783D25" w:rsidP="00D41A82">
      <w:pPr>
        <w:pStyle w:val="ListParagraph"/>
        <w:numPr>
          <w:ilvl w:val="0"/>
          <w:numId w:val="1"/>
        </w:numPr>
        <w:jc w:val="both"/>
        <w:rPr>
          <w:rFonts w:ascii="Times New Roman" w:hAnsi="Times New Roman" w:cs="Times New Roman"/>
          <w:b/>
          <w:bCs/>
          <w:sz w:val="28"/>
          <w:szCs w:val="28"/>
        </w:rPr>
      </w:pPr>
      <w:r w:rsidRPr="00CA70AD">
        <w:rPr>
          <w:rFonts w:ascii="Times New Roman" w:hAnsi="Times New Roman" w:cs="Times New Roman"/>
          <w:b/>
          <w:bCs/>
          <w:sz w:val="28"/>
          <w:szCs w:val="28"/>
        </w:rPr>
        <w:t>Risk Assessment Register</w:t>
      </w:r>
    </w:p>
    <w:p w14:paraId="19BBB8B7" w14:textId="77777777" w:rsidR="00A92892" w:rsidRDefault="00A92892" w:rsidP="00D41A82">
      <w:pPr>
        <w:jc w:val="both"/>
        <w:rPr>
          <w:rFonts w:ascii="Times New Roman" w:hAnsi="Times New Roman" w:cs="Times New Roman"/>
          <w:b/>
          <w:bCs/>
          <w:sz w:val="28"/>
          <w:szCs w:val="28"/>
        </w:rPr>
      </w:pPr>
    </w:p>
    <w:p w14:paraId="011E7DBB" w14:textId="77777777" w:rsidR="00A92892" w:rsidRDefault="00A92892" w:rsidP="00D41A82">
      <w:pPr>
        <w:jc w:val="both"/>
        <w:rPr>
          <w:rFonts w:ascii="Times New Roman" w:hAnsi="Times New Roman" w:cs="Times New Roman"/>
          <w:b/>
          <w:bCs/>
          <w:sz w:val="28"/>
          <w:szCs w:val="28"/>
        </w:rPr>
      </w:pPr>
    </w:p>
    <w:p w14:paraId="65D077DB" w14:textId="51A9FB67" w:rsidR="003B5A15" w:rsidRPr="00CA70AD" w:rsidRDefault="003B5A15" w:rsidP="00D41A82">
      <w:pPr>
        <w:jc w:val="both"/>
        <w:rPr>
          <w:rFonts w:ascii="Times New Roman" w:hAnsi="Times New Roman" w:cs="Times New Roman"/>
          <w:b/>
          <w:bCs/>
          <w:sz w:val="28"/>
          <w:szCs w:val="28"/>
        </w:rPr>
      </w:pPr>
      <w:r w:rsidRPr="00CA70AD">
        <w:rPr>
          <w:rFonts w:ascii="Times New Roman" w:hAnsi="Times New Roman" w:cs="Times New Roman"/>
          <w:b/>
          <w:bCs/>
          <w:sz w:val="28"/>
          <w:szCs w:val="28"/>
        </w:rPr>
        <w:lastRenderedPageBreak/>
        <w:t>Foodborne Illness from the Bake Sale</w:t>
      </w:r>
    </w:p>
    <w:p w14:paraId="0992FDA1" w14:textId="68BB82FF" w:rsidR="003B5A15" w:rsidRPr="00CA70AD" w:rsidRDefault="003B5A15" w:rsidP="00D41A82">
      <w:pPr>
        <w:jc w:val="both"/>
        <w:rPr>
          <w:rFonts w:ascii="Times New Roman" w:hAnsi="Times New Roman" w:cs="Times New Roman"/>
          <w:sz w:val="28"/>
          <w:szCs w:val="28"/>
        </w:rPr>
      </w:pPr>
      <w:r w:rsidRPr="00CA70AD">
        <w:rPr>
          <w:rFonts w:ascii="Times New Roman" w:hAnsi="Times New Roman" w:cs="Times New Roman"/>
          <w:sz w:val="28"/>
          <w:szCs w:val="28"/>
        </w:rPr>
        <w:t>The risk of foodborne illness at a bake sale during a healthcare fundraising event is a significant concern due to the potential for improper handling, storage, or preparation of food items</w:t>
      </w:r>
      <w:r w:rsidR="008C5863" w:rsidRPr="00CA70AD">
        <w:rPr>
          <w:rFonts w:ascii="Times New Roman" w:hAnsi="Times New Roman" w:cs="Times New Roman"/>
          <w:sz w:val="28"/>
          <w:szCs w:val="28"/>
        </w:rPr>
        <w:t xml:space="preserve"> (</w:t>
      </w:r>
      <w:proofErr w:type="spellStart"/>
      <w:r w:rsidR="008C5863" w:rsidRPr="00CA70AD">
        <w:rPr>
          <w:rFonts w:ascii="Times New Roman" w:hAnsi="Times New Roman" w:cs="Times New Roman"/>
          <w:sz w:val="28"/>
          <w:szCs w:val="28"/>
        </w:rPr>
        <w:t>Nyachuba</w:t>
      </w:r>
      <w:proofErr w:type="spellEnd"/>
      <w:r w:rsidR="008C5863" w:rsidRPr="00CA70AD">
        <w:rPr>
          <w:rFonts w:ascii="Times New Roman" w:hAnsi="Times New Roman" w:cs="Times New Roman"/>
          <w:sz w:val="28"/>
          <w:szCs w:val="28"/>
        </w:rPr>
        <w:t>, 2010)</w:t>
      </w:r>
      <w:r w:rsidR="001B1424">
        <w:rPr>
          <w:rFonts w:ascii="Times New Roman" w:hAnsi="Times New Roman" w:cs="Times New Roman"/>
          <w:sz w:val="28"/>
          <w:szCs w:val="28"/>
        </w:rPr>
        <w:t>.</w:t>
      </w:r>
      <w:r w:rsidRPr="00CA70AD">
        <w:rPr>
          <w:rFonts w:ascii="Times New Roman" w:hAnsi="Times New Roman" w:cs="Times New Roman"/>
          <w:sz w:val="28"/>
          <w:szCs w:val="28"/>
        </w:rPr>
        <w:t xml:space="preserve"> The bake sale's communal nature, inviting individuals to contribute homemade items, inherently introduces variability in food safety practices. Despite the moderate likelihood of occurrence, the severity of the potential impact—ranging from minor gastrointestinal discomfort to severe health outcomes requiring hospitalization—necessitates prioritized attention. Effective mitigation involves implementing comprehensive food safety protocols, educating contributors on safe food handling practices, and potentially conducting spot checks on items brought to the sale. These measures aim not only to protect public health but also to preserve the integrity and reputation of the fundraising event, ensuring its success and the community's ongoing support.</w:t>
      </w:r>
    </w:p>
    <w:p w14:paraId="16AFACA6" w14:textId="77777777" w:rsidR="003B5A15" w:rsidRPr="00CA70AD" w:rsidRDefault="003B5A15" w:rsidP="00D41A82">
      <w:pPr>
        <w:jc w:val="both"/>
        <w:rPr>
          <w:rFonts w:ascii="Times New Roman" w:hAnsi="Times New Roman" w:cs="Times New Roman"/>
          <w:b/>
          <w:bCs/>
          <w:sz w:val="28"/>
          <w:szCs w:val="28"/>
        </w:rPr>
      </w:pPr>
      <w:r w:rsidRPr="00CA70AD">
        <w:rPr>
          <w:rFonts w:ascii="Times New Roman" w:hAnsi="Times New Roman" w:cs="Times New Roman"/>
          <w:b/>
          <w:bCs/>
          <w:sz w:val="28"/>
          <w:szCs w:val="28"/>
        </w:rPr>
        <w:t>Overcrowding at the Event Venue</w:t>
      </w:r>
    </w:p>
    <w:p w14:paraId="6C7F1D31" w14:textId="17EED84A" w:rsidR="003B5A15" w:rsidRPr="00CA70AD" w:rsidRDefault="003B5A15" w:rsidP="00D41A82">
      <w:pPr>
        <w:jc w:val="both"/>
        <w:rPr>
          <w:rFonts w:ascii="Times New Roman" w:hAnsi="Times New Roman" w:cs="Times New Roman"/>
          <w:sz w:val="28"/>
          <w:szCs w:val="28"/>
        </w:rPr>
      </w:pPr>
      <w:r w:rsidRPr="00CA70AD">
        <w:rPr>
          <w:rFonts w:ascii="Times New Roman" w:hAnsi="Times New Roman" w:cs="Times New Roman"/>
          <w:sz w:val="28"/>
          <w:szCs w:val="28"/>
        </w:rPr>
        <w:t>Overcrowding at the event venue presents a multifaceted risk, encompassing safety concerns and the potential for a diminished attendee experience. While effective pre-event planning and crowd control measures can reduce the likelihood of this risk, its occurrence could have severe implications. The ramifications of overcrowding are not limited to physical safety risks, such as accidents or injuries, but also include significant legal liabilities and negative impacts on the event's reputation. Managing this risk requires a strategic approach to event planning, including the use of ticketing systems to control entry numbers and the deployment of trained staff to manage crowd flow. These efforts are critical in ensuring the safety and satisfaction of all participants, ultimately contributing to the event's overall success</w:t>
      </w:r>
      <w:r w:rsidR="00937A6F" w:rsidRPr="00CA70AD">
        <w:rPr>
          <w:rFonts w:ascii="Times New Roman" w:hAnsi="Times New Roman" w:cs="Times New Roman"/>
          <w:sz w:val="28"/>
          <w:szCs w:val="28"/>
        </w:rPr>
        <w:t xml:space="preserve"> (Bahadori et al, 2017)</w:t>
      </w:r>
      <w:r w:rsidR="00FF7B94">
        <w:rPr>
          <w:rFonts w:ascii="Times New Roman" w:hAnsi="Times New Roman" w:cs="Times New Roman"/>
          <w:sz w:val="28"/>
          <w:szCs w:val="28"/>
        </w:rPr>
        <w:t>.</w:t>
      </w:r>
    </w:p>
    <w:p w14:paraId="619F9445" w14:textId="77777777" w:rsidR="003B5A15" w:rsidRPr="00CA70AD" w:rsidRDefault="003B5A15" w:rsidP="00D41A82">
      <w:pPr>
        <w:jc w:val="both"/>
        <w:rPr>
          <w:rFonts w:ascii="Times New Roman" w:hAnsi="Times New Roman" w:cs="Times New Roman"/>
          <w:b/>
          <w:bCs/>
          <w:sz w:val="28"/>
          <w:szCs w:val="28"/>
        </w:rPr>
      </w:pPr>
      <w:r w:rsidRPr="00CA70AD">
        <w:rPr>
          <w:rFonts w:ascii="Times New Roman" w:hAnsi="Times New Roman" w:cs="Times New Roman"/>
          <w:b/>
          <w:bCs/>
          <w:sz w:val="28"/>
          <w:szCs w:val="28"/>
        </w:rPr>
        <w:t>Non-compliance with Raffle Regulations</w:t>
      </w:r>
    </w:p>
    <w:p w14:paraId="4207F3C8" w14:textId="77777777" w:rsidR="003B5A15" w:rsidRPr="00CA70AD" w:rsidRDefault="003B5A15" w:rsidP="00D41A82">
      <w:pPr>
        <w:jc w:val="both"/>
        <w:rPr>
          <w:rFonts w:ascii="Times New Roman" w:hAnsi="Times New Roman" w:cs="Times New Roman"/>
          <w:sz w:val="28"/>
          <w:szCs w:val="28"/>
        </w:rPr>
      </w:pPr>
      <w:r w:rsidRPr="00CA70AD">
        <w:rPr>
          <w:rFonts w:ascii="Times New Roman" w:hAnsi="Times New Roman" w:cs="Times New Roman"/>
          <w:sz w:val="28"/>
          <w:szCs w:val="28"/>
        </w:rPr>
        <w:t xml:space="preserve">Navigating the legal landscape of raffle regulations is crucial in the context of healthcare fundraising events. Non-compliance, stemming from oversight or misunderstanding of local gambling laws, poses a risk with potentially severe consequences, including legal action, financial penalties, and reputational damage. Although the likelihood of non-compliance is low, assuming diligent preparation and legal consultation, the impact of any compliance failure warrants careful attention. Ensuring adherence to all applicable laws and obtaining necessary permits are essential steps in mitigating this risk. Through proactive legal diligence, organizers </w:t>
      </w:r>
      <w:r w:rsidRPr="00CA70AD">
        <w:rPr>
          <w:rFonts w:ascii="Times New Roman" w:hAnsi="Times New Roman" w:cs="Times New Roman"/>
          <w:sz w:val="28"/>
          <w:szCs w:val="28"/>
        </w:rPr>
        <w:lastRenderedPageBreak/>
        <w:t>can safeguard the event against compliance-related pitfalls, maintaining trust among participants and donors and supporting the event's integrity and success.</w:t>
      </w:r>
    </w:p>
    <w:p w14:paraId="1B1BCB4A" w14:textId="44EF3931" w:rsidR="00143BD3" w:rsidRPr="00CA70AD" w:rsidRDefault="00143BD3" w:rsidP="00D41A82">
      <w:pPr>
        <w:pStyle w:val="ListParagraph"/>
        <w:numPr>
          <w:ilvl w:val="0"/>
          <w:numId w:val="1"/>
        </w:numPr>
        <w:jc w:val="both"/>
        <w:rPr>
          <w:rFonts w:ascii="Times New Roman" w:hAnsi="Times New Roman" w:cs="Times New Roman"/>
          <w:b/>
          <w:bCs/>
          <w:sz w:val="28"/>
          <w:szCs w:val="28"/>
        </w:rPr>
      </w:pPr>
      <w:r w:rsidRPr="00CA70AD">
        <w:rPr>
          <w:rFonts w:ascii="Times New Roman" w:hAnsi="Times New Roman" w:cs="Times New Roman"/>
          <w:b/>
          <w:bCs/>
          <w:sz w:val="28"/>
          <w:szCs w:val="28"/>
        </w:rPr>
        <w:t xml:space="preserve"> Conclusion and Recommendations</w:t>
      </w:r>
    </w:p>
    <w:p w14:paraId="14528371" w14:textId="77777777" w:rsidR="00143BD3" w:rsidRPr="00CA70AD" w:rsidRDefault="00143BD3" w:rsidP="00D41A82">
      <w:pPr>
        <w:jc w:val="both"/>
        <w:rPr>
          <w:rFonts w:ascii="Times New Roman" w:hAnsi="Times New Roman" w:cs="Times New Roman"/>
          <w:sz w:val="28"/>
          <w:szCs w:val="28"/>
        </w:rPr>
      </w:pPr>
      <w:r w:rsidRPr="00CA70AD">
        <w:rPr>
          <w:rFonts w:ascii="Times New Roman" w:hAnsi="Times New Roman" w:cs="Times New Roman"/>
          <w:sz w:val="28"/>
          <w:szCs w:val="28"/>
        </w:rPr>
        <w:t>The risk assessment conducted for the healthcare fundraising event has illuminated a variety of potential risks, highlighting the importance of strategic planning, stakeholder engagement, and effective risk management practices. Drawing from the literature and findings, the following recommendations are proposed to ensure the event's success, safety, and compliance:</w:t>
      </w:r>
    </w:p>
    <w:p w14:paraId="3C894A50" w14:textId="77777777" w:rsidR="00143BD3" w:rsidRPr="00CA70AD" w:rsidRDefault="00143BD3" w:rsidP="00D41A82">
      <w:pPr>
        <w:jc w:val="both"/>
        <w:rPr>
          <w:rFonts w:ascii="Times New Roman" w:hAnsi="Times New Roman" w:cs="Times New Roman"/>
          <w:b/>
          <w:bCs/>
          <w:sz w:val="28"/>
          <w:szCs w:val="28"/>
        </w:rPr>
      </w:pPr>
      <w:r w:rsidRPr="00CA70AD">
        <w:rPr>
          <w:rFonts w:ascii="Times New Roman" w:hAnsi="Times New Roman" w:cs="Times New Roman"/>
          <w:b/>
          <w:bCs/>
          <w:sz w:val="28"/>
          <w:szCs w:val="28"/>
        </w:rPr>
        <w:t>Strategic Recommendations</w:t>
      </w:r>
    </w:p>
    <w:p w14:paraId="47DEB0AF" w14:textId="77777777" w:rsidR="0007338B" w:rsidRPr="0007338B" w:rsidRDefault="0065788F" w:rsidP="002A1CC2">
      <w:pPr>
        <w:numPr>
          <w:ilvl w:val="0"/>
          <w:numId w:val="6"/>
        </w:numPr>
        <w:jc w:val="both"/>
        <w:rPr>
          <w:rFonts w:ascii="Times New Roman" w:hAnsi="Times New Roman" w:cs="Times New Roman"/>
          <w:b/>
          <w:bCs/>
          <w:sz w:val="28"/>
          <w:szCs w:val="28"/>
        </w:rPr>
      </w:pPr>
      <w:r w:rsidRPr="0007338B">
        <w:rPr>
          <w:rFonts w:ascii="Times New Roman" w:hAnsi="Times New Roman" w:cs="Times New Roman"/>
          <w:b/>
          <w:bCs/>
          <w:sz w:val="28"/>
          <w:szCs w:val="28"/>
        </w:rPr>
        <w:t xml:space="preserve"> </w:t>
      </w:r>
      <w:r w:rsidR="00143BD3" w:rsidRPr="0007338B">
        <w:rPr>
          <w:rFonts w:ascii="Times New Roman" w:hAnsi="Times New Roman" w:cs="Times New Roman"/>
          <w:b/>
          <w:bCs/>
          <w:sz w:val="28"/>
          <w:szCs w:val="28"/>
        </w:rPr>
        <w:t>Optimize Fundraising Efforts</w:t>
      </w:r>
      <w:r w:rsidR="00143BD3" w:rsidRPr="0007338B">
        <w:rPr>
          <w:rFonts w:ascii="Times New Roman" w:hAnsi="Times New Roman" w:cs="Times New Roman"/>
          <w:sz w:val="28"/>
          <w:szCs w:val="28"/>
        </w:rPr>
        <w:t>: Focus on strategies that maximize fundraising potential, leveraging social networks and the social capital of fundraisers to enhance outcomes (Huang et al, 2020).</w:t>
      </w:r>
    </w:p>
    <w:p w14:paraId="3128FF60" w14:textId="739C2259" w:rsidR="0007338B" w:rsidRPr="0007338B" w:rsidRDefault="00143BD3" w:rsidP="002A1CC2">
      <w:pPr>
        <w:numPr>
          <w:ilvl w:val="0"/>
          <w:numId w:val="6"/>
        </w:numPr>
        <w:jc w:val="both"/>
        <w:rPr>
          <w:rFonts w:ascii="Times New Roman" w:hAnsi="Times New Roman" w:cs="Times New Roman"/>
          <w:b/>
          <w:bCs/>
          <w:sz w:val="28"/>
          <w:szCs w:val="28"/>
        </w:rPr>
      </w:pPr>
      <w:r w:rsidRPr="0007338B">
        <w:rPr>
          <w:rFonts w:ascii="Times New Roman" w:hAnsi="Times New Roman" w:cs="Times New Roman"/>
          <w:b/>
          <w:bCs/>
          <w:sz w:val="28"/>
          <w:szCs w:val="28"/>
        </w:rPr>
        <w:t>Enhance Engagement Through Social Media</w:t>
      </w:r>
      <w:r w:rsidRPr="0007338B">
        <w:rPr>
          <w:rFonts w:ascii="Times New Roman" w:hAnsi="Times New Roman" w:cs="Times New Roman"/>
          <w:sz w:val="28"/>
          <w:szCs w:val="28"/>
        </w:rPr>
        <w:t>: Utilize social media platforms effectively to share engaging stories and visuals, especially those highlighting the beneficiaries of the fundraising event. Prioritize initial donors, as they tend to contribute significantly (</w:t>
      </w:r>
      <w:proofErr w:type="spellStart"/>
      <w:r w:rsidRPr="0007338B">
        <w:rPr>
          <w:rFonts w:ascii="Times New Roman" w:hAnsi="Times New Roman" w:cs="Times New Roman"/>
          <w:sz w:val="28"/>
          <w:szCs w:val="28"/>
        </w:rPr>
        <w:t>Raghupathi</w:t>
      </w:r>
      <w:proofErr w:type="spellEnd"/>
      <w:r w:rsidRPr="0007338B">
        <w:rPr>
          <w:rFonts w:ascii="Times New Roman" w:hAnsi="Times New Roman" w:cs="Times New Roman"/>
          <w:sz w:val="28"/>
          <w:szCs w:val="28"/>
        </w:rPr>
        <w:t xml:space="preserve"> </w:t>
      </w:r>
      <w:r w:rsidR="00FF7B94" w:rsidRPr="0007338B">
        <w:rPr>
          <w:rFonts w:ascii="Times New Roman" w:hAnsi="Times New Roman" w:cs="Times New Roman"/>
          <w:sz w:val="28"/>
          <w:szCs w:val="28"/>
        </w:rPr>
        <w:t>and</w:t>
      </w:r>
      <w:r w:rsidRPr="0007338B">
        <w:rPr>
          <w:rFonts w:ascii="Times New Roman" w:hAnsi="Times New Roman" w:cs="Times New Roman"/>
          <w:sz w:val="28"/>
          <w:szCs w:val="28"/>
        </w:rPr>
        <w:t xml:space="preserve"> </w:t>
      </w:r>
      <w:proofErr w:type="spellStart"/>
      <w:r w:rsidRPr="0007338B">
        <w:rPr>
          <w:rFonts w:ascii="Times New Roman" w:hAnsi="Times New Roman" w:cs="Times New Roman"/>
          <w:sz w:val="28"/>
          <w:szCs w:val="28"/>
        </w:rPr>
        <w:t>Raghupathi</w:t>
      </w:r>
      <w:proofErr w:type="spellEnd"/>
      <w:r w:rsidRPr="0007338B">
        <w:rPr>
          <w:rFonts w:ascii="Times New Roman" w:hAnsi="Times New Roman" w:cs="Times New Roman"/>
          <w:sz w:val="28"/>
          <w:szCs w:val="28"/>
        </w:rPr>
        <w:t>, 2020).</w:t>
      </w:r>
      <w:r w:rsidR="0007338B" w:rsidRPr="0007338B">
        <w:rPr>
          <w:rFonts w:ascii="Times New Roman" w:hAnsi="Times New Roman" w:cs="Times New Roman"/>
          <w:b/>
          <w:bCs/>
          <w:sz w:val="28"/>
          <w:szCs w:val="28"/>
        </w:rPr>
        <w:t xml:space="preserve"> </w:t>
      </w:r>
    </w:p>
    <w:p w14:paraId="5FC360B5" w14:textId="52736CFD" w:rsidR="0007338B" w:rsidRPr="00CA70AD" w:rsidRDefault="0007338B" w:rsidP="0007338B">
      <w:pPr>
        <w:jc w:val="both"/>
        <w:rPr>
          <w:rFonts w:ascii="Times New Roman" w:hAnsi="Times New Roman" w:cs="Times New Roman"/>
          <w:b/>
          <w:bCs/>
          <w:sz w:val="28"/>
          <w:szCs w:val="28"/>
        </w:rPr>
      </w:pPr>
      <w:r w:rsidRPr="00CA70AD">
        <w:rPr>
          <w:rFonts w:ascii="Times New Roman" w:hAnsi="Times New Roman" w:cs="Times New Roman"/>
          <w:b/>
          <w:bCs/>
          <w:sz w:val="28"/>
          <w:szCs w:val="28"/>
        </w:rPr>
        <w:t>Risk Management Recommendations</w:t>
      </w:r>
    </w:p>
    <w:p w14:paraId="39610A61" w14:textId="6561DA1E" w:rsidR="00143BD3" w:rsidRPr="00CA70AD" w:rsidRDefault="00143BD3" w:rsidP="0007338B">
      <w:pPr>
        <w:ind w:left="720"/>
        <w:jc w:val="both"/>
        <w:rPr>
          <w:rFonts w:ascii="Times New Roman" w:hAnsi="Times New Roman" w:cs="Times New Roman"/>
          <w:sz w:val="28"/>
          <w:szCs w:val="28"/>
        </w:rPr>
      </w:pPr>
    </w:p>
    <w:p w14:paraId="5AD800BB" w14:textId="3095E130" w:rsidR="00143BD3" w:rsidRPr="00CA70AD" w:rsidRDefault="0065788F" w:rsidP="00D41A82">
      <w:pPr>
        <w:numPr>
          <w:ilvl w:val="0"/>
          <w:numId w:val="9"/>
        </w:numPr>
        <w:jc w:val="both"/>
        <w:rPr>
          <w:rFonts w:ascii="Times New Roman" w:hAnsi="Times New Roman" w:cs="Times New Roman"/>
          <w:sz w:val="28"/>
          <w:szCs w:val="28"/>
        </w:rPr>
      </w:pPr>
      <w:r w:rsidRPr="00CA70AD">
        <w:rPr>
          <w:rFonts w:ascii="Times New Roman" w:hAnsi="Times New Roman" w:cs="Times New Roman"/>
          <w:b/>
          <w:bCs/>
          <w:sz w:val="28"/>
          <w:szCs w:val="28"/>
        </w:rPr>
        <w:t xml:space="preserve"> </w:t>
      </w:r>
      <w:r w:rsidR="00143BD3" w:rsidRPr="00CA70AD">
        <w:rPr>
          <w:rFonts w:ascii="Times New Roman" w:hAnsi="Times New Roman" w:cs="Times New Roman"/>
          <w:b/>
          <w:bCs/>
          <w:sz w:val="28"/>
          <w:szCs w:val="28"/>
        </w:rPr>
        <w:t>Address Ethical Concerns</w:t>
      </w:r>
      <w:r w:rsidR="00143BD3" w:rsidRPr="00CA70AD">
        <w:rPr>
          <w:rFonts w:ascii="Times New Roman" w:hAnsi="Times New Roman" w:cs="Times New Roman"/>
          <w:sz w:val="28"/>
          <w:szCs w:val="28"/>
        </w:rPr>
        <w:t>: Work towards resolving health system injustices that medical crowdfunding seeks to alleviate, rather than relying on crowdfunding as a makeshift solution (Snyder, 2016).</w:t>
      </w:r>
    </w:p>
    <w:p w14:paraId="42E11F9A" w14:textId="77777777" w:rsidR="002C66CD" w:rsidRDefault="00143BD3" w:rsidP="002C66CD">
      <w:pPr>
        <w:numPr>
          <w:ilvl w:val="0"/>
          <w:numId w:val="7"/>
        </w:numPr>
        <w:jc w:val="both"/>
        <w:rPr>
          <w:rFonts w:ascii="Times New Roman" w:hAnsi="Times New Roman" w:cs="Times New Roman"/>
          <w:sz w:val="28"/>
          <w:szCs w:val="28"/>
        </w:rPr>
      </w:pPr>
      <w:r w:rsidRPr="002C66CD">
        <w:rPr>
          <w:rFonts w:ascii="Times New Roman" w:hAnsi="Times New Roman" w:cs="Times New Roman"/>
          <w:b/>
          <w:bCs/>
          <w:sz w:val="28"/>
          <w:szCs w:val="28"/>
        </w:rPr>
        <w:t>Leverage Existing Resources</w:t>
      </w:r>
      <w:r w:rsidRPr="002C66CD">
        <w:rPr>
          <w:rFonts w:ascii="Times New Roman" w:hAnsi="Times New Roman" w:cs="Times New Roman"/>
          <w:sz w:val="28"/>
          <w:szCs w:val="28"/>
        </w:rPr>
        <w:t>: Utilize available resources, such as employee wellness programs, to reduce health risks and optimize health outcomes within budgetary constraints (Perkins et al, 2004).</w:t>
      </w:r>
    </w:p>
    <w:p w14:paraId="408EC93B" w14:textId="636C0AA4" w:rsidR="00143BD3" w:rsidRPr="002C66CD" w:rsidRDefault="00143BD3" w:rsidP="00D01AA0">
      <w:pPr>
        <w:numPr>
          <w:ilvl w:val="0"/>
          <w:numId w:val="7"/>
        </w:numPr>
        <w:jc w:val="both"/>
        <w:rPr>
          <w:rFonts w:ascii="Times New Roman" w:hAnsi="Times New Roman" w:cs="Times New Roman"/>
          <w:sz w:val="28"/>
          <w:szCs w:val="28"/>
        </w:rPr>
      </w:pPr>
      <w:r w:rsidRPr="002C66CD">
        <w:rPr>
          <w:rFonts w:ascii="Times New Roman" w:hAnsi="Times New Roman" w:cs="Times New Roman"/>
          <w:b/>
          <w:bCs/>
          <w:sz w:val="28"/>
          <w:szCs w:val="28"/>
        </w:rPr>
        <w:t>Implement Comprehensive Safety Protocols</w:t>
      </w:r>
      <w:r w:rsidRPr="002C66CD">
        <w:rPr>
          <w:rFonts w:ascii="Times New Roman" w:hAnsi="Times New Roman" w:cs="Times New Roman"/>
          <w:sz w:val="28"/>
          <w:szCs w:val="28"/>
        </w:rPr>
        <w:t>: Establish thorough safety measures, especially for activities like food sales, to prevent foodborne illnesses and ensure crowd safety.</w:t>
      </w:r>
    </w:p>
    <w:p w14:paraId="40CAB4A0" w14:textId="77777777" w:rsidR="00143BD3" w:rsidRPr="00CA70AD" w:rsidRDefault="00143BD3" w:rsidP="00D41A82">
      <w:pPr>
        <w:numPr>
          <w:ilvl w:val="0"/>
          <w:numId w:val="7"/>
        </w:numPr>
        <w:jc w:val="both"/>
        <w:rPr>
          <w:rFonts w:ascii="Times New Roman" w:hAnsi="Times New Roman" w:cs="Times New Roman"/>
          <w:sz w:val="28"/>
          <w:szCs w:val="28"/>
        </w:rPr>
      </w:pPr>
      <w:r w:rsidRPr="00CA70AD">
        <w:rPr>
          <w:rFonts w:ascii="Times New Roman" w:hAnsi="Times New Roman" w:cs="Times New Roman"/>
          <w:b/>
          <w:bCs/>
          <w:sz w:val="28"/>
          <w:szCs w:val="28"/>
        </w:rPr>
        <w:t>Ensure Regulatory Compliance</w:t>
      </w:r>
      <w:r w:rsidRPr="00CA70AD">
        <w:rPr>
          <w:rFonts w:ascii="Times New Roman" w:hAnsi="Times New Roman" w:cs="Times New Roman"/>
          <w:sz w:val="28"/>
          <w:szCs w:val="28"/>
        </w:rPr>
        <w:t>: Consult with legal advisors to ensure all activities, especially raffles and entertainment, comply with local laws and regulations.</w:t>
      </w:r>
    </w:p>
    <w:p w14:paraId="3B802FF3" w14:textId="77777777" w:rsidR="00143BD3" w:rsidRPr="00CA70AD" w:rsidRDefault="00143BD3" w:rsidP="00D41A82">
      <w:pPr>
        <w:numPr>
          <w:ilvl w:val="0"/>
          <w:numId w:val="7"/>
        </w:numPr>
        <w:jc w:val="both"/>
        <w:rPr>
          <w:rFonts w:ascii="Times New Roman" w:hAnsi="Times New Roman" w:cs="Times New Roman"/>
          <w:sz w:val="28"/>
          <w:szCs w:val="28"/>
        </w:rPr>
      </w:pPr>
      <w:r w:rsidRPr="00CA70AD">
        <w:rPr>
          <w:rFonts w:ascii="Times New Roman" w:hAnsi="Times New Roman" w:cs="Times New Roman"/>
          <w:b/>
          <w:bCs/>
          <w:sz w:val="28"/>
          <w:szCs w:val="28"/>
        </w:rPr>
        <w:lastRenderedPageBreak/>
        <w:t>Conduct Regular Risk Reviews</w:t>
      </w:r>
      <w:r w:rsidRPr="00CA70AD">
        <w:rPr>
          <w:rFonts w:ascii="Times New Roman" w:hAnsi="Times New Roman" w:cs="Times New Roman"/>
          <w:sz w:val="28"/>
          <w:szCs w:val="28"/>
        </w:rPr>
        <w:t>: Continuously monitor and review the risk register, updating it with new information or changes in the event scope to ensure timely identification and mitigation of risks.</w:t>
      </w:r>
    </w:p>
    <w:p w14:paraId="3FBC3E3E" w14:textId="42A3AE3B" w:rsidR="00143BD3" w:rsidRPr="00CA70AD" w:rsidRDefault="00143BD3" w:rsidP="00D41A82">
      <w:pPr>
        <w:numPr>
          <w:ilvl w:val="0"/>
          <w:numId w:val="7"/>
        </w:numPr>
        <w:jc w:val="both"/>
        <w:rPr>
          <w:rFonts w:ascii="Times New Roman" w:hAnsi="Times New Roman" w:cs="Times New Roman"/>
          <w:sz w:val="28"/>
          <w:szCs w:val="28"/>
        </w:rPr>
      </w:pPr>
      <w:r w:rsidRPr="00CA70AD">
        <w:rPr>
          <w:rFonts w:ascii="Times New Roman" w:hAnsi="Times New Roman" w:cs="Times New Roman"/>
          <w:b/>
          <w:bCs/>
          <w:sz w:val="28"/>
          <w:szCs w:val="28"/>
        </w:rPr>
        <w:t>Engage and Train Volunteers</w:t>
      </w:r>
      <w:r w:rsidRPr="00CA70AD">
        <w:rPr>
          <w:rFonts w:ascii="Times New Roman" w:hAnsi="Times New Roman" w:cs="Times New Roman"/>
          <w:sz w:val="28"/>
          <w:szCs w:val="28"/>
        </w:rPr>
        <w:t>: Ensure all staff and volunteers are well-informed about the event's safety protocols and emergency procedures to effectively manage any incidents</w:t>
      </w:r>
      <w:r w:rsidR="00937A6F" w:rsidRPr="00CA70AD">
        <w:rPr>
          <w:rFonts w:ascii="Times New Roman" w:hAnsi="Times New Roman" w:cs="Times New Roman"/>
          <w:sz w:val="28"/>
          <w:szCs w:val="28"/>
        </w:rPr>
        <w:t xml:space="preserve"> (En-</w:t>
      </w:r>
      <w:proofErr w:type="spellStart"/>
      <w:r w:rsidR="00937A6F" w:rsidRPr="00CA70AD">
        <w:rPr>
          <w:rFonts w:ascii="Times New Roman" w:hAnsi="Times New Roman" w:cs="Times New Roman"/>
          <w:sz w:val="28"/>
          <w:szCs w:val="28"/>
        </w:rPr>
        <w:t>Naaoui</w:t>
      </w:r>
      <w:proofErr w:type="spellEnd"/>
      <w:r w:rsidR="00937A6F" w:rsidRPr="00CA70AD">
        <w:rPr>
          <w:rFonts w:ascii="Times New Roman" w:hAnsi="Times New Roman" w:cs="Times New Roman"/>
          <w:sz w:val="28"/>
          <w:szCs w:val="28"/>
        </w:rPr>
        <w:t xml:space="preserve"> et al, 2021)</w:t>
      </w:r>
      <w:r w:rsidR="00FF7B94">
        <w:rPr>
          <w:rFonts w:ascii="Times New Roman" w:hAnsi="Times New Roman" w:cs="Times New Roman"/>
          <w:sz w:val="28"/>
          <w:szCs w:val="28"/>
        </w:rPr>
        <w:t>.</w:t>
      </w:r>
    </w:p>
    <w:p w14:paraId="33AC9682" w14:textId="77777777" w:rsidR="00143BD3" w:rsidRPr="00CA70AD" w:rsidRDefault="00143BD3" w:rsidP="00D41A82">
      <w:pPr>
        <w:jc w:val="both"/>
        <w:rPr>
          <w:rFonts w:ascii="Times New Roman" w:hAnsi="Times New Roman" w:cs="Times New Roman"/>
          <w:sz w:val="28"/>
          <w:szCs w:val="28"/>
        </w:rPr>
      </w:pPr>
      <w:r w:rsidRPr="00CA70AD">
        <w:rPr>
          <w:rFonts w:ascii="Times New Roman" w:hAnsi="Times New Roman" w:cs="Times New Roman"/>
          <w:sz w:val="28"/>
          <w:szCs w:val="28"/>
        </w:rPr>
        <w:t>By adhering to these recommendations, organizers can significantly mitigate the risks associated with the healthcare fundraising event, ensuring a safe, compliant, and successful event that effectively supports the intended healthcare cause.</w:t>
      </w:r>
    </w:p>
    <w:p w14:paraId="162F8DC9"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0FAD48C7"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3CA78639"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67A545FA"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5560294A"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21F76113"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6DDCA354"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7EF82F74"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7293360F"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1DCB6C0A"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363BC8EF"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23D07F22"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627E29B6"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00ABBA69" w14:textId="77777777" w:rsidR="0052430F"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p>
    <w:p w14:paraId="693DE5C7" w14:textId="1D1318D1" w:rsidR="0052430F" w:rsidRPr="00E230D8" w:rsidRDefault="0052430F" w:rsidP="0052430F">
      <w:pPr>
        <w:widowControl w:val="0"/>
        <w:autoSpaceDE w:val="0"/>
        <w:autoSpaceDN w:val="0"/>
        <w:adjustRightInd w:val="0"/>
        <w:spacing w:after="240" w:line="360" w:lineRule="auto"/>
        <w:jc w:val="both"/>
        <w:rPr>
          <w:rFonts w:ascii="Times New Roman" w:hAnsi="Times New Roman" w:cs="Times New Roman"/>
          <w:kern w:val="0"/>
          <w:sz w:val="24"/>
          <w:szCs w:val="24"/>
          <w:lang w:val="en-US"/>
        </w:rPr>
      </w:pPr>
      <w:r w:rsidRPr="00E230D8">
        <w:rPr>
          <w:rFonts w:ascii="Times New Roman" w:hAnsi="Times New Roman" w:cs="Times New Roman"/>
          <w:kern w:val="0"/>
          <w:sz w:val="24"/>
          <w:szCs w:val="24"/>
          <w:lang w:val="en-US"/>
        </w:rPr>
        <w:lastRenderedPageBreak/>
        <w:t>Reference list</w:t>
      </w:r>
      <w:r>
        <w:rPr>
          <w:rFonts w:ascii="Times New Roman" w:hAnsi="Times New Roman" w:cs="Times New Roman"/>
          <w:kern w:val="0"/>
          <w:lang w:val="en-US"/>
        </w:rPr>
        <w:t>:</w:t>
      </w:r>
    </w:p>
    <w:p w14:paraId="06A4E7DA" w14:textId="2A3B2E93"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E230D8">
        <w:rPr>
          <w:rFonts w:ascii="Times New Roman" w:hAnsi="Times New Roman" w:cs="Times New Roman"/>
          <w:kern w:val="0"/>
          <w:lang w:val="en-US"/>
        </w:rPr>
        <w:t xml:space="preserve">Al, E.-N. </w:t>
      </w:r>
      <w:proofErr w:type="spellStart"/>
      <w:r w:rsidRPr="00E230D8">
        <w:rPr>
          <w:rFonts w:ascii="Times New Roman" w:hAnsi="Times New Roman" w:cs="Times New Roman"/>
          <w:kern w:val="0"/>
          <w:lang w:val="en-US"/>
        </w:rPr>
        <w:t>et</w:t>
      </w:r>
      <w:proofErr w:type="spellEnd"/>
      <w:r w:rsidRPr="00E230D8">
        <w:rPr>
          <w:rFonts w:ascii="Times New Roman" w:hAnsi="Times New Roman" w:cs="Times New Roman"/>
          <w:kern w:val="0"/>
          <w:lang w:val="en-US"/>
        </w:rPr>
        <w:t xml:space="preserve"> (2021)</w:t>
      </w:r>
      <w:r w:rsidR="008A6726">
        <w:rPr>
          <w:rFonts w:ascii="Times New Roman" w:hAnsi="Times New Roman" w:cs="Times New Roman"/>
          <w:kern w:val="0"/>
          <w:lang w:val="en-US"/>
        </w:rPr>
        <w:t>,</w:t>
      </w:r>
      <w:r w:rsidRPr="00E230D8">
        <w:rPr>
          <w:rFonts w:ascii="Times New Roman" w:hAnsi="Times New Roman" w:cs="Times New Roman"/>
          <w:kern w:val="0"/>
          <w:lang w:val="en-US"/>
        </w:rPr>
        <w:t xml:space="preserve"> </w:t>
      </w:r>
      <w:r w:rsidR="008A6726">
        <w:rPr>
          <w:rFonts w:ascii="Times New Roman" w:hAnsi="Times New Roman" w:cs="Times New Roman"/>
          <w:kern w:val="0"/>
          <w:lang w:val="en-US"/>
        </w:rPr>
        <w:t>‘</w:t>
      </w:r>
      <w:r w:rsidRPr="00E230D8">
        <w:rPr>
          <w:rFonts w:ascii="Times New Roman" w:hAnsi="Times New Roman" w:cs="Times New Roman"/>
          <w:kern w:val="0"/>
          <w:lang w:val="en-US"/>
        </w:rPr>
        <w:t>Risk Management in Moroccan Healthcare Organizations: An Overview</w:t>
      </w:r>
      <w:r w:rsidR="008A6726">
        <w:rPr>
          <w:rFonts w:ascii="Times New Roman" w:hAnsi="Times New Roman" w:cs="Times New Roman"/>
          <w:kern w:val="0"/>
          <w:lang w:val="en-US"/>
        </w:rPr>
        <w:t>’,</w:t>
      </w:r>
      <w:r w:rsidRPr="00E230D8">
        <w:rPr>
          <w:rFonts w:ascii="Times New Roman" w:hAnsi="Times New Roman" w:cs="Times New Roman"/>
          <w:kern w:val="0"/>
          <w:lang w:val="en-US"/>
        </w:rPr>
        <w:t xml:space="preserve"> </w:t>
      </w:r>
      <w:r w:rsidRPr="00E230D8">
        <w:rPr>
          <w:rFonts w:ascii="Times New Roman" w:hAnsi="Times New Roman" w:cs="Times New Roman"/>
          <w:i/>
          <w:iCs/>
          <w:kern w:val="0"/>
          <w:lang w:val="en-US"/>
        </w:rPr>
        <w:t>Turkish Journal of Computer and Mathematics Education (TURCOMAT)</w:t>
      </w:r>
      <w:r w:rsidRPr="00E230D8">
        <w:rPr>
          <w:rFonts w:ascii="Times New Roman" w:hAnsi="Times New Roman" w:cs="Times New Roman"/>
          <w:kern w:val="0"/>
          <w:lang w:val="en-US"/>
        </w:rPr>
        <w:t>, 12(5), pp</w:t>
      </w:r>
      <w:r w:rsidR="008A6726">
        <w:rPr>
          <w:rFonts w:ascii="Times New Roman" w:hAnsi="Times New Roman" w:cs="Times New Roman"/>
          <w:kern w:val="0"/>
          <w:lang w:val="en-US"/>
        </w:rPr>
        <w:t xml:space="preserve"> </w:t>
      </w:r>
      <w:r w:rsidRPr="00E230D8">
        <w:rPr>
          <w:rFonts w:ascii="Times New Roman" w:hAnsi="Times New Roman" w:cs="Times New Roman"/>
          <w:kern w:val="0"/>
          <w:lang w:val="en-US"/>
        </w:rPr>
        <w:t xml:space="preserve">930–936. Available at: </w:t>
      </w:r>
      <w:hyperlink r:id="rId9" w:history="1">
        <w:r w:rsidRPr="00E230D8">
          <w:rPr>
            <w:rFonts w:ascii="Times New Roman" w:hAnsi="Times New Roman" w:cs="Times New Roman"/>
            <w:kern w:val="0"/>
            <w:lang w:val="en-US"/>
          </w:rPr>
          <w:t>https://turcomat.org/index.php/turkbilmat/article/view/1735</w:t>
        </w:r>
      </w:hyperlink>
      <w:r w:rsidRPr="00E230D8">
        <w:rPr>
          <w:rFonts w:ascii="Times New Roman" w:hAnsi="Times New Roman" w:cs="Times New Roman"/>
          <w:kern w:val="0"/>
          <w:lang w:val="en-US"/>
        </w:rPr>
        <w:t>.</w:t>
      </w:r>
    </w:p>
    <w:p w14:paraId="7F5F4087" w14:textId="3ABD141C"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E230D8">
        <w:rPr>
          <w:rFonts w:ascii="Times New Roman" w:hAnsi="Times New Roman" w:cs="Times New Roman"/>
          <w:kern w:val="0"/>
          <w:sz w:val="24"/>
          <w:szCs w:val="24"/>
          <w:lang w:val="en-US"/>
        </w:rPr>
        <w:t>Ba, Z., Zhao, Y., Song, S. and Zhu, Q. (2022)</w:t>
      </w:r>
      <w:r w:rsidR="00AD2B9A">
        <w:rPr>
          <w:rFonts w:ascii="Times New Roman" w:hAnsi="Times New Roman" w:cs="Times New Roman"/>
          <w:kern w:val="0"/>
          <w:sz w:val="24"/>
          <w:szCs w:val="24"/>
          <w:lang w:val="en-US"/>
        </w:rPr>
        <w:t>,</w:t>
      </w:r>
      <w:r w:rsidRPr="00E230D8">
        <w:rPr>
          <w:rFonts w:ascii="Times New Roman" w:hAnsi="Times New Roman" w:cs="Times New Roman"/>
          <w:kern w:val="0"/>
          <w:sz w:val="24"/>
          <w:szCs w:val="24"/>
          <w:lang w:val="en-US"/>
        </w:rPr>
        <w:t xml:space="preserve"> </w:t>
      </w:r>
      <w:r w:rsidR="00AD2B9A">
        <w:rPr>
          <w:rFonts w:ascii="Times New Roman" w:hAnsi="Times New Roman" w:cs="Times New Roman"/>
          <w:kern w:val="0"/>
          <w:sz w:val="24"/>
          <w:szCs w:val="24"/>
          <w:lang w:val="en-US"/>
        </w:rPr>
        <w:t>‘</w:t>
      </w:r>
      <w:r w:rsidRPr="00E230D8">
        <w:rPr>
          <w:rFonts w:ascii="Times New Roman" w:hAnsi="Times New Roman" w:cs="Times New Roman"/>
          <w:kern w:val="0"/>
          <w:sz w:val="24"/>
          <w:szCs w:val="24"/>
          <w:lang w:val="en-US"/>
        </w:rPr>
        <w:t>Does the involvement of charities matter? Exploring the impact of charities’ reputation and social capital on medical crowdfunding performance</w:t>
      </w:r>
      <w:r w:rsidR="00AD2B9A">
        <w:rPr>
          <w:rFonts w:ascii="Times New Roman" w:hAnsi="Times New Roman" w:cs="Times New Roman"/>
          <w:kern w:val="0"/>
          <w:sz w:val="24"/>
          <w:szCs w:val="24"/>
          <w:lang w:val="en-US"/>
        </w:rPr>
        <w:t xml:space="preserve">’, </w:t>
      </w:r>
      <w:r w:rsidRPr="00E230D8">
        <w:rPr>
          <w:rFonts w:ascii="Times New Roman" w:hAnsi="Times New Roman" w:cs="Times New Roman"/>
          <w:i/>
          <w:iCs/>
          <w:kern w:val="0"/>
          <w:sz w:val="24"/>
          <w:szCs w:val="24"/>
          <w:lang w:val="en-US"/>
        </w:rPr>
        <w:t xml:space="preserve">Information Processing </w:t>
      </w:r>
      <w:r w:rsidR="00AD2B9A">
        <w:rPr>
          <w:rFonts w:ascii="Times New Roman" w:hAnsi="Times New Roman" w:cs="Times New Roman"/>
          <w:i/>
          <w:iCs/>
          <w:kern w:val="0"/>
          <w:sz w:val="24"/>
          <w:szCs w:val="24"/>
          <w:lang w:val="en-US"/>
        </w:rPr>
        <w:t>and</w:t>
      </w:r>
      <w:r w:rsidRPr="00E230D8">
        <w:rPr>
          <w:rFonts w:ascii="Times New Roman" w:hAnsi="Times New Roman" w:cs="Times New Roman"/>
          <w:i/>
          <w:iCs/>
          <w:kern w:val="0"/>
          <w:sz w:val="24"/>
          <w:szCs w:val="24"/>
          <w:lang w:val="en-US"/>
        </w:rPr>
        <w:t xml:space="preserve"> Management</w:t>
      </w:r>
      <w:r w:rsidRPr="00E230D8">
        <w:rPr>
          <w:rFonts w:ascii="Times New Roman" w:hAnsi="Times New Roman" w:cs="Times New Roman"/>
          <w:kern w:val="0"/>
          <w:sz w:val="24"/>
          <w:szCs w:val="24"/>
          <w:lang w:val="en-US"/>
        </w:rPr>
        <w:t>, 59(3), p</w:t>
      </w:r>
      <w:r w:rsidR="00AD2B9A">
        <w:rPr>
          <w:rFonts w:ascii="Times New Roman" w:hAnsi="Times New Roman" w:cs="Times New Roman"/>
          <w:kern w:val="0"/>
          <w:sz w:val="24"/>
          <w:szCs w:val="24"/>
          <w:lang w:val="en-US"/>
        </w:rPr>
        <w:t xml:space="preserve">p </w:t>
      </w:r>
      <w:r w:rsidRPr="00E230D8">
        <w:rPr>
          <w:rFonts w:ascii="Times New Roman" w:hAnsi="Times New Roman" w:cs="Times New Roman"/>
          <w:kern w:val="0"/>
          <w:sz w:val="24"/>
          <w:szCs w:val="24"/>
          <w:lang w:val="en-US"/>
        </w:rPr>
        <w:t xml:space="preserve">102942. </w:t>
      </w:r>
      <w:r w:rsidR="00AD2B9A">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Pr="00E230D8">
        <w:rPr>
          <w:rFonts w:ascii="Times New Roman" w:hAnsi="Times New Roman" w:cs="Times New Roman"/>
          <w:kern w:val="0"/>
          <w:sz w:val="24"/>
          <w:szCs w:val="24"/>
          <w:lang w:val="en-US"/>
        </w:rPr>
        <w:t>:</w:t>
      </w:r>
      <w:r w:rsidR="00AD2B9A">
        <w:rPr>
          <w:rFonts w:ascii="Times New Roman" w:hAnsi="Times New Roman" w:cs="Times New Roman"/>
          <w:kern w:val="0"/>
          <w:sz w:val="24"/>
          <w:szCs w:val="24"/>
          <w:lang w:val="en-US"/>
        </w:rPr>
        <w:t xml:space="preserve"> </w:t>
      </w:r>
      <w:hyperlink r:id="rId10" w:history="1">
        <w:r w:rsidR="00AD2B9A" w:rsidRPr="00F4210A">
          <w:rPr>
            <w:rStyle w:val="Hyperlink"/>
            <w:rFonts w:ascii="Times New Roman" w:hAnsi="Times New Roman" w:cs="Times New Roman"/>
            <w:color w:val="auto"/>
            <w:kern w:val="0"/>
            <w:sz w:val="24"/>
            <w:szCs w:val="24"/>
            <w:u w:val="none"/>
            <w:lang w:val="en-US"/>
          </w:rPr>
          <w:t>https://doi.org/10.1016/j.ipm.2022.102942</w:t>
        </w:r>
      </w:hyperlink>
      <w:r w:rsidRPr="00E230D8">
        <w:rPr>
          <w:rFonts w:ascii="Times New Roman" w:hAnsi="Times New Roman" w:cs="Times New Roman"/>
          <w:kern w:val="0"/>
          <w:sz w:val="24"/>
          <w:szCs w:val="24"/>
          <w:lang w:val="en-US"/>
        </w:rPr>
        <w:t>.</w:t>
      </w:r>
    </w:p>
    <w:p w14:paraId="043B6CF0" w14:textId="6D9FC4D8"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B95649">
        <w:rPr>
          <w:rFonts w:ascii="Times New Roman" w:hAnsi="Times New Roman" w:cs="Times New Roman"/>
          <w:kern w:val="0"/>
          <w:sz w:val="24"/>
          <w:szCs w:val="24"/>
          <w:lang w:val="en-US"/>
        </w:rPr>
        <w:t>Erwin, C.O. and Landry, A.Y. (2015)</w:t>
      </w:r>
      <w:r w:rsidR="00F4210A">
        <w:rPr>
          <w:rFonts w:ascii="Times New Roman" w:hAnsi="Times New Roman" w:cs="Times New Roman"/>
          <w:kern w:val="0"/>
          <w:sz w:val="24"/>
          <w:szCs w:val="24"/>
          <w:lang w:val="en-US"/>
        </w:rPr>
        <w:t xml:space="preserve">, </w:t>
      </w:r>
      <w:r w:rsidR="00740106">
        <w:rPr>
          <w:rFonts w:ascii="Times New Roman" w:hAnsi="Times New Roman" w:cs="Times New Roman"/>
          <w:kern w:val="0"/>
          <w:sz w:val="24"/>
          <w:szCs w:val="24"/>
          <w:lang w:val="en-US"/>
        </w:rPr>
        <w:t>‘</w:t>
      </w:r>
      <w:r w:rsidRPr="00B95649">
        <w:rPr>
          <w:rFonts w:ascii="Times New Roman" w:hAnsi="Times New Roman" w:cs="Times New Roman"/>
          <w:kern w:val="0"/>
          <w:sz w:val="24"/>
          <w:szCs w:val="24"/>
          <w:lang w:val="en-US"/>
        </w:rPr>
        <w:t>Organizational Characteristics Associated With Fundraising Performance of Nonprofit Hospitals</w:t>
      </w:r>
      <w:r w:rsidR="00740106">
        <w:rPr>
          <w:rFonts w:ascii="Times New Roman" w:hAnsi="Times New Roman" w:cs="Times New Roman"/>
          <w:kern w:val="0"/>
          <w:sz w:val="24"/>
          <w:szCs w:val="24"/>
          <w:lang w:val="en-US"/>
        </w:rPr>
        <w:t>’,</w:t>
      </w:r>
      <w:r w:rsidRPr="00B95649">
        <w:rPr>
          <w:rFonts w:ascii="Times New Roman" w:hAnsi="Times New Roman" w:cs="Times New Roman"/>
          <w:kern w:val="0"/>
          <w:sz w:val="24"/>
          <w:szCs w:val="24"/>
          <w:lang w:val="en-US"/>
        </w:rPr>
        <w:t xml:space="preserve"> </w:t>
      </w:r>
      <w:r w:rsidRPr="00B95649">
        <w:rPr>
          <w:rFonts w:ascii="Times New Roman" w:hAnsi="Times New Roman" w:cs="Times New Roman"/>
          <w:i/>
          <w:iCs/>
          <w:kern w:val="0"/>
          <w:sz w:val="24"/>
          <w:szCs w:val="24"/>
          <w:lang w:val="en-US"/>
        </w:rPr>
        <w:t>Journal of Healthcare Management</w:t>
      </w:r>
      <w:r w:rsidRPr="00B95649">
        <w:rPr>
          <w:rFonts w:ascii="Times New Roman" w:hAnsi="Times New Roman" w:cs="Times New Roman"/>
          <w:kern w:val="0"/>
          <w:sz w:val="24"/>
          <w:szCs w:val="24"/>
          <w:lang w:val="en-US"/>
        </w:rPr>
        <w:t>, 60(2), pp</w:t>
      </w:r>
      <w:r w:rsidR="00740106">
        <w:rPr>
          <w:rFonts w:ascii="Times New Roman" w:hAnsi="Times New Roman" w:cs="Times New Roman"/>
          <w:kern w:val="0"/>
          <w:sz w:val="24"/>
          <w:szCs w:val="24"/>
          <w:lang w:val="en-US"/>
        </w:rPr>
        <w:t xml:space="preserve"> </w:t>
      </w:r>
      <w:r w:rsidRPr="00B95649">
        <w:rPr>
          <w:rFonts w:ascii="Times New Roman" w:hAnsi="Times New Roman" w:cs="Times New Roman"/>
          <w:kern w:val="0"/>
          <w:sz w:val="24"/>
          <w:szCs w:val="24"/>
          <w:lang w:val="en-US"/>
        </w:rPr>
        <w:t xml:space="preserve">96–112. </w:t>
      </w:r>
      <w:r w:rsidR="00A83ADB">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A83ADB">
        <w:rPr>
          <w:rFonts w:ascii="Times New Roman" w:hAnsi="Times New Roman" w:cs="Times New Roman"/>
          <w:kern w:val="0"/>
          <w:sz w:val="24"/>
          <w:szCs w:val="24"/>
          <w:lang w:val="en-US"/>
        </w:rPr>
        <w:t xml:space="preserve">: </w:t>
      </w:r>
      <w:hyperlink r:id="rId11" w:history="1">
        <w:r w:rsidRPr="00B95649">
          <w:rPr>
            <w:rFonts w:ascii="Times New Roman" w:hAnsi="Times New Roman" w:cs="Times New Roman"/>
            <w:kern w:val="0"/>
            <w:sz w:val="24"/>
            <w:szCs w:val="24"/>
            <w:lang w:val="en-US"/>
          </w:rPr>
          <w:t>https://doi.org/10.1097/00115514-201503000-00005</w:t>
        </w:r>
      </w:hyperlink>
      <w:r w:rsidRPr="00B95649">
        <w:rPr>
          <w:rFonts w:ascii="Times New Roman" w:hAnsi="Times New Roman" w:cs="Times New Roman"/>
          <w:kern w:val="0"/>
          <w:sz w:val="24"/>
          <w:szCs w:val="24"/>
          <w:lang w:val="en-US"/>
        </w:rPr>
        <w:t>.</w:t>
      </w:r>
    </w:p>
    <w:p w14:paraId="76CEEA42" w14:textId="2EAEF943"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B95649">
        <w:rPr>
          <w:rFonts w:ascii="Times New Roman" w:hAnsi="Times New Roman" w:cs="Times New Roman"/>
          <w:kern w:val="0"/>
          <w:sz w:val="24"/>
          <w:szCs w:val="24"/>
          <w:lang w:val="en-US"/>
        </w:rPr>
        <w:t xml:space="preserve">Guerra, F., Guzzo, A.S., Rosa, P.L., </w:t>
      </w:r>
      <w:proofErr w:type="spellStart"/>
      <w:r w:rsidRPr="00B95649">
        <w:rPr>
          <w:rFonts w:ascii="Times New Roman" w:hAnsi="Times New Roman" w:cs="Times New Roman"/>
          <w:kern w:val="0"/>
          <w:sz w:val="24"/>
          <w:szCs w:val="24"/>
          <w:lang w:val="en-US"/>
        </w:rPr>
        <w:t>Miatto</w:t>
      </w:r>
      <w:proofErr w:type="spellEnd"/>
      <w:r w:rsidRPr="00B95649">
        <w:rPr>
          <w:rFonts w:ascii="Times New Roman" w:hAnsi="Times New Roman" w:cs="Times New Roman"/>
          <w:kern w:val="0"/>
          <w:sz w:val="24"/>
          <w:szCs w:val="24"/>
          <w:lang w:val="en-US"/>
        </w:rPr>
        <w:t xml:space="preserve">, I., </w:t>
      </w:r>
      <w:proofErr w:type="spellStart"/>
      <w:r w:rsidRPr="00B95649">
        <w:rPr>
          <w:rFonts w:ascii="Times New Roman" w:hAnsi="Times New Roman" w:cs="Times New Roman"/>
          <w:kern w:val="0"/>
          <w:sz w:val="24"/>
          <w:szCs w:val="24"/>
          <w:lang w:val="en-US"/>
        </w:rPr>
        <w:t>Vergati</w:t>
      </w:r>
      <w:proofErr w:type="spellEnd"/>
      <w:r w:rsidRPr="00B95649">
        <w:rPr>
          <w:rFonts w:ascii="Times New Roman" w:hAnsi="Times New Roman" w:cs="Times New Roman"/>
          <w:kern w:val="0"/>
          <w:sz w:val="24"/>
          <w:szCs w:val="24"/>
          <w:lang w:val="en-US"/>
        </w:rPr>
        <w:t xml:space="preserve">, D., </w:t>
      </w:r>
      <w:proofErr w:type="spellStart"/>
      <w:r w:rsidRPr="00B95649">
        <w:rPr>
          <w:rFonts w:ascii="Times New Roman" w:hAnsi="Times New Roman" w:cs="Times New Roman"/>
          <w:kern w:val="0"/>
          <w:sz w:val="24"/>
          <w:szCs w:val="24"/>
          <w:lang w:val="en-US"/>
        </w:rPr>
        <w:t>Miredi</w:t>
      </w:r>
      <w:proofErr w:type="spellEnd"/>
      <w:r w:rsidRPr="00B95649">
        <w:rPr>
          <w:rFonts w:ascii="Times New Roman" w:hAnsi="Times New Roman" w:cs="Times New Roman"/>
          <w:kern w:val="0"/>
          <w:sz w:val="24"/>
          <w:szCs w:val="24"/>
          <w:lang w:val="en-US"/>
        </w:rPr>
        <w:t xml:space="preserve">, F., Gasparrini, N., Guerra, F., Raimondi, L., </w:t>
      </w:r>
      <w:proofErr w:type="spellStart"/>
      <w:r w:rsidRPr="00B95649">
        <w:rPr>
          <w:rFonts w:ascii="Times New Roman" w:hAnsi="Times New Roman" w:cs="Times New Roman"/>
          <w:kern w:val="0"/>
          <w:sz w:val="24"/>
          <w:szCs w:val="24"/>
          <w:lang w:val="en-US"/>
        </w:rPr>
        <w:t>Corridore</w:t>
      </w:r>
      <w:proofErr w:type="spellEnd"/>
      <w:r w:rsidRPr="00B95649">
        <w:rPr>
          <w:rFonts w:ascii="Times New Roman" w:hAnsi="Times New Roman" w:cs="Times New Roman"/>
          <w:kern w:val="0"/>
          <w:sz w:val="24"/>
          <w:szCs w:val="24"/>
          <w:lang w:val="en-US"/>
        </w:rPr>
        <w:t>, D., Nardi, G.M., Mazur, M., Torre, G.L. and Ottolenghi, L. (2021)</w:t>
      </w:r>
      <w:r w:rsidR="00A83ADB">
        <w:rPr>
          <w:rFonts w:ascii="Times New Roman" w:hAnsi="Times New Roman" w:cs="Times New Roman"/>
          <w:kern w:val="0"/>
          <w:sz w:val="24"/>
          <w:szCs w:val="24"/>
          <w:lang w:val="en-US"/>
        </w:rPr>
        <w:t>,</w:t>
      </w:r>
      <w:r w:rsidRPr="00B95649">
        <w:rPr>
          <w:rFonts w:ascii="Times New Roman" w:hAnsi="Times New Roman" w:cs="Times New Roman"/>
          <w:kern w:val="0"/>
          <w:sz w:val="24"/>
          <w:szCs w:val="24"/>
          <w:lang w:val="en-US"/>
        </w:rPr>
        <w:t xml:space="preserve"> </w:t>
      </w:r>
      <w:r w:rsidR="00A83ADB">
        <w:rPr>
          <w:rFonts w:ascii="Times New Roman" w:hAnsi="Times New Roman" w:cs="Times New Roman"/>
          <w:kern w:val="0"/>
          <w:sz w:val="24"/>
          <w:szCs w:val="24"/>
          <w:lang w:val="en-US"/>
        </w:rPr>
        <w:t>‘</w:t>
      </w:r>
      <w:r w:rsidRPr="00B95649">
        <w:rPr>
          <w:rFonts w:ascii="Times New Roman" w:hAnsi="Times New Roman" w:cs="Times New Roman"/>
          <w:kern w:val="0"/>
          <w:sz w:val="24"/>
          <w:szCs w:val="24"/>
          <w:lang w:val="en-US"/>
        </w:rPr>
        <w:t>Risk management and Healthcare responsibility. How to guarantee legal protection in Medicine</w:t>
      </w:r>
      <w:r w:rsidR="00A83ADB">
        <w:rPr>
          <w:rFonts w:ascii="Times New Roman" w:hAnsi="Times New Roman" w:cs="Times New Roman"/>
          <w:kern w:val="0"/>
          <w:sz w:val="24"/>
          <w:szCs w:val="24"/>
          <w:lang w:val="en-US"/>
        </w:rPr>
        <w:t xml:space="preserve">’, </w:t>
      </w:r>
      <w:r w:rsidRPr="00B95649">
        <w:rPr>
          <w:rFonts w:ascii="Times New Roman" w:hAnsi="Times New Roman" w:cs="Times New Roman"/>
          <w:i/>
          <w:iCs/>
          <w:kern w:val="0"/>
          <w:sz w:val="24"/>
          <w:szCs w:val="24"/>
          <w:lang w:val="en-US"/>
        </w:rPr>
        <w:t xml:space="preserve">La </w:t>
      </w:r>
      <w:proofErr w:type="spellStart"/>
      <w:r w:rsidRPr="00B95649">
        <w:rPr>
          <w:rFonts w:ascii="Times New Roman" w:hAnsi="Times New Roman" w:cs="Times New Roman"/>
          <w:i/>
          <w:iCs/>
          <w:kern w:val="0"/>
          <w:sz w:val="24"/>
          <w:szCs w:val="24"/>
          <w:lang w:val="en-US"/>
        </w:rPr>
        <w:t>Clinica</w:t>
      </w:r>
      <w:proofErr w:type="spellEnd"/>
      <w:r w:rsidRPr="00B95649">
        <w:rPr>
          <w:rFonts w:ascii="Times New Roman" w:hAnsi="Times New Roman" w:cs="Times New Roman"/>
          <w:i/>
          <w:iCs/>
          <w:kern w:val="0"/>
          <w:sz w:val="24"/>
          <w:szCs w:val="24"/>
          <w:lang w:val="en-US"/>
        </w:rPr>
        <w:t xml:space="preserve"> </w:t>
      </w:r>
      <w:proofErr w:type="spellStart"/>
      <w:r w:rsidRPr="00B95649">
        <w:rPr>
          <w:rFonts w:ascii="Times New Roman" w:hAnsi="Times New Roman" w:cs="Times New Roman"/>
          <w:i/>
          <w:iCs/>
          <w:kern w:val="0"/>
          <w:sz w:val="24"/>
          <w:szCs w:val="24"/>
          <w:lang w:val="en-US"/>
        </w:rPr>
        <w:t>Terapeutica</w:t>
      </w:r>
      <w:proofErr w:type="spellEnd"/>
      <w:r w:rsidRPr="00B95649">
        <w:rPr>
          <w:rFonts w:ascii="Times New Roman" w:hAnsi="Times New Roman" w:cs="Times New Roman"/>
          <w:kern w:val="0"/>
          <w:sz w:val="24"/>
          <w:szCs w:val="24"/>
          <w:lang w:val="en-US"/>
        </w:rPr>
        <w:t>, 172(1), pp</w:t>
      </w:r>
      <w:r w:rsidR="008A7601">
        <w:rPr>
          <w:rFonts w:ascii="Times New Roman" w:hAnsi="Times New Roman" w:cs="Times New Roman"/>
          <w:kern w:val="0"/>
          <w:sz w:val="24"/>
          <w:szCs w:val="24"/>
          <w:lang w:val="en-US"/>
        </w:rPr>
        <w:t xml:space="preserve"> </w:t>
      </w:r>
      <w:r w:rsidRPr="00B95649">
        <w:rPr>
          <w:rFonts w:ascii="Times New Roman" w:hAnsi="Times New Roman" w:cs="Times New Roman"/>
          <w:kern w:val="0"/>
          <w:sz w:val="24"/>
          <w:szCs w:val="24"/>
          <w:lang w:val="en-US"/>
        </w:rPr>
        <w:t xml:space="preserve">63–66. Available at: </w:t>
      </w:r>
      <w:hyperlink r:id="rId12" w:history="1">
        <w:r w:rsidRPr="00B95649">
          <w:rPr>
            <w:rFonts w:ascii="Times New Roman" w:hAnsi="Times New Roman" w:cs="Times New Roman"/>
            <w:kern w:val="0"/>
            <w:sz w:val="24"/>
            <w:szCs w:val="24"/>
            <w:lang w:val="en-US"/>
          </w:rPr>
          <w:t>https://clinicaterapeutica.it/ojs/index.php/1/article/view/393/249</w:t>
        </w:r>
      </w:hyperlink>
      <w:r w:rsidRPr="00B95649">
        <w:rPr>
          <w:rFonts w:ascii="Times New Roman" w:hAnsi="Times New Roman" w:cs="Times New Roman"/>
          <w:kern w:val="0"/>
          <w:sz w:val="24"/>
          <w:szCs w:val="24"/>
          <w:lang w:val="en-US"/>
        </w:rPr>
        <w:t>.</w:t>
      </w:r>
    </w:p>
    <w:p w14:paraId="7AFDD338" w14:textId="2D51EA49"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B95649">
        <w:rPr>
          <w:rFonts w:ascii="Times New Roman" w:hAnsi="Times New Roman" w:cs="Times New Roman"/>
          <w:kern w:val="0"/>
          <w:sz w:val="24"/>
          <w:szCs w:val="24"/>
          <w:lang w:val="en-US"/>
        </w:rPr>
        <w:t>Haywood, C. and Coackley, A. (2011)</w:t>
      </w:r>
      <w:r w:rsidR="008A7601">
        <w:rPr>
          <w:rFonts w:ascii="Times New Roman" w:hAnsi="Times New Roman" w:cs="Times New Roman"/>
          <w:kern w:val="0"/>
          <w:sz w:val="24"/>
          <w:szCs w:val="24"/>
          <w:lang w:val="en-US"/>
        </w:rPr>
        <w:t>,</w:t>
      </w:r>
      <w:r w:rsidRPr="00B95649">
        <w:rPr>
          <w:rFonts w:ascii="Times New Roman" w:hAnsi="Times New Roman" w:cs="Times New Roman"/>
          <w:kern w:val="0"/>
          <w:sz w:val="24"/>
          <w:szCs w:val="24"/>
          <w:lang w:val="en-US"/>
        </w:rPr>
        <w:t xml:space="preserve"> </w:t>
      </w:r>
      <w:r w:rsidR="008A7601">
        <w:rPr>
          <w:rFonts w:ascii="Times New Roman" w:hAnsi="Times New Roman" w:cs="Times New Roman"/>
          <w:kern w:val="0"/>
          <w:sz w:val="24"/>
          <w:szCs w:val="24"/>
          <w:lang w:val="en-US"/>
        </w:rPr>
        <w:t>‘</w:t>
      </w:r>
      <w:r w:rsidRPr="00B95649">
        <w:rPr>
          <w:rFonts w:ascii="Times New Roman" w:hAnsi="Times New Roman" w:cs="Times New Roman"/>
          <w:kern w:val="0"/>
          <w:sz w:val="24"/>
          <w:szCs w:val="24"/>
          <w:lang w:val="en-US"/>
        </w:rPr>
        <w:t>Risk register: an integrated governance approach</w:t>
      </w:r>
      <w:r w:rsidR="008A7601">
        <w:rPr>
          <w:rFonts w:ascii="Times New Roman" w:hAnsi="Times New Roman" w:cs="Times New Roman"/>
          <w:kern w:val="0"/>
          <w:sz w:val="24"/>
          <w:szCs w:val="24"/>
          <w:lang w:val="en-US"/>
        </w:rPr>
        <w:t xml:space="preserve">’, </w:t>
      </w:r>
      <w:r w:rsidRPr="00B95649">
        <w:rPr>
          <w:rFonts w:ascii="Times New Roman" w:hAnsi="Times New Roman" w:cs="Times New Roman"/>
          <w:kern w:val="0"/>
          <w:sz w:val="24"/>
          <w:szCs w:val="24"/>
          <w:lang w:val="en-US"/>
        </w:rPr>
        <w:t xml:space="preserve"> </w:t>
      </w:r>
      <w:r w:rsidRPr="00B95649">
        <w:rPr>
          <w:rFonts w:ascii="Times New Roman" w:hAnsi="Times New Roman" w:cs="Times New Roman"/>
          <w:i/>
          <w:iCs/>
          <w:kern w:val="0"/>
          <w:sz w:val="24"/>
          <w:szCs w:val="24"/>
          <w:lang w:val="en-US"/>
        </w:rPr>
        <w:t xml:space="preserve">BMJ Supportive </w:t>
      </w:r>
      <w:r w:rsidR="00336F8B">
        <w:rPr>
          <w:rFonts w:ascii="Times New Roman" w:hAnsi="Times New Roman" w:cs="Times New Roman"/>
          <w:i/>
          <w:iCs/>
          <w:kern w:val="0"/>
          <w:sz w:val="24"/>
          <w:szCs w:val="24"/>
          <w:lang w:val="en-US"/>
        </w:rPr>
        <w:t>and</w:t>
      </w:r>
      <w:r w:rsidRPr="00B95649">
        <w:rPr>
          <w:rFonts w:ascii="Times New Roman" w:hAnsi="Times New Roman" w:cs="Times New Roman"/>
          <w:i/>
          <w:iCs/>
          <w:kern w:val="0"/>
          <w:sz w:val="24"/>
          <w:szCs w:val="24"/>
          <w:lang w:val="en-US"/>
        </w:rPr>
        <w:t xml:space="preserve"> Palliative Care</w:t>
      </w:r>
      <w:r w:rsidRPr="00B95649">
        <w:rPr>
          <w:rFonts w:ascii="Times New Roman" w:hAnsi="Times New Roman" w:cs="Times New Roman"/>
          <w:kern w:val="0"/>
          <w:sz w:val="24"/>
          <w:szCs w:val="24"/>
          <w:lang w:val="en-US"/>
        </w:rPr>
        <w:t>, 1(2), pp</w:t>
      </w:r>
      <w:r w:rsidR="00336F8B">
        <w:rPr>
          <w:rFonts w:ascii="Times New Roman" w:hAnsi="Times New Roman" w:cs="Times New Roman"/>
          <w:kern w:val="0"/>
          <w:sz w:val="24"/>
          <w:szCs w:val="24"/>
          <w:lang w:val="en-US"/>
        </w:rPr>
        <w:t xml:space="preserve"> </w:t>
      </w:r>
      <w:r w:rsidRPr="00B95649">
        <w:rPr>
          <w:rFonts w:ascii="Times New Roman" w:hAnsi="Times New Roman" w:cs="Times New Roman"/>
          <w:kern w:val="0"/>
          <w:sz w:val="24"/>
          <w:szCs w:val="24"/>
          <w:lang w:val="en-US"/>
        </w:rPr>
        <w:t xml:space="preserve">271–272. </w:t>
      </w:r>
      <w:r w:rsidR="002117BF">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2117BF">
        <w:rPr>
          <w:rFonts w:ascii="Times New Roman" w:hAnsi="Times New Roman" w:cs="Times New Roman"/>
          <w:kern w:val="0"/>
          <w:sz w:val="24"/>
          <w:szCs w:val="24"/>
          <w:lang w:val="en-US"/>
        </w:rPr>
        <w:t xml:space="preserve">: </w:t>
      </w:r>
      <w:hyperlink r:id="rId13" w:history="1">
        <w:r w:rsidRPr="00B95649">
          <w:rPr>
            <w:rFonts w:ascii="Times New Roman" w:hAnsi="Times New Roman" w:cs="Times New Roman"/>
            <w:kern w:val="0"/>
            <w:sz w:val="24"/>
            <w:szCs w:val="24"/>
            <w:lang w:val="en-US"/>
          </w:rPr>
          <w:t>https://doi.org/10.1136/bmjspcare-2011-000105.205</w:t>
        </w:r>
      </w:hyperlink>
      <w:r w:rsidRPr="00B95649">
        <w:rPr>
          <w:rFonts w:ascii="Times New Roman" w:hAnsi="Times New Roman" w:cs="Times New Roman"/>
          <w:kern w:val="0"/>
          <w:sz w:val="24"/>
          <w:szCs w:val="24"/>
          <w:lang w:val="en-US"/>
        </w:rPr>
        <w:t>.</w:t>
      </w:r>
    </w:p>
    <w:p w14:paraId="769D0540" w14:textId="3E582E59"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B95649">
        <w:rPr>
          <w:rFonts w:ascii="Times New Roman" w:hAnsi="Times New Roman" w:cs="Times New Roman"/>
          <w:kern w:val="0"/>
          <w:sz w:val="24"/>
          <w:szCs w:val="24"/>
          <w:lang w:val="en-US"/>
        </w:rPr>
        <w:t>Huang, J., Shen, H., Cao, Q., Cai, L. and Cheng, X. (2021)</w:t>
      </w:r>
      <w:r w:rsidR="002117BF">
        <w:rPr>
          <w:rFonts w:ascii="Times New Roman" w:hAnsi="Times New Roman" w:cs="Times New Roman"/>
          <w:kern w:val="0"/>
          <w:sz w:val="24"/>
          <w:szCs w:val="24"/>
          <w:lang w:val="en-US"/>
        </w:rPr>
        <w:t>,</w:t>
      </w:r>
      <w:r w:rsidRPr="00B95649">
        <w:rPr>
          <w:rFonts w:ascii="Times New Roman" w:hAnsi="Times New Roman" w:cs="Times New Roman"/>
          <w:kern w:val="0"/>
          <w:sz w:val="24"/>
          <w:szCs w:val="24"/>
          <w:lang w:val="en-US"/>
        </w:rPr>
        <w:t xml:space="preserve"> </w:t>
      </w:r>
      <w:r w:rsidR="002117BF">
        <w:rPr>
          <w:rFonts w:ascii="Times New Roman" w:hAnsi="Times New Roman" w:cs="Times New Roman"/>
          <w:kern w:val="0"/>
          <w:sz w:val="24"/>
          <w:szCs w:val="24"/>
          <w:lang w:val="en-US"/>
        </w:rPr>
        <w:t>‘</w:t>
      </w:r>
      <w:r w:rsidRPr="00B95649">
        <w:rPr>
          <w:rFonts w:ascii="Times New Roman" w:hAnsi="Times New Roman" w:cs="Times New Roman"/>
          <w:kern w:val="0"/>
          <w:sz w:val="24"/>
          <w:szCs w:val="24"/>
          <w:lang w:val="en-US"/>
        </w:rPr>
        <w:t>How Medical Crowdfunding Helps People? A Large-scale Case Study on the Waterdrop Fundraising</w:t>
      </w:r>
      <w:r w:rsidR="002117BF">
        <w:rPr>
          <w:rFonts w:ascii="Times New Roman" w:hAnsi="Times New Roman" w:cs="Times New Roman"/>
          <w:kern w:val="0"/>
          <w:sz w:val="24"/>
          <w:szCs w:val="24"/>
          <w:lang w:val="en-US"/>
        </w:rPr>
        <w:t xml:space="preserve">’, </w:t>
      </w:r>
      <w:r w:rsidRPr="00B95649">
        <w:rPr>
          <w:rFonts w:ascii="Times New Roman" w:hAnsi="Times New Roman" w:cs="Times New Roman"/>
          <w:i/>
          <w:iCs/>
          <w:kern w:val="0"/>
          <w:sz w:val="24"/>
          <w:szCs w:val="24"/>
          <w:lang w:val="en-US"/>
        </w:rPr>
        <w:t xml:space="preserve">Proceedings of the International AAAI Conference on Web and </w:t>
      </w:r>
      <w:r w:rsidR="006C05B1" w:rsidRPr="00B95649">
        <w:rPr>
          <w:rFonts w:ascii="Times New Roman" w:hAnsi="Times New Roman" w:cs="Times New Roman"/>
          <w:i/>
          <w:iCs/>
          <w:kern w:val="0"/>
          <w:sz w:val="24"/>
          <w:szCs w:val="24"/>
          <w:lang w:val="en-US"/>
        </w:rPr>
        <w:t>social media</w:t>
      </w:r>
      <w:r w:rsidRPr="00B95649">
        <w:rPr>
          <w:rFonts w:ascii="Times New Roman" w:hAnsi="Times New Roman" w:cs="Times New Roman"/>
          <w:kern w:val="0"/>
          <w:sz w:val="24"/>
          <w:szCs w:val="24"/>
          <w:lang w:val="en-US"/>
        </w:rPr>
        <w:t>, 15, pp</w:t>
      </w:r>
      <w:r w:rsidR="002117BF">
        <w:rPr>
          <w:rFonts w:ascii="Times New Roman" w:hAnsi="Times New Roman" w:cs="Times New Roman"/>
          <w:kern w:val="0"/>
          <w:sz w:val="24"/>
          <w:szCs w:val="24"/>
          <w:lang w:val="en-US"/>
        </w:rPr>
        <w:t xml:space="preserve"> </w:t>
      </w:r>
      <w:r w:rsidRPr="00B95649">
        <w:rPr>
          <w:rFonts w:ascii="Times New Roman" w:hAnsi="Times New Roman" w:cs="Times New Roman"/>
          <w:kern w:val="0"/>
          <w:sz w:val="24"/>
          <w:szCs w:val="24"/>
          <w:lang w:val="en-US"/>
        </w:rPr>
        <w:t xml:space="preserve">220–229. </w:t>
      </w:r>
      <w:r w:rsidR="002117BF">
        <w:rPr>
          <w:rFonts w:ascii="Times New Roman" w:hAnsi="Times New Roman" w:cs="Times New Roman"/>
          <w:kern w:val="0"/>
          <w:sz w:val="24"/>
          <w:szCs w:val="24"/>
          <w:lang w:val="en-US"/>
        </w:rPr>
        <w:t xml:space="preserve"> </w:t>
      </w:r>
      <w:r w:rsidR="00A06025">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A06025">
        <w:rPr>
          <w:rFonts w:ascii="Times New Roman" w:hAnsi="Times New Roman" w:cs="Times New Roman"/>
          <w:kern w:val="0"/>
          <w:sz w:val="24"/>
          <w:szCs w:val="24"/>
          <w:lang w:val="en-US"/>
        </w:rPr>
        <w:t xml:space="preserve">: </w:t>
      </w:r>
      <w:hyperlink r:id="rId14" w:history="1">
        <w:r w:rsidRPr="00B95649">
          <w:rPr>
            <w:rFonts w:ascii="Times New Roman" w:hAnsi="Times New Roman" w:cs="Times New Roman"/>
            <w:kern w:val="0"/>
            <w:sz w:val="24"/>
            <w:szCs w:val="24"/>
            <w:lang w:val="en-US"/>
          </w:rPr>
          <w:t>https://doi.org/10.1609/icwsm.v15i1.18055</w:t>
        </w:r>
      </w:hyperlink>
      <w:r w:rsidRPr="00B95649">
        <w:rPr>
          <w:rFonts w:ascii="Times New Roman" w:hAnsi="Times New Roman" w:cs="Times New Roman"/>
          <w:kern w:val="0"/>
          <w:sz w:val="24"/>
          <w:szCs w:val="24"/>
          <w:lang w:val="en-US"/>
        </w:rPr>
        <w:t>.</w:t>
      </w:r>
    </w:p>
    <w:p w14:paraId="00DF5679" w14:textId="6536429E"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B95649">
        <w:rPr>
          <w:rFonts w:ascii="Times New Roman" w:hAnsi="Times New Roman" w:cs="Times New Roman"/>
          <w:kern w:val="0"/>
          <w:sz w:val="24"/>
          <w:szCs w:val="24"/>
          <w:lang w:val="en-US"/>
        </w:rPr>
        <w:t xml:space="preserve">Karlsson, P.S., Valkama, P. and </w:t>
      </w:r>
      <w:proofErr w:type="spellStart"/>
      <w:r w:rsidRPr="00B95649">
        <w:rPr>
          <w:rFonts w:ascii="Times New Roman" w:hAnsi="Times New Roman" w:cs="Times New Roman"/>
          <w:kern w:val="0"/>
          <w:sz w:val="24"/>
          <w:szCs w:val="24"/>
          <w:lang w:val="en-US"/>
        </w:rPr>
        <w:t>Asenova</w:t>
      </w:r>
      <w:proofErr w:type="spellEnd"/>
      <w:r w:rsidRPr="00B95649">
        <w:rPr>
          <w:rFonts w:ascii="Times New Roman" w:hAnsi="Times New Roman" w:cs="Times New Roman"/>
          <w:kern w:val="0"/>
          <w:sz w:val="24"/>
          <w:szCs w:val="24"/>
          <w:lang w:val="en-US"/>
        </w:rPr>
        <w:t>, D. (2020)</w:t>
      </w:r>
      <w:r w:rsidR="00A06025">
        <w:rPr>
          <w:rFonts w:ascii="Times New Roman" w:hAnsi="Times New Roman" w:cs="Times New Roman"/>
          <w:kern w:val="0"/>
          <w:sz w:val="24"/>
          <w:szCs w:val="24"/>
          <w:lang w:val="en-US"/>
        </w:rPr>
        <w:t>, ‘</w:t>
      </w:r>
      <w:r w:rsidRPr="00B95649">
        <w:rPr>
          <w:rFonts w:ascii="Times New Roman" w:hAnsi="Times New Roman" w:cs="Times New Roman"/>
          <w:kern w:val="0"/>
          <w:sz w:val="24"/>
          <w:szCs w:val="24"/>
          <w:lang w:val="en-US"/>
        </w:rPr>
        <w:t>Risk management in Scottish charities: hidden practices and improvement needs in public service partnerships</w:t>
      </w:r>
      <w:r w:rsidR="00A06025">
        <w:rPr>
          <w:rFonts w:ascii="Times New Roman" w:hAnsi="Times New Roman" w:cs="Times New Roman"/>
          <w:kern w:val="0"/>
          <w:sz w:val="24"/>
          <w:szCs w:val="24"/>
          <w:lang w:val="en-US"/>
        </w:rPr>
        <w:t xml:space="preserve">’, </w:t>
      </w:r>
      <w:r w:rsidRPr="00B95649">
        <w:rPr>
          <w:rFonts w:ascii="Times New Roman" w:hAnsi="Times New Roman" w:cs="Times New Roman"/>
          <w:kern w:val="0"/>
          <w:sz w:val="24"/>
          <w:szCs w:val="24"/>
          <w:lang w:val="en-US"/>
        </w:rPr>
        <w:t xml:space="preserve"> </w:t>
      </w:r>
      <w:r w:rsidRPr="00B95649">
        <w:rPr>
          <w:rFonts w:ascii="Times New Roman" w:hAnsi="Times New Roman" w:cs="Times New Roman"/>
          <w:i/>
          <w:iCs/>
          <w:kern w:val="0"/>
          <w:sz w:val="24"/>
          <w:szCs w:val="24"/>
          <w:lang w:val="en-US"/>
        </w:rPr>
        <w:t>Voluntary Sector Review</w:t>
      </w:r>
      <w:r w:rsidRPr="00B95649">
        <w:rPr>
          <w:rFonts w:ascii="Times New Roman" w:hAnsi="Times New Roman" w:cs="Times New Roman"/>
          <w:kern w:val="0"/>
          <w:sz w:val="24"/>
          <w:szCs w:val="24"/>
          <w:lang w:val="en-US"/>
        </w:rPr>
        <w:t xml:space="preserve">. </w:t>
      </w:r>
      <w:r w:rsidR="00A06025">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A06025">
        <w:rPr>
          <w:rFonts w:ascii="Times New Roman" w:hAnsi="Times New Roman" w:cs="Times New Roman"/>
          <w:kern w:val="0"/>
          <w:sz w:val="24"/>
          <w:szCs w:val="24"/>
          <w:lang w:val="en-US"/>
        </w:rPr>
        <w:t xml:space="preserve">: </w:t>
      </w:r>
      <w:hyperlink r:id="rId15" w:history="1">
        <w:r w:rsidRPr="00B95649">
          <w:rPr>
            <w:rFonts w:ascii="Times New Roman" w:hAnsi="Times New Roman" w:cs="Times New Roman"/>
            <w:kern w:val="0"/>
            <w:sz w:val="24"/>
            <w:szCs w:val="24"/>
            <w:lang w:val="en-US"/>
          </w:rPr>
          <w:t>https://doi.org/10.1332/204080520x15874019623751</w:t>
        </w:r>
      </w:hyperlink>
      <w:r w:rsidRPr="00B95649">
        <w:rPr>
          <w:rFonts w:ascii="Times New Roman" w:hAnsi="Times New Roman" w:cs="Times New Roman"/>
          <w:kern w:val="0"/>
          <w:sz w:val="24"/>
          <w:szCs w:val="24"/>
          <w:lang w:val="en-US"/>
        </w:rPr>
        <w:t>.</w:t>
      </w:r>
    </w:p>
    <w:p w14:paraId="13051AEE" w14:textId="6C5907BE"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261964">
        <w:rPr>
          <w:rFonts w:ascii="Times New Roman" w:hAnsi="Times New Roman" w:cs="Times New Roman"/>
          <w:kern w:val="0"/>
          <w:sz w:val="24"/>
          <w:szCs w:val="24"/>
          <w:lang w:val="en-US"/>
        </w:rPr>
        <w:t>Li, X. (2016)</w:t>
      </w:r>
      <w:r w:rsidR="0088340B">
        <w:rPr>
          <w:rFonts w:ascii="Times New Roman" w:hAnsi="Times New Roman" w:cs="Times New Roman"/>
          <w:kern w:val="0"/>
          <w:sz w:val="24"/>
          <w:szCs w:val="24"/>
          <w:lang w:val="en-US"/>
        </w:rPr>
        <w:t xml:space="preserve">, </w:t>
      </w:r>
      <w:r w:rsidRPr="00261964">
        <w:rPr>
          <w:rFonts w:ascii="Times New Roman" w:hAnsi="Times New Roman" w:cs="Times New Roman"/>
          <w:kern w:val="0"/>
          <w:sz w:val="24"/>
          <w:szCs w:val="24"/>
          <w:lang w:val="en-US"/>
        </w:rPr>
        <w:t>Fundraising</w:t>
      </w:r>
      <w:r w:rsidR="0088340B">
        <w:rPr>
          <w:rFonts w:ascii="Times New Roman" w:hAnsi="Times New Roman" w:cs="Times New Roman"/>
          <w:kern w:val="0"/>
          <w:sz w:val="24"/>
          <w:szCs w:val="24"/>
          <w:lang w:val="en-US"/>
        </w:rPr>
        <w:t xml:space="preserve"> </w:t>
      </w:r>
      <w:r w:rsidRPr="00261964">
        <w:rPr>
          <w:rFonts w:ascii="Times New Roman" w:hAnsi="Times New Roman" w:cs="Times New Roman"/>
          <w:kern w:val="0"/>
          <w:sz w:val="24"/>
          <w:szCs w:val="24"/>
          <w:lang w:val="en-US"/>
        </w:rPr>
        <w:t>finance, 4(2), p</w:t>
      </w:r>
      <w:r w:rsidR="0088340B">
        <w:rPr>
          <w:rFonts w:ascii="Times New Roman" w:hAnsi="Times New Roman" w:cs="Times New Roman"/>
          <w:kern w:val="0"/>
          <w:sz w:val="24"/>
          <w:szCs w:val="24"/>
          <w:lang w:val="en-US"/>
        </w:rPr>
        <w:t xml:space="preserve">p </w:t>
      </w:r>
      <w:r w:rsidRPr="00261964">
        <w:rPr>
          <w:rFonts w:ascii="Times New Roman" w:hAnsi="Times New Roman" w:cs="Times New Roman"/>
          <w:kern w:val="0"/>
          <w:sz w:val="24"/>
          <w:szCs w:val="24"/>
          <w:lang w:val="en-US"/>
        </w:rPr>
        <w:t xml:space="preserve">1. </w:t>
      </w:r>
      <w:r w:rsidR="0088340B">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88340B">
        <w:rPr>
          <w:rFonts w:ascii="Times New Roman" w:hAnsi="Times New Roman" w:cs="Times New Roman"/>
          <w:kern w:val="0"/>
          <w:sz w:val="24"/>
          <w:szCs w:val="24"/>
          <w:lang w:val="en-US"/>
        </w:rPr>
        <w:t xml:space="preserve">: </w:t>
      </w:r>
      <w:hyperlink r:id="rId16" w:history="1">
        <w:r w:rsidRPr="00261964">
          <w:rPr>
            <w:rFonts w:ascii="Times New Roman" w:hAnsi="Times New Roman" w:cs="Times New Roman"/>
            <w:kern w:val="0"/>
            <w:sz w:val="24"/>
            <w:szCs w:val="24"/>
            <w:lang w:val="en-US"/>
          </w:rPr>
          <w:t>https://doi.org/10.14725/gjha.v4n2.a1517</w:t>
        </w:r>
      </w:hyperlink>
      <w:r w:rsidRPr="00261964">
        <w:rPr>
          <w:rFonts w:ascii="Times New Roman" w:hAnsi="Times New Roman" w:cs="Times New Roman"/>
          <w:kern w:val="0"/>
          <w:sz w:val="24"/>
          <w:szCs w:val="24"/>
          <w:lang w:val="en-US"/>
        </w:rPr>
        <w:t>.</w:t>
      </w:r>
    </w:p>
    <w:p w14:paraId="45E6CE11" w14:textId="31679FF1"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proofErr w:type="spellStart"/>
      <w:r w:rsidRPr="00261964">
        <w:rPr>
          <w:rFonts w:ascii="Times New Roman" w:hAnsi="Times New Roman" w:cs="Times New Roman"/>
          <w:kern w:val="0"/>
          <w:sz w:val="24"/>
          <w:szCs w:val="24"/>
          <w:lang w:val="en-US"/>
        </w:rPr>
        <w:t>Nyachuba</w:t>
      </w:r>
      <w:proofErr w:type="spellEnd"/>
      <w:r w:rsidRPr="00261964">
        <w:rPr>
          <w:rFonts w:ascii="Times New Roman" w:hAnsi="Times New Roman" w:cs="Times New Roman"/>
          <w:kern w:val="0"/>
          <w:sz w:val="24"/>
          <w:szCs w:val="24"/>
          <w:lang w:val="en-US"/>
        </w:rPr>
        <w:t>, D.G. (2010)</w:t>
      </w:r>
      <w:r w:rsidR="0088340B">
        <w:rPr>
          <w:rFonts w:ascii="Times New Roman" w:hAnsi="Times New Roman" w:cs="Times New Roman"/>
          <w:kern w:val="0"/>
          <w:sz w:val="24"/>
          <w:szCs w:val="24"/>
          <w:lang w:val="en-US"/>
        </w:rPr>
        <w:t>,</w:t>
      </w:r>
      <w:r w:rsidRPr="00261964">
        <w:rPr>
          <w:rFonts w:ascii="Times New Roman" w:hAnsi="Times New Roman" w:cs="Times New Roman"/>
          <w:kern w:val="0"/>
          <w:sz w:val="24"/>
          <w:szCs w:val="24"/>
          <w:lang w:val="en-US"/>
        </w:rPr>
        <w:t xml:space="preserve"> </w:t>
      </w:r>
      <w:r w:rsidR="0088340B">
        <w:rPr>
          <w:rFonts w:ascii="Times New Roman" w:hAnsi="Times New Roman" w:cs="Times New Roman"/>
          <w:kern w:val="0"/>
          <w:sz w:val="24"/>
          <w:szCs w:val="24"/>
          <w:lang w:val="en-US"/>
        </w:rPr>
        <w:t>‘</w:t>
      </w:r>
      <w:r w:rsidRPr="00261964">
        <w:rPr>
          <w:rFonts w:ascii="Times New Roman" w:hAnsi="Times New Roman" w:cs="Times New Roman"/>
          <w:kern w:val="0"/>
          <w:sz w:val="24"/>
          <w:szCs w:val="24"/>
          <w:lang w:val="en-US"/>
        </w:rPr>
        <w:t>Foodborne illness: is it on the rise?</w:t>
      </w:r>
      <w:r w:rsidR="0088340B">
        <w:rPr>
          <w:rFonts w:ascii="Times New Roman" w:hAnsi="Times New Roman" w:cs="Times New Roman"/>
          <w:kern w:val="0"/>
          <w:sz w:val="24"/>
          <w:szCs w:val="24"/>
          <w:lang w:val="en-US"/>
        </w:rPr>
        <w:t>’</w:t>
      </w:r>
      <w:r w:rsidRPr="00261964">
        <w:rPr>
          <w:rFonts w:ascii="Times New Roman" w:hAnsi="Times New Roman" w:cs="Times New Roman"/>
          <w:kern w:val="0"/>
          <w:sz w:val="24"/>
          <w:szCs w:val="24"/>
          <w:lang w:val="en-US"/>
        </w:rPr>
        <w:t xml:space="preserve"> </w:t>
      </w:r>
      <w:r w:rsidRPr="00261964">
        <w:rPr>
          <w:rFonts w:ascii="Times New Roman" w:hAnsi="Times New Roman" w:cs="Times New Roman"/>
          <w:i/>
          <w:iCs/>
          <w:kern w:val="0"/>
          <w:sz w:val="24"/>
          <w:szCs w:val="24"/>
          <w:lang w:val="en-US"/>
        </w:rPr>
        <w:t>Nutrition Reviews</w:t>
      </w:r>
      <w:r w:rsidRPr="00261964">
        <w:rPr>
          <w:rFonts w:ascii="Times New Roman" w:hAnsi="Times New Roman" w:cs="Times New Roman"/>
          <w:kern w:val="0"/>
          <w:sz w:val="24"/>
          <w:szCs w:val="24"/>
          <w:lang w:val="en-US"/>
        </w:rPr>
        <w:t>, 68(5), pp</w:t>
      </w:r>
      <w:r w:rsidR="0088340B">
        <w:rPr>
          <w:rFonts w:ascii="Times New Roman" w:hAnsi="Times New Roman" w:cs="Times New Roman"/>
          <w:kern w:val="0"/>
          <w:sz w:val="24"/>
          <w:szCs w:val="24"/>
          <w:lang w:val="en-US"/>
        </w:rPr>
        <w:t xml:space="preserve"> </w:t>
      </w:r>
      <w:r w:rsidRPr="00261964">
        <w:rPr>
          <w:rFonts w:ascii="Times New Roman" w:hAnsi="Times New Roman" w:cs="Times New Roman"/>
          <w:kern w:val="0"/>
          <w:sz w:val="24"/>
          <w:szCs w:val="24"/>
          <w:lang w:val="en-US"/>
        </w:rPr>
        <w:t xml:space="preserve">257–269. </w:t>
      </w:r>
      <w:r w:rsidR="0088340B">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88340B">
        <w:rPr>
          <w:rFonts w:ascii="Times New Roman" w:hAnsi="Times New Roman" w:cs="Times New Roman"/>
          <w:kern w:val="0"/>
          <w:sz w:val="24"/>
          <w:szCs w:val="24"/>
          <w:lang w:val="en-US"/>
        </w:rPr>
        <w:t xml:space="preserve">: </w:t>
      </w:r>
      <w:hyperlink r:id="rId17" w:history="1">
        <w:r w:rsidRPr="00261964">
          <w:rPr>
            <w:rFonts w:ascii="Times New Roman" w:hAnsi="Times New Roman" w:cs="Times New Roman"/>
            <w:kern w:val="0"/>
            <w:sz w:val="24"/>
            <w:szCs w:val="24"/>
            <w:lang w:val="en-US"/>
          </w:rPr>
          <w:t>https://doi.org/10.1111/j.1753-4887.2010.00286.x</w:t>
        </w:r>
      </w:hyperlink>
      <w:r w:rsidRPr="00261964">
        <w:rPr>
          <w:rFonts w:ascii="Times New Roman" w:hAnsi="Times New Roman" w:cs="Times New Roman"/>
          <w:kern w:val="0"/>
          <w:sz w:val="24"/>
          <w:szCs w:val="24"/>
          <w:lang w:val="en-US"/>
        </w:rPr>
        <w:t>.</w:t>
      </w:r>
    </w:p>
    <w:p w14:paraId="427C2A98" w14:textId="4E686359"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261964">
        <w:rPr>
          <w:rFonts w:ascii="Times New Roman" w:hAnsi="Times New Roman" w:cs="Times New Roman"/>
          <w:kern w:val="0"/>
          <w:sz w:val="24"/>
          <w:szCs w:val="24"/>
          <w:lang w:val="en-US"/>
        </w:rPr>
        <w:lastRenderedPageBreak/>
        <w:t>Pascarella, G., Rossi, M., Montella, E., Capasso, A., De Feo, G., Botti, G., Nardone, A., Montuori, P., Triassi, M., D’Auria, S. and Morabito, A. (2021)</w:t>
      </w:r>
      <w:r w:rsidR="0088340B">
        <w:rPr>
          <w:rFonts w:ascii="Times New Roman" w:hAnsi="Times New Roman" w:cs="Times New Roman"/>
          <w:kern w:val="0"/>
          <w:sz w:val="24"/>
          <w:szCs w:val="24"/>
          <w:lang w:val="en-US"/>
        </w:rPr>
        <w:t>, ‘</w:t>
      </w:r>
      <w:r w:rsidRPr="00261964">
        <w:rPr>
          <w:rFonts w:ascii="Times New Roman" w:hAnsi="Times New Roman" w:cs="Times New Roman"/>
          <w:kern w:val="0"/>
          <w:sz w:val="24"/>
          <w:szCs w:val="24"/>
          <w:lang w:val="en-US"/>
        </w:rPr>
        <w:t>Risk Analysis in Healthcare Organizations: Methodological Framework and Critical Variables</w:t>
      </w:r>
      <w:r w:rsidR="0088340B">
        <w:rPr>
          <w:rFonts w:ascii="Times New Roman" w:hAnsi="Times New Roman" w:cs="Times New Roman"/>
          <w:kern w:val="0"/>
          <w:sz w:val="24"/>
          <w:szCs w:val="24"/>
          <w:lang w:val="en-US"/>
        </w:rPr>
        <w:t xml:space="preserve">’, </w:t>
      </w:r>
      <w:r w:rsidRPr="00261964">
        <w:rPr>
          <w:rFonts w:ascii="Times New Roman" w:hAnsi="Times New Roman" w:cs="Times New Roman"/>
          <w:i/>
          <w:iCs/>
          <w:kern w:val="0"/>
          <w:sz w:val="24"/>
          <w:szCs w:val="24"/>
          <w:lang w:val="en-US"/>
        </w:rPr>
        <w:t>Risk Management and Healthcare Policy</w:t>
      </w:r>
      <w:r w:rsidRPr="00261964">
        <w:rPr>
          <w:rFonts w:ascii="Times New Roman" w:hAnsi="Times New Roman" w:cs="Times New Roman"/>
          <w:kern w:val="0"/>
          <w:sz w:val="24"/>
          <w:szCs w:val="24"/>
          <w:lang w:val="en-US"/>
        </w:rPr>
        <w:t xml:space="preserve">, </w:t>
      </w:r>
      <w:r w:rsidR="0088340B">
        <w:rPr>
          <w:rFonts w:ascii="Times New Roman" w:hAnsi="Times New Roman" w:cs="Times New Roman"/>
          <w:kern w:val="0"/>
          <w:sz w:val="24"/>
          <w:szCs w:val="24"/>
          <w:lang w:val="en-US"/>
        </w:rPr>
        <w:t>v</w:t>
      </w:r>
      <w:r w:rsidRPr="00261964">
        <w:rPr>
          <w:rFonts w:ascii="Times New Roman" w:hAnsi="Times New Roman" w:cs="Times New Roman"/>
          <w:kern w:val="0"/>
          <w:sz w:val="24"/>
          <w:szCs w:val="24"/>
          <w:lang w:val="en-US"/>
        </w:rPr>
        <w:t>olume 14(14), pp</w:t>
      </w:r>
      <w:r w:rsidR="0088340B">
        <w:rPr>
          <w:rFonts w:ascii="Times New Roman" w:hAnsi="Times New Roman" w:cs="Times New Roman"/>
          <w:kern w:val="0"/>
          <w:sz w:val="24"/>
          <w:szCs w:val="24"/>
          <w:lang w:val="en-US"/>
        </w:rPr>
        <w:t xml:space="preserve"> </w:t>
      </w:r>
      <w:r w:rsidRPr="00261964">
        <w:rPr>
          <w:rFonts w:ascii="Times New Roman" w:hAnsi="Times New Roman" w:cs="Times New Roman"/>
          <w:kern w:val="0"/>
          <w:sz w:val="24"/>
          <w:szCs w:val="24"/>
          <w:lang w:val="en-US"/>
        </w:rPr>
        <w:t xml:space="preserve">2897–2911. </w:t>
      </w:r>
      <w:r w:rsidR="0088340B">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88340B">
        <w:rPr>
          <w:rFonts w:ascii="Times New Roman" w:hAnsi="Times New Roman" w:cs="Times New Roman"/>
          <w:kern w:val="0"/>
          <w:sz w:val="24"/>
          <w:szCs w:val="24"/>
          <w:lang w:val="en-US"/>
        </w:rPr>
        <w:t xml:space="preserve">: </w:t>
      </w:r>
      <w:hyperlink r:id="rId18" w:history="1">
        <w:r w:rsidRPr="00261964">
          <w:rPr>
            <w:rFonts w:ascii="Times New Roman" w:hAnsi="Times New Roman" w:cs="Times New Roman"/>
            <w:kern w:val="0"/>
            <w:sz w:val="24"/>
            <w:szCs w:val="24"/>
            <w:lang w:val="en-US"/>
          </w:rPr>
          <w:t>https://doi.org/10.2147/rmhp.s309098</w:t>
        </w:r>
      </w:hyperlink>
      <w:r w:rsidRPr="00261964">
        <w:rPr>
          <w:rFonts w:ascii="Times New Roman" w:hAnsi="Times New Roman" w:cs="Times New Roman"/>
          <w:kern w:val="0"/>
          <w:sz w:val="24"/>
          <w:szCs w:val="24"/>
          <w:lang w:val="en-US"/>
        </w:rPr>
        <w:t>.</w:t>
      </w:r>
    </w:p>
    <w:p w14:paraId="307AE53B" w14:textId="2B315738"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261964">
        <w:rPr>
          <w:rFonts w:ascii="Times New Roman" w:hAnsi="Times New Roman" w:cs="Times New Roman"/>
          <w:kern w:val="0"/>
          <w:sz w:val="24"/>
          <w:szCs w:val="24"/>
          <w:lang w:val="en-US"/>
        </w:rPr>
        <w:t>Peng, N., Zhou, X., Niu, B. and Feng, Y. (2021)</w:t>
      </w:r>
      <w:r w:rsidR="0088340B">
        <w:rPr>
          <w:rFonts w:ascii="Times New Roman" w:hAnsi="Times New Roman" w:cs="Times New Roman"/>
          <w:kern w:val="0"/>
          <w:sz w:val="24"/>
          <w:szCs w:val="24"/>
          <w:lang w:val="en-US"/>
        </w:rPr>
        <w:t xml:space="preserve">, </w:t>
      </w:r>
      <w:r w:rsidR="008B1E95">
        <w:rPr>
          <w:rFonts w:ascii="Times New Roman" w:hAnsi="Times New Roman" w:cs="Times New Roman"/>
          <w:kern w:val="0"/>
          <w:sz w:val="24"/>
          <w:szCs w:val="24"/>
          <w:lang w:val="en-US"/>
        </w:rPr>
        <w:t>‘</w:t>
      </w:r>
      <w:r w:rsidRPr="00261964">
        <w:rPr>
          <w:rFonts w:ascii="Times New Roman" w:hAnsi="Times New Roman" w:cs="Times New Roman"/>
          <w:kern w:val="0"/>
          <w:sz w:val="24"/>
          <w:szCs w:val="24"/>
          <w:lang w:val="en-US"/>
        </w:rPr>
        <w:t>Predicting Fundraising Performance in Medical Crowdfunding Campaigns Using Machine Learning</w:t>
      </w:r>
      <w:r w:rsidR="008B1E95">
        <w:rPr>
          <w:rFonts w:ascii="Times New Roman" w:hAnsi="Times New Roman" w:cs="Times New Roman"/>
          <w:kern w:val="0"/>
          <w:sz w:val="24"/>
          <w:szCs w:val="24"/>
          <w:lang w:val="en-US"/>
        </w:rPr>
        <w:t xml:space="preserve">’, </w:t>
      </w:r>
      <w:r w:rsidRPr="00261964">
        <w:rPr>
          <w:rFonts w:ascii="Times New Roman" w:hAnsi="Times New Roman" w:cs="Times New Roman"/>
          <w:i/>
          <w:iCs/>
          <w:kern w:val="0"/>
          <w:sz w:val="24"/>
          <w:szCs w:val="24"/>
          <w:lang w:val="en-US"/>
        </w:rPr>
        <w:t>Electronics</w:t>
      </w:r>
      <w:r w:rsidRPr="00261964">
        <w:rPr>
          <w:rFonts w:ascii="Times New Roman" w:hAnsi="Times New Roman" w:cs="Times New Roman"/>
          <w:kern w:val="0"/>
          <w:sz w:val="24"/>
          <w:szCs w:val="24"/>
          <w:lang w:val="en-US"/>
        </w:rPr>
        <w:t>, 10(2), p</w:t>
      </w:r>
      <w:r w:rsidR="008B1E95">
        <w:rPr>
          <w:rFonts w:ascii="Times New Roman" w:hAnsi="Times New Roman" w:cs="Times New Roman"/>
          <w:kern w:val="0"/>
          <w:sz w:val="24"/>
          <w:szCs w:val="24"/>
          <w:lang w:val="en-US"/>
        </w:rPr>
        <w:t xml:space="preserve">p </w:t>
      </w:r>
      <w:r w:rsidRPr="00261964">
        <w:rPr>
          <w:rFonts w:ascii="Times New Roman" w:hAnsi="Times New Roman" w:cs="Times New Roman"/>
          <w:kern w:val="0"/>
          <w:sz w:val="24"/>
          <w:szCs w:val="24"/>
          <w:lang w:val="en-US"/>
        </w:rPr>
        <w:t xml:space="preserve">143. </w:t>
      </w:r>
      <w:r w:rsidR="008B1E95">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8B1E95">
        <w:rPr>
          <w:rFonts w:ascii="Times New Roman" w:hAnsi="Times New Roman" w:cs="Times New Roman"/>
          <w:kern w:val="0"/>
          <w:sz w:val="24"/>
          <w:szCs w:val="24"/>
          <w:lang w:val="en-US"/>
        </w:rPr>
        <w:t xml:space="preserve">: </w:t>
      </w:r>
      <w:hyperlink r:id="rId19" w:history="1">
        <w:r w:rsidRPr="00261964">
          <w:rPr>
            <w:rFonts w:ascii="Times New Roman" w:hAnsi="Times New Roman" w:cs="Times New Roman"/>
            <w:kern w:val="0"/>
            <w:sz w:val="24"/>
            <w:szCs w:val="24"/>
            <w:lang w:val="en-US"/>
          </w:rPr>
          <w:t>https://doi.org/10.3390/electronics10020143</w:t>
        </w:r>
      </w:hyperlink>
      <w:r w:rsidRPr="00261964">
        <w:rPr>
          <w:rFonts w:ascii="Times New Roman" w:hAnsi="Times New Roman" w:cs="Times New Roman"/>
          <w:kern w:val="0"/>
          <w:sz w:val="24"/>
          <w:szCs w:val="24"/>
          <w:lang w:val="en-US"/>
        </w:rPr>
        <w:t>.</w:t>
      </w:r>
    </w:p>
    <w:p w14:paraId="75B8E45E" w14:textId="700D26C6"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261964">
        <w:rPr>
          <w:rFonts w:ascii="Times New Roman" w:hAnsi="Times New Roman" w:cs="Times New Roman"/>
          <w:kern w:val="0"/>
          <w:sz w:val="24"/>
          <w:szCs w:val="24"/>
          <w:lang w:val="en-US"/>
        </w:rPr>
        <w:t>Perkins, C.R., Segrest, W., Fickes, K. and Castillo, A. (2004)</w:t>
      </w:r>
      <w:r w:rsidR="008B1E95">
        <w:rPr>
          <w:rFonts w:ascii="Times New Roman" w:hAnsi="Times New Roman" w:cs="Times New Roman"/>
          <w:kern w:val="0"/>
          <w:sz w:val="24"/>
          <w:szCs w:val="24"/>
          <w:lang w:val="en-US"/>
        </w:rPr>
        <w:t>, ‘</w:t>
      </w:r>
      <w:r w:rsidRPr="00261964">
        <w:rPr>
          <w:rFonts w:ascii="Times New Roman" w:hAnsi="Times New Roman" w:cs="Times New Roman"/>
          <w:kern w:val="0"/>
          <w:sz w:val="24"/>
          <w:szCs w:val="24"/>
          <w:lang w:val="en-US"/>
        </w:rPr>
        <w:t>Impacting Cardiovascular Health Risks with Existing Company Resources</w:t>
      </w:r>
      <w:r w:rsidR="008B1E95">
        <w:rPr>
          <w:rFonts w:ascii="Times New Roman" w:hAnsi="Times New Roman" w:cs="Times New Roman"/>
          <w:kern w:val="0"/>
          <w:sz w:val="24"/>
          <w:szCs w:val="24"/>
          <w:lang w:val="en-US"/>
        </w:rPr>
        <w:t xml:space="preserve">’, </w:t>
      </w:r>
      <w:r w:rsidRPr="00261964">
        <w:rPr>
          <w:rFonts w:ascii="Times New Roman" w:hAnsi="Times New Roman" w:cs="Times New Roman"/>
          <w:i/>
          <w:iCs/>
          <w:kern w:val="0"/>
          <w:sz w:val="24"/>
          <w:szCs w:val="24"/>
          <w:lang w:val="en-US"/>
        </w:rPr>
        <w:t>ACSM’s Health &amp; Fitness Journal</w:t>
      </w:r>
      <w:r w:rsidRPr="00261964">
        <w:rPr>
          <w:rFonts w:ascii="Times New Roman" w:hAnsi="Times New Roman" w:cs="Times New Roman"/>
          <w:kern w:val="0"/>
          <w:sz w:val="24"/>
          <w:szCs w:val="24"/>
          <w:lang w:val="en-US"/>
        </w:rPr>
        <w:t>, 8(3), p</w:t>
      </w:r>
      <w:r w:rsidR="008B1E95">
        <w:rPr>
          <w:rFonts w:ascii="Times New Roman" w:hAnsi="Times New Roman" w:cs="Times New Roman"/>
          <w:kern w:val="0"/>
          <w:sz w:val="24"/>
          <w:szCs w:val="24"/>
          <w:lang w:val="en-US"/>
        </w:rPr>
        <w:t xml:space="preserve">p </w:t>
      </w:r>
      <w:r w:rsidRPr="00261964">
        <w:rPr>
          <w:rFonts w:ascii="Times New Roman" w:hAnsi="Times New Roman" w:cs="Times New Roman"/>
          <w:kern w:val="0"/>
          <w:sz w:val="24"/>
          <w:szCs w:val="24"/>
          <w:lang w:val="en-US"/>
        </w:rPr>
        <w:t xml:space="preserve">10. Available at: </w:t>
      </w:r>
      <w:hyperlink r:id="rId20" w:history="1">
        <w:r w:rsidRPr="00261964">
          <w:rPr>
            <w:rFonts w:ascii="Times New Roman" w:hAnsi="Times New Roman" w:cs="Times New Roman"/>
            <w:kern w:val="0"/>
            <w:sz w:val="24"/>
            <w:szCs w:val="24"/>
            <w:lang w:val="en-US"/>
          </w:rPr>
          <w:t>https://journals.lww.com/acsm-healthfitness/fulltext/2004/05000/impacting_cardiovascular_health_risks_with.5.aspx</w:t>
        </w:r>
      </w:hyperlink>
      <w:r w:rsidRPr="00261964">
        <w:rPr>
          <w:rFonts w:ascii="Times New Roman" w:hAnsi="Times New Roman" w:cs="Times New Roman"/>
          <w:kern w:val="0"/>
          <w:sz w:val="24"/>
          <w:szCs w:val="24"/>
          <w:lang w:val="en-US"/>
        </w:rPr>
        <w:t>.</w:t>
      </w:r>
    </w:p>
    <w:p w14:paraId="511DE57B" w14:textId="1DE968B6"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261964">
        <w:rPr>
          <w:rFonts w:ascii="Times New Roman" w:hAnsi="Times New Roman" w:cs="Times New Roman"/>
          <w:kern w:val="0"/>
          <w:sz w:val="24"/>
          <w:szCs w:val="24"/>
          <w:lang w:val="en-US"/>
        </w:rPr>
        <w:t xml:space="preserve">Pollock, A., Campbell, P., Struthers, C., </w:t>
      </w:r>
      <w:proofErr w:type="spellStart"/>
      <w:r w:rsidRPr="00261964">
        <w:rPr>
          <w:rFonts w:ascii="Times New Roman" w:hAnsi="Times New Roman" w:cs="Times New Roman"/>
          <w:kern w:val="0"/>
          <w:sz w:val="24"/>
          <w:szCs w:val="24"/>
          <w:lang w:val="en-US"/>
        </w:rPr>
        <w:t>Synnot</w:t>
      </w:r>
      <w:proofErr w:type="spellEnd"/>
      <w:r w:rsidRPr="00261964">
        <w:rPr>
          <w:rFonts w:ascii="Times New Roman" w:hAnsi="Times New Roman" w:cs="Times New Roman"/>
          <w:kern w:val="0"/>
          <w:sz w:val="24"/>
          <w:szCs w:val="24"/>
          <w:lang w:val="en-US"/>
        </w:rPr>
        <w:t>, A., Nunn, J., Hill, S., Goodare, H., Morris, J., Watts, C. and Morley, R. (2018)</w:t>
      </w:r>
      <w:r w:rsidR="008B1E95">
        <w:rPr>
          <w:rFonts w:ascii="Times New Roman" w:hAnsi="Times New Roman" w:cs="Times New Roman"/>
          <w:kern w:val="0"/>
          <w:sz w:val="24"/>
          <w:szCs w:val="24"/>
          <w:lang w:val="en-US"/>
        </w:rPr>
        <w:t>, ‘</w:t>
      </w:r>
      <w:r w:rsidRPr="00261964">
        <w:rPr>
          <w:rFonts w:ascii="Times New Roman" w:hAnsi="Times New Roman" w:cs="Times New Roman"/>
          <w:kern w:val="0"/>
          <w:sz w:val="24"/>
          <w:szCs w:val="24"/>
          <w:lang w:val="en-US"/>
        </w:rPr>
        <w:t>Stakeholder involvement in systematic reviews: a scoping review</w:t>
      </w:r>
      <w:r w:rsidR="008B1E95">
        <w:rPr>
          <w:rFonts w:ascii="Times New Roman" w:hAnsi="Times New Roman" w:cs="Times New Roman"/>
          <w:kern w:val="0"/>
          <w:sz w:val="24"/>
          <w:szCs w:val="24"/>
          <w:lang w:val="en-US"/>
        </w:rPr>
        <w:t xml:space="preserve">’, </w:t>
      </w:r>
      <w:r w:rsidRPr="00261964">
        <w:rPr>
          <w:rFonts w:ascii="Times New Roman" w:hAnsi="Times New Roman" w:cs="Times New Roman"/>
          <w:i/>
          <w:iCs/>
          <w:kern w:val="0"/>
          <w:sz w:val="24"/>
          <w:szCs w:val="24"/>
          <w:lang w:val="en-US"/>
        </w:rPr>
        <w:t>Systematic Reviews</w:t>
      </w:r>
      <w:r w:rsidRPr="00261964">
        <w:rPr>
          <w:rFonts w:ascii="Times New Roman" w:hAnsi="Times New Roman" w:cs="Times New Roman"/>
          <w:kern w:val="0"/>
          <w:sz w:val="24"/>
          <w:szCs w:val="24"/>
          <w:lang w:val="en-US"/>
        </w:rPr>
        <w:t xml:space="preserve">, 7(1). </w:t>
      </w:r>
      <w:r w:rsidR="008B1E95">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8B1E95">
        <w:rPr>
          <w:rFonts w:ascii="Times New Roman" w:hAnsi="Times New Roman" w:cs="Times New Roman"/>
          <w:kern w:val="0"/>
          <w:sz w:val="24"/>
          <w:szCs w:val="24"/>
          <w:lang w:val="en-US"/>
        </w:rPr>
        <w:t xml:space="preserve">: </w:t>
      </w:r>
      <w:hyperlink r:id="rId21" w:history="1">
        <w:r w:rsidRPr="00261964">
          <w:rPr>
            <w:rFonts w:ascii="Times New Roman" w:hAnsi="Times New Roman" w:cs="Times New Roman"/>
            <w:kern w:val="0"/>
            <w:sz w:val="24"/>
            <w:szCs w:val="24"/>
            <w:lang w:val="en-US"/>
          </w:rPr>
          <w:t>https://doi.org/10.1186/s13643-018-0852-0</w:t>
        </w:r>
      </w:hyperlink>
      <w:r w:rsidRPr="00261964">
        <w:rPr>
          <w:rFonts w:ascii="Times New Roman" w:hAnsi="Times New Roman" w:cs="Times New Roman"/>
          <w:kern w:val="0"/>
          <w:sz w:val="24"/>
          <w:szCs w:val="24"/>
          <w:lang w:val="en-US"/>
        </w:rPr>
        <w:t>.</w:t>
      </w:r>
    </w:p>
    <w:p w14:paraId="02F978ED" w14:textId="763266DF"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proofErr w:type="spellStart"/>
      <w:r w:rsidRPr="00261964">
        <w:rPr>
          <w:rFonts w:ascii="Times New Roman" w:hAnsi="Times New Roman" w:cs="Times New Roman"/>
          <w:kern w:val="0"/>
          <w:sz w:val="24"/>
          <w:szCs w:val="24"/>
          <w:lang w:val="en-US"/>
        </w:rPr>
        <w:t>Raadabadi</w:t>
      </w:r>
      <w:proofErr w:type="spellEnd"/>
      <w:r w:rsidRPr="00261964">
        <w:rPr>
          <w:rFonts w:ascii="Times New Roman" w:hAnsi="Times New Roman" w:cs="Times New Roman"/>
          <w:kern w:val="0"/>
          <w:sz w:val="24"/>
          <w:szCs w:val="24"/>
          <w:lang w:val="en-US"/>
        </w:rPr>
        <w:t xml:space="preserve">, M., Bahadori, M., </w:t>
      </w:r>
      <w:proofErr w:type="spellStart"/>
      <w:r w:rsidRPr="00261964">
        <w:rPr>
          <w:rFonts w:ascii="Times New Roman" w:hAnsi="Times New Roman" w:cs="Times New Roman"/>
          <w:kern w:val="0"/>
          <w:sz w:val="24"/>
          <w:szCs w:val="24"/>
          <w:lang w:val="en-US"/>
        </w:rPr>
        <w:t>Teymourzadeh</w:t>
      </w:r>
      <w:proofErr w:type="spellEnd"/>
      <w:r w:rsidRPr="00261964">
        <w:rPr>
          <w:rFonts w:ascii="Times New Roman" w:hAnsi="Times New Roman" w:cs="Times New Roman"/>
          <w:kern w:val="0"/>
          <w:sz w:val="24"/>
          <w:szCs w:val="24"/>
          <w:lang w:val="en-US"/>
        </w:rPr>
        <w:t xml:space="preserve">, E. and </w:t>
      </w:r>
      <w:proofErr w:type="spellStart"/>
      <w:r w:rsidRPr="00261964">
        <w:rPr>
          <w:rFonts w:ascii="Times New Roman" w:hAnsi="Times New Roman" w:cs="Times New Roman"/>
          <w:kern w:val="0"/>
          <w:sz w:val="24"/>
          <w:szCs w:val="24"/>
          <w:lang w:val="en-US"/>
        </w:rPr>
        <w:t>Ravangard</w:t>
      </w:r>
      <w:proofErr w:type="spellEnd"/>
      <w:r w:rsidRPr="00261964">
        <w:rPr>
          <w:rFonts w:ascii="Times New Roman" w:hAnsi="Times New Roman" w:cs="Times New Roman"/>
          <w:kern w:val="0"/>
          <w:sz w:val="24"/>
          <w:szCs w:val="24"/>
          <w:lang w:val="en-US"/>
        </w:rPr>
        <w:t>, R. (2017)</w:t>
      </w:r>
      <w:r w:rsidR="004D43EC">
        <w:rPr>
          <w:rFonts w:ascii="Times New Roman" w:hAnsi="Times New Roman" w:cs="Times New Roman"/>
          <w:kern w:val="0"/>
          <w:sz w:val="24"/>
          <w:szCs w:val="24"/>
          <w:lang w:val="en-US"/>
        </w:rPr>
        <w:t>,</w:t>
      </w:r>
      <w:r w:rsidRPr="00261964">
        <w:rPr>
          <w:rFonts w:ascii="Times New Roman" w:hAnsi="Times New Roman" w:cs="Times New Roman"/>
          <w:kern w:val="0"/>
          <w:sz w:val="24"/>
          <w:szCs w:val="24"/>
          <w:lang w:val="en-US"/>
        </w:rPr>
        <w:t xml:space="preserve"> </w:t>
      </w:r>
      <w:r w:rsidR="004D43EC">
        <w:rPr>
          <w:rFonts w:ascii="Times New Roman" w:hAnsi="Times New Roman" w:cs="Times New Roman"/>
          <w:kern w:val="0"/>
          <w:sz w:val="24"/>
          <w:szCs w:val="24"/>
          <w:lang w:val="en-US"/>
        </w:rPr>
        <w:t>‘</w:t>
      </w:r>
      <w:r w:rsidRPr="00261964">
        <w:rPr>
          <w:rFonts w:ascii="Times New Roman" w:hAnsi="Times New Roman" w:cs="Times New Roman"/>
          <w:kern w:val="0"/>
          <w:sz w:val="24"/>
          <w:szCs w:val="24"/>
          <w:lang w:val="en-US"/>
        </w:rPr>
        <w:t>Factors affecting the overcrowding in outpatient healthcare</w:t>
      </w:r>
      <w:r w:rsidR="004D43EC">
        <w:rPr>
          <w:rFonts w:ascii="Times New Roman" w:hAnsi="Times New Roman" w:cs="Times New Roman"/>
          <w:kern w:val="0"/>
          <w:sz w:val="24"/>
          <w:szCs w:val="24"/>
          <w:lang w:val="en-US"/>
        </w:rPr>
        <w:t xml:space="preserve">’, </w:t>
      </w:r>
      <w:r w:rsidRPr="00261964">
        <w:rPr>
          <w:rFonts w:ascii="Times New Roman" w:hAnsi="Times New Roman" w:cs="Times New Roman"/>
          <w:i/>
          <w:iCs/>
          <w:kern w:val="0"/>
          <w:sz w:val="24"/>
          <w:szCs w:val="24"/>
          <w:lang w:val="en-US"/>
        </w:rPr>
        <w:t>Journal of Education and Health Promotion</w:t>
      </w:r>
      <w:r w:rsidRPr="00261964">
        <w:rPr>
          <w:rFonts w:ascii="Times New Roman" w:hAnsi="Times New Roman" w:cs="Times New Roman"/>
          <w:kern w:val="0"/>
          <w:sz w:val="24"/>
          <w:szCs w:val="24"/>
          <w:lang w:val="en-US"/>
        </w:rPr>
        <w:t xml:space="preserve">, 6(1), </w:t>
      </w:r>
      <w:r w:rsidR="004D43EC">
        <w:rPr>
          <w:rFonts w:ascii="Times New Roman" w:hAnsi="Times New Roman" w:cs="Times New Roman"/>
          <w:kern w:val="0"/>
          <w:sz w:val="24"/>
          <w:szCs w:val="24"/>
          <w:lang w:val="en-US"/>
        </w:rPr>
        <w:t>p</w:t>
      </w:r>
      <w:r w:rsidRPr="00261964">
        <w:rPr>
          <w:rFonts w:ascii="Times New Roman" w:hAnsi="Times New Roman" w:cs="Times New Roman"/>
          <w:kern w:val="0"/>
          <w:sz w:val="24"/>
          <w:szCs w:val="24"/>
          <w:lang w:val="en-US"/>
        </w:rPr>
        <w:t>p</w:t>
      </w:r>
      <w:r w:rsidR="004D43EC">
        <w:rPr>
          <w:rFonts w:ascii="Times New Roman" w:hAnsi="Times New Roman" w:cs="Times New Roman"/>
          <w:kern w:val="0"/>
          <w:sz w:val="24"/>
          <w:szCs w:val="24"/>
          <w:lang w:val="en-US"/>
        </w:rPr>
        <w:t xml:space="preserve"> </w:t>
      </w:r>
      <w:r w:rsidRPr="00261964">
        <w:rPr>
          <w:rFonts w:ascii="Times New Roman" w:hAnsi="Times New Roman" w:cs="Times New Roman"/>
          <w:kern w:val="0"/>
          <w:sz w:val="24"/>
          <w:szCs w:val="24"/>
          <w:lang w:val="en-US"/>
        </w:rPr>
        <w:t xml:space="preserve">21. </w:t>
      </w:r>
      <w:r w:rsidR="004D43EC">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4D43EC">
        <w:rPr>
          <w:rFonts w:ascii="Times New Roman" w:hAnsi="Times New Roman" w:cs="Times New Roman"/>
          <w:kern w:val="0"/>
          <w:sz w:val="24"/>
          <w:szCs w:val="24"/>
          <w:lang w:val="en-US"/>
        </w:rPr>
        <w:t xml:space="preserve">: </w:t>
      </w:r>
      <w:hyperlink r:id="rId22" w:history="1">
        <w:r w:rsidRPr="00261964">
          <w:rPr>
            <w:rFonts w:ascii="Times New Roman" w:hAnsi="Times New Roman" w:cs="Times New Roman"/>
            <w:kern w:val="0"/>
            <w:sz w:val="24"/>
            <w:szCs w:val="24"/>
            <w:lang w:val="en-US"/>
          </w:rPr>
          <w:t>https://doi.org/10.4103/2277-9531.204742</w:t>
        </w:r>
      </w:hyperlink>
      <w:r w:rsidRPr="00261964">
        <w:rPr>
          <w:rFonts w:ascii="Times New Roman" w:hAnsi="Times New Roman" w:cs="Times New Roman"/>
          <w:kern w:val="0"/>
          <w:sz w:val="24"/>
          <w:szCs w:val="24"/>
          <w:lang w:val="en-US"/>
        </w:rPr>
        <w:t>.</w:t>
      </w:r>
    </w:p>
    <w:p w14:paraId="37A0DC63" w14:textId="0DAE1F13"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proofErr w:type="spellStart"/>
      <w:r w:rsidRPr="00261964">
        <w:rPr>
          <w:rFonts w:ascii="Times New Roman" w:hAnsi="Times New Roman" w:cs="Times New Roman"/>
          <w:kern w:val="0"/>
          <w:sz w:val="24"/>
          <w:szCs w:val="24"/>
          <w:lang w:val="en-US"/>
        </w:rPr>
        <w:t>Raghupathi</w:t>
      </w:r>
      <w:proofErr w:type="spellEnd"/>
      <w:r w:rsidRPr="00261964">
        <w:rPr>
          <w:rFonts w:ascii="Times New Roman" w:hAnsi="Times New Roman" w:cs="Times New Roman"/>
          <w:kern w:val="0"/>
          <w:sz w:val="24"/>
          <w:szCs w:val="24"/>
          <w:lang w:val="en-US"/>
        </w:rPr>
        <w:t xml:space="preserve">, V. and </w:t>
      </w:r>
      <w:proofErr w:type="spellStart"/>
      <w:r w:rsidRPr="00261964">
        <w:rPr>
          <w:rFonts w:ascii="Times New Roman" w:hAnsi="Times New Roman" w:cs="Times New Roman"/>
          <w:kern w:val="0"/>
          <w:sz w:val="24"/>
          <w:szCs w:val="24"/>
          <w:lang w:val="en-US"/>
        </w:rPr>
        <w:t>Raghupathi</w:t>
      </w:r>
      <w:proofErr w:type="spellEnd"/>
      <w:r w:rsidRPr="00261964">
        <w:rPr>
          <w:rFonts w:ascii="Times New Roman" w:hAnsi="Times New Roman" w:cs="Times New Roman"/>
          <w:kern w:val="0"/>
          <w:sz w:val="24"/>
          <w:szCs w:val="24"/>
          <w:lang w:val="en-US"/>
        </w:rPr>
        <w:t>, W. (2020)</w:t>
      </w:r>
      <w:r w:rsidR="004D43EC">
        <w:rPr>
          <w:rFonts w:ascii="Times New Roman" w:hAnsi="Times New Roman" w:cs="Times New Roman"/>
          <w:kern w:val="0"/>
          <w:sz w:val="24"/>
          <w:szCs w:val="24"/>
          <w:lang w:val="en-US"/>
        </w:rPr>
        <w:t>,</w:t>
      </w:r>
      <w:r w:rsidRPr="00261964">
        <w:rPr>
          <w:rFonts w:ascii="Times New Roman" w:hAnsi="Times New Roman" w:cs="Times New Roman"/>
          <w:kern w:val="0"/>
          <w:sz w:val="24"/>
          <w:szCs w:val="24"/>
          <w:lang w:val="en-US"/>
        </w:rPr>
        <w:t xml:space="preserve"> </w:t>
      </w:r>
      <w:r w:rsidR="004D43EC">
        <w:rPr>
          <w:rFonts w:ascii="Times New Roman" w:hAnsi="Times New Roman" w:cs="Times New Roman"/>
          <w:kern w:val="0"/>
          <w:sz w:val="24"/>
          <w:szCs w:val="24"/>
          <w:lang w:val="en-US"/>
        </w:rPr>
        <w:t>‘</w:t>
      </w:r>
      <w:r w:rsidRPr="00261964">
        <w:rPr>
          <w:rFonts w:ascii="Times New Roman" w:hAnsi="Times New Roman" w:cs="Times New Roman"/>
          <w:kern w:val="0"/>
          <w:sz w:val="24"/>
          <w:szCs w:val="24"/>
          <w:lang w:val="en-US"/>
        </w:rPr>
        <w:t>The influence of education on health: An empirical assessment of OECD countries for the period 1995–2015</w:t>
      </w:r>
      <w:r w:rsidR="004D43EC">
        <w:rPr>
          <w:rFonts w:ascii="Times New Roman" w:hAnsi="Times New Roman" w:cs="Times New Roman"/>
          <w:kern w:val="0"/>
          <w:sz w:val="24"/>
          <w:szCs w:val="24"/>
          <w:lang w:val="en-US"/>
        </w:rPr>
        <w:t xml:space="preserve">’, </w:t>
      </w:r>
      <w:r w:rsidRPr="00261964">
        <w:rPr>
          <w:rFonts w:ascii="Times New Roman" w:hAnsi="Times New Roman" w:cs="Times New Roman"/>
          <w:i/>
          <w:iCs/>
          <w:kern w:val="0"/>
          <w:sz w:val="24"/>
          <w:szCs w:val="24"/>
          <w:lang w:val="en-US"/>
        </w:rPr>
        <w:t>Archives of Public Health</w:t>
      </w:r>
      <w:r w:rsidRPr="00261964">
        <w:rPr>
          <w:rFonts w:ascii="Times New Roman" w:hAnsi="Times New Roman" w:cs="Times New Roman"/>
          <w:kern w:val="0"/>
          <w:sz w:val="24"/>
          <w:szCs w:val="24"/>
          <w:lang w:val="en-US"/>
        </w:rPr>
        <w:t xml:space="preserve">, 78(1). </w:t>
      </w:r>
      <w:r w:rsidR="004D43EC">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4D43EC">
        <w:rPr>
          <w:rFonts w:ascii="Times New Roman" w:hAnsi="Times New Roman" w:cs="Times New Roman"/>
          <w:kern w:val="0"/>
          <w:sz w:val="24"/>
          <w:szCs w:val="24"/>
          <w:lang w:val="en-US"/>
        </w:rPr>
        <w:t xml:space="preserve">: </w:t>
      </w:r>
      <w:hyperlink r:id="rId23" w:history="1">
        <w:r w:rsidRPr="00261964">
          <w:rPr>
            <w:rFonts w:ascii="Times New Roman" w:hAnsi="Times New Roman" w:cs="Times New Roman"/>
            <w:kern w:val="0"/>
            <w:sz w:val="24"/>
            <w:szCs w:val="24"/>
            <w:lang w:val="en-US"/>
          </w:rPr>
          <w:t>https://doi.org/10.1186/s13690-020-00402-5</w:t>
        </w:r>
      </w:hyperlink>
      <w:r w:rsidRPr="00261964">
        <w:rPr>
          <w:rFonts w:ascii="Times New Roman" w:hAnsi="Times New Roman" w:cs="Times New Roman"/>
          <w:kern w:val="0"/>
          <w:sz w:val="24"/>
          <w:szCs w:val="24"/>
          <w:lang w:val="en-US"/>
        </w:rPr>
        <w:t>.</w:t>
      </w:r>
    </w:p>
    <w:p w14:paraId="313395F7" w14:textId="37DED7F0"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261964">
        <w:rPr>
          <w:rFonts w:ascii="Times New Roman" w:hAnsi="Times New Roman" w:cs="Times New Roman"/>
          <w:kern w:val="0"/>
          <w:sz w:val="24"/>
          <w:szCs w:val="24"/>
          <w:lang w:val="en-US"/>
        </w:rPr>
        <w:t>Reid, L. (2017)</w:t>
      </w:r>
      <w:r w:rsidR="004D43EC">
        <w:rPr>
          <w:rFonts w:ascii="Times New Roman" w:hAnsi="Times New Roman" w:cs="Times New Roman"/>
          <w:kern w:val="0"/>
          <w:sz w:val="24"/>
          <w:szCs w:val="24"/>
          <w:lang w:val="en-US"/>
        </w:rPr>
        <w:t>, ‘</w:t>
      </w:r>
      <w:r w:rsidRPr="00261964">
        <w:rPr>
          <w:rFonts w:ascii="Times New Roman" w:hAnsi="Times New Roman" w:cs="Times New Roman"/>
          <w:kern w:val="0"/>
          <w:sz w:val="24"/>
          <w:szCs w:val="24"/>
          <w:lang w:val="en-US"/>
        </w:rPr>
        <w:t>Ethical issues in health philanthropy</w:t>
      </w:r>
      <w:r w:rsidR="004D43EC">
        <w:rPr>
          <w:rFonts w:ascii="Times New Roman" w:hAnsi="Times New Roman" w:cs="Times New Roman"/>
          <w:kern w:val="0"/>
          <w:sz w:val="24"/>
          <w:szCs w:val="24"/>
          <w:lang w:val="en-US"/>
        </w:rPr>
        <w:t xml:space="preserve">’, </w:t>
      </w:r>
      <w:r w:rsidRPr="00261964">
        <w:rPr>
          <w:rFonts w:ascii="Times New Roman" w:hAnsi="Times New Roman" w:cs="Times New Roman"/>
          <w:i/>
          <w:iCs/>
          <w:kern w:val="0"/>
          <w:sz w:val="24"/>
          <w:szCs w:val="24"/>
          <w:lang w:val="en-US"/>
        </w:rPr>
        <w:t>Healthcare Management Forum</w:t>
      </w:r>
      <w:r w:rsidRPr="00261964">
        <w:rPr>
          <w:rFonts w:ascii="Times New Roman" w:hAnsi="Times New Roman" w:cs="Times New Roman"/>
          <w:kern w:val="0"/>
          <w:sz w:val="24"/>
          <w:szCs w:val="24"/>
          <w:lang w:val="en-US"/>
        </w:rPr>
        <w:t>, 30(6), pp</w:t>
      </w:r>
      <w:r w:rsidR="004D43EC">
        <w:rPr>
          <w:rFonts w:ascii="Times New Roman" w:hAnsi="Times New Roman" w:cs="Times New Roman"/>
          <w:kern w:val="0"/>
          <w:sz w:val="24"/>
          <w:szCs w:val="24"/>
          <w:lang w:val="en-US"/>
        </w:rPr>
        <w:t xml:space="preserve"> </w:t>
      </w:r>
      <w:r w:rsidRPr="00261964">
        <w:rPr>
          <w:rFonts w:ascii="Times New Roman" w:hAnsi="Times New Roman" w:cs="Times New Roman"/>
          <w:kern w:val="0"/>
          <w:sz w:val="24"/>
          <w:szCs w:val="24"/>
          <w:lang w:val="en-US"/>
        </w:rPr>
        <w:t xml:space="preserve">298–301. </w:t>
      </w:r>
      <w:r w:rsidR="004D43EC">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4D43EC">
        <w:rPr>
          <w:rFonts w:ascii="Times New Roman" w:hAnsi="Times New Roman" w:cs="Times New Roman"/>
          <w:kern w:val="0"/>
          <w:sz w:val="24"/>
          <w:szCs w:val="24"/>
          <w:lang w:val="en-US"/>
        </w:rPr>
        <w:t xml:space="preserve">: </w:t>
      </w:r>
      <w:hyperlink r:id="rId24" w:history="1">
        <w:r w:rsidRPr="00261964">
          <w:rPr>
            <w:rFonts w:ascii="Times New Roman" w:hAnsi="Times New Roman" w:cs="Times New Roman"/>
            <w:kern w:val="0"/>
            <w:sz w:val="24"/>
            <w:szCs w:val="24"/>
            <w:lang w:val="en-US"/>
          </w:rPr>
          <w:t>https://doi.org/10.1177/0840470417733360</w:t>
        </w:r>
      </w:hyperlink>
      <w:r w:rsidRPr="00261964">
        <w:rPr>
          <w:rFonts w:ascii="Times New Roman" w:hAnsi="Times New Roman" w:cs="Times New Roman"/>
          <w:kern w:val="0"/>
          <w:sz w:val="24"/>
          <w:szCs w:val="24"/>
          <w:lang w:val="en-US"/>
        </w:rPr>
        <w:t>.</w:t>
      </w:r>
    </w:p>
    <w:p w14:paraId="230CE09A" w14:textId="64BC59CB"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B337F3">
        <w:rPr>
          <w:rFonts w:ascii="Times New Roman" w:hAnsi="Times New Roman" w:cs="Times New Roman"/>
          <w:kern w:val="0"/>
          <w:sz w:val="24"/>
          <w:szCs w:val="24"/>
          <w:lang w:val="en-US"/>
        </w:rPr>
        <w:t>Sargeant, A. and George, J. (2021)</w:t>
      </w:r>
      <w:r w:rsidR="00C8792A">
        <w:rPr>
          <w:rFonts w:ascii="Times New Roman" w:hAnsi="Times New Roman" w:cs="Times New Roman"/>
          <w:kern w:val="0"/>
          <w:sz w:val="24"/>
          <w:szCs w:val="24"/>
          <w:lang w:val="en-US"/>
        </w:rPr>
        <w:t xml:space="preserve">, </w:t>
      </w:r>
      <w:r w:rsidRPr="00B337F3">
        <w:rPr>
          <w:rFonts w:ascii="Times New Roman" w:hAnsi="Times New Roman" w:cs="Times New Roman"/>
          <w:i/>
          <w:iCs/>
          <w:kern w:val="0"/>
          <w:sz w:val="24"/>
          <w:szCs w:val="24"/>
          <w:lang w:val="en-US"/>
        </w:rPr>
        <w:t>Fundraising Management</w:t>
      </w:r>
      <w:r w:rsidRPr="00B337F3">
        <w:rPr>
          <w:rFonts w:ascii="Times New Roman" w:hAnsi="Times New Roman" w:cs="Times New Roman"/>
          <w:kern w:val="0"/>
          <w:sz w:val="24"/>
          <w:szCs w:val="24"/>
          <w:lang w:val="en-US"/>
        </w:rPr>
        <w:t xml:space="preserve">. </w:t>
      </w:r>
      <w:r w:rsidR="00C8792A">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C8792A">
        <w:rPr>
          <w:rFonts w:ascii="Times New Roman" w:hAnsi="Times New Roman" w:cs="Times New Roman"/>
          <w:kern w:val="0"/>
          <w:sz w:val="24"/>
          <w:szCs w:val="24"/>
          <w:lang w:val="en-US"/>
        </w:rPr>
        <w:t xml:space="preserve">: </w:t>
      </w:r>
      <w:hyperlink r:id="rId25" w:history="1">
        <w:r w:rsidRPr="00B337F3">
          <w:rPr>
            <w:rFonts w:ascii="Times New Roman" w:hAnsi="Times New Roman" w:cs="Times New Roman"/>
            <w:kern w:val="0"/>
            <w:sz w:val="24"/>
            <w:szCs w:val="24"/>
            <w:lang w:val="en-US"/>
          </w:rPr>
          <w:t>https://doi.org/10.4324/9781003097433</w:t>
        </w:r>
      </w:hyperlink>
      <w:r w:rsidRPr="00B337F3">
        <w:rPr>
          <w:rFonts w:ascii="Times New Roman" w:hAnsi="Times New Roman" w:cs="Times New Roman"/>
          <w:kern w:val="0"/>
          <w:sz w:val="24"/>
          <w:szCs w:val="24"/>
          <w:lang w:val="en-US"/>
        </w:rPr>
        <w:t>.</w:t>
      </w:r>
    </w:p>
    <w:p w14:paraId="40112C71" w14:textId="4E4AEF3C"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B337F3">
        <w:rPr>
          <w:rFonts w:ascii="Times New Roman" w:hAnsi="Times New Roman" w:cs="Times New Roman"/>
          <w:kern w:val="0"/>
          <w:sz w:val="24"/>
          <w:szCs w:val="24"/>
          <w:lang w:val="en-US"/>
        </w:rPr>
        <w:t>Silvers, J.R. and O’Toole, W. (2020)</w:t>
      </w:r>
      <w:r w:rsidR="00C8792A">
        <w:rPr>
          <w:rFonts w:ascii="Times New Roman" w:hAnsi="Times New Roman" w:cs="Times New Roman"/>
          <w:kern w:val="0"/>
          <w:sz w:val="24"/>
          <w:szCs w:val="24"/>
          <w:lang w:val="en-US"/>
        </w:rPr>
        <w:t xml:space="preserve">, </w:t>
      </w:r>
      <w:r w:rsidRPr="00B337F3">
        <w:rPr>
          <w:rFonts w:ascii="Times New Roman" w:hAnsi="Times New Roman" w:cs="Times New Roman"/>
          <w:i/>
          <w:iCs/>
          <w:kern w:val="0"/>
          <w:sz w:val="24"/>
          <w:szCs w:val="24"/>
          <w:lang w:val="en-US"/>
        </w:rPr>
        <w:t>Risk Management for Events</w:t>
      </w:r>
      <w:r w:rsidR="00C8792A">
        <w:rPr>
          <w:rFonts w:ascii="Times New Roman" w:hAnsi="Times New Roman" w:cs="Times New Roman"/>
          <w:kern w:val="0"/>
          <w:sz w:val="24"/>
          <w:szCs w:val="24"/>
          <w:lang w:val="en-US"/>
        </w:rPr>
        <w:t>,</w:t>
      </w:r>
      <w:r w:rsidRPr="00B337F3">
        <w:rPr>
          <w:rFonts w:ascii="Times New Roman" w:hAnsi="Times New Roman" w:cs="Times New Roman"/>
          <w:kern w:val="0"/>
          <w:sz w:val="24"/>
          <w:szCs w:val="24"/>
          <w:lang w:val="en-US"/>
        </w:rPr>
        <w:t xml:space="preserve"> </w:t>
      </w:r>
      <w:r w:rsidR="00C8792A">
        <w:rPr>
          <w:rFonts w:ascii="Times New Roman" w:hAnsi="Times New Roman" w:cs="Times New Roman"/>
          <w:kern w:val="0"/>
          <w:sz w:val="24"/>
          <w:szCs w:val="24"/>
          <w:lang w:val="en-US"/>
        </w:rPr>
        <w:t>s</w:t>
      </w:r>
      <w:r w:rsidRPr="00B337F3">
        <w:rPr>
          <w:rFonts w:ascii="Times New Roman" w:hAnsi="Times New Roman" w:cs="Times New Roman"/>
          <w:kern w:val="0"/>
          <w:sz w:val="24"/>
          <w:szCs w:val="24"/>
          <w:lang w:val="en-US"/>
        </w:rPr>
        <w:t>econd edition.  Abingdon, Oxon</w:t>
      </w:r>
      <w:r w:rsidR="00C8792A">
        <w:rPr>
          <w:rFonts w:ascii="Times New Roman" w:hAnsi="Times New Roman" w:cs="Times New Roman"/>
          <w:kern w:val="0"/>
          <w:sz w:val="24"/>
          <w:szCs w:val="24"/>
          <w:lang w:val="en-US"/>
        </w:rPr>
        <w:t>,</w:t>
      </w:r>
      <w:r w:rsidRPr="00B337F3">
        <w:rPr>
          <w:rFonts w:ascii="Times New Roman" w:hAnsi="Times New Roman" w:cs="Times New Roman"/>
          <w:kern w:val="0"/>
          <w:sz w:val="24"/>
          <w:szCs w:val="24"/>
          <w:lang w:val="en-US"/>
        </w:rPr>
        <w:t xml:space="preserve"> New York : Routledge, 2021</w:t>
      </w:r>
      <w:r w:rsidR="00C8792A">
        <w:rPr>
          <w:rFonts w:ascii="Times New Roman" w:hAnsi="Times New Roman" w:cs="Times New Roman"/>
          <w:kern w:val="0"/>
          <w:sz w:val="24"/>
          <w:szCs w:val="24"/>
          <w:lang w:val="en-US"/>
        </w:rPr>
        <w:t>,</w:t>
      </w:r>
      <w:r w:rsidRPr="00B337F3">
        <w:rPr>
          <w:rFonts w:ascii="Times New Roman" w:hAnsi="Times New Roman" w:cs="Times New Roman"/>
          <w:kern w:val="0"/>
          <w:sz w:val="24"/>
          <w:szCs w:val="24"/>
          <w:lang w:val="en-US"/>
        </w:rPr>
        <w:t xml:space="preserve">  </w:t>
      </w:r>
      <w:r w:rsidR="00C8792A">
        <w:rPr>
          <w:rFonts w:ascii="Times New Roman" w:hAnsi="Times New Roman" w:cs="Times New Roman"/>
          <w:kern w:val="0"/>
          <w:sz w:val="24"/>
          <w:szCs w:val="24"/>
          <w:lang w:val="en-US"/>
        </w:rPr>
        <w:t>s</w:t>
      </w:r>
      <w:r w:rsidRPr="00B337F3">
        <w:rPr>
          <w:rFonts w:ascii="Times New Roman" w:hAnsi="Times New Roman" w:cs="Times New Roman"/>
          <w:kern w:val="0"/>
          <w:sz w:val="24"/>
          <w:szCs w:val="24"/>
          <w:lang w:val="en-US"/>
        </w:rPr>
        <w:t>eries: Event management series</w:t>
      </w:r>
      <w:r w:rsidR="00C8792A">
        <w:rPr>
          <w:rFonts w:ascii="Times New Roman" w:hAnsi="Times New Roman" w:cs="Times New Roman"/>
          <w:kern w:val="0"/>
          <w:sz w:val="24"/>
          <w:szCs w:val="24"/>
          <w:lang w:val="en-US"/>
        </w:rPr>
        <w:t>,</w:t>
      </w:r>
      <w:r w:rsidRPr="00B337F3">
        <w:rPr>
          <w:rFonts w:ascii="Times New Roman" w:hAnsi="Times New Roman" w:cs="Times New Roman"/>
          <w:kern w:val="0"/>
          <w:sz w:val="24"/>
          <w:szCs w:val="24"/>
          <w:lang w:val="en-US"/>
        </w:rPr>
        <w:t xml:space="preserve"> </w:t>
      </w:r>
      <w:r w:rsidR="00C8792A">
        <w:rPr>
          <w:rFonts w:ascii="Times New Roman" w:hAnsi="Times New Roman" w:cs="Times New Roman"/>
          <w:kern w:val="0"/>
          <w:sz w:val="24"/>
          <w:szCs w:val="24"/>
          <w:lang w:val="en-US"/>
        </w:rPr>
        <w:t>r</w:t>
      </w:r>
      <w:r w:rsidRPr="00B337F3">
        <w:rPr>
          <w:rFonts w:ascii="Times New Roman" w:hAnsi="Times New Roman" w:cs="Times New Roman"/>
          <w:kern w:val="0"/>
          <w:sz w:val="24"/>
          <w:szCs w:val="24"/>
          <w:lang w:val="en-US"/>
        </w:rPr>
        <w:t xml:space="preserve">evised edition of: </w:t>
      </w:r>
      <w:r w:rsidR="000542E0">
        <w:rPr>
          <w:rFonts w:ascii="Times New Roman" w:hAnsi="Times New Roman" w:cs="Times New Roman"/>
          <w:kern w:val="0"/>
          <w:sz w:val="24"/>
          <w:szCs w:val="24"/>
          <w:lang w:val="en-US"/>
        </w:rPr>
        <w:t>‘</w:t>
      </w:r>
      <w:r w:rsidRPr="00B337F3">
        <w:rPr>
          <w:rFonts w:ascii="Times New Roman" w:hAnsi="Times New Roman" w:cs="Times New Roman"/>
          <w:kern w:val="0"/>
          <w:sz w:val="24"/>
          <w:szCs w:val="24"/>
          <w:lang w:val="en-US"/>
        </w:rPr>
        <w:t>Risk management for meetings and events</w:t>
      </w:r>
      <w:r w:rsidR="000542E0">
        <w:rPr>
          <w:rFonts w:ascii="Times New Roman" w:hAnsi="Times New Roman" w:cs="Times New Roman"/>
          <w:kern w:val="0"/>
          <w:sz w:val="24"/>
          <w:szCs w:val="24"/>
          <w:lang w:val="en-US"/>
        </w:rPr>
        <w:t>’</w:t>
      </w:r>
      <w:r w:rsidRPr="00B337F3">
        <w:rPr>
          <w:rFonts w:ascii="Times New Roman" w:hAnsi="Times New Roman" w:cs="Times New Roman"/>
          <w:kern w:val="0"/>
          <w:sz w:val="24"/>
          <w:szCs w:val="24"/>
          <w:lang w:val="en-US"/>
        </w:rPr>
        <w:t xml:space="preserve">, 2015: Routledge. </w:t>
      </w:r>
      <w:r w:rsidR="000542E0">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0542E0">
        <w:rPr>
          <w:rFonts w:ascii="Times New Roman" w:hAnsi="Times New Roman" w:cs="Times New Roman"/>
          <w:kern w:val="0"/>
          <w:sz w:val="24"/>
          <w:szCs w:val="24"/>
          <w:lang w:val="en-US"/>
        </w:rPr>
        <w:t xml:space="preserve">: </w:t>
      </w:r>
      <w:hyperlink r:id="rId26" w:history="1">
        <w:r w:rsidRPr="00B337F3">
          <w:rPr>
            <w:rFonts w:ascii="Times New Roman" w:hAnsi="Times New Roman" w:cs="Times New Roman"/>
            <w:kern w:val="0"/>
            <w:sz w:val="24"/>
            <w:szCs w:val="24"/>
            <w:lang w:val="en-US"/>
          </w:rPr>
          <w:t>https://doi.org/10.4324/9780429291296</w:t>
        </w:r>
      </w:hyperlink>
      <w:r w:rsidRPr="00B337F3">
        <w:rPr>
          <w:rFonts w:ascii="Times New Roman" w:hAnsi="Times New Roman" w:cs="Times New Roman"/>
          <w:kern w:val="0"/>
          <w:sz w:val="24"/>
          <w:szCs w:val="24"/>
          <w:lang w:val="en-US"/>
        </w:rPr>
        <w:t>.</w:t>
      </w:r>
    </w:p>
    <w:p w14:paraId="6DE2C33D" w14:textId="392F5B7D" w:rsidR="0052430F"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lang w:val="en-US"/>
        </w:rPr>
      </w:pPr>
      <w:r w:rsidRPr="00B337F3">
        <w:rPr>
          <w:rFonts w:ascii="Times New Roman" w:hAnsi="Times New Roman" w:cs="Times New Roman"/>
          <w:kern w:val="0"/>
          <w:sz w:val="24"/>
          <w:szCs w:val="24"/>
          <w:lang w:val="en-US"/>
        </w:rPr>
        <w:t>Snyder, J. (2016)</w:t>
      </w:r>
      <w:r w:rsidR="000542E0">
        <w:rPr>
          <w:rFonts w:ascii="Times New Roman" w:hAnsi="Times New Roman" w:cs="Times New Roman"/>
          <w:kern w:val="0"/>
          <w:sz w:val="24"/>
          <w:szCs w:val="24"/>
          <w:lang w:val="en-US"/>
        </w:rPr>
        <w:t xml:space="preserve">, </w:t>
      </w:r>
      <w:r w:rsidR="006C05B1">
        <w:rPr>
          <w:rFonts w:ascii="Times New Roman" w:hAnsi="Times New Roman" w:cs="Times New Roman"/>
          <w:kern w:val="0"/>
          <w:sz w:val="24"/>
          <w:szCs w:val="24"/>
          <w:lang w:val="en-US"/>
        </w:rPr>
        <w:t>‘</w:t>
      </w:r>
      <w:r w:rsidRPr="00B337F3">
        <w:rPr>
          <w:rFonts w:ascii="Times New Roman" w:hAnsi="Times New Roman" w:cs="Times New Roman"/>
          <w:kern w:val="0"/>
          <w:sz w:val="24"/>
          <w:szCs w:val="24"/>
          <w:lang w:val="en-US"/>
        </w:rPr>
        <w:t>Crowdfunding FOR MEDICAL CARE:</w:t>
      </w:r>
      <w:r w:rsidR="006C05B1">
        <w:rPr>
          <w:rFonts w:ascii="Times New Roman" w:hAnsi="Times New Roman" w:cs="Times New Roman"/>
          <w:kern w:val="0"/>
          <w:sz w:val="24"/>
          <w:szCs w:val="24"/>
          <w:lang w:val="en-US"/>
        </w:rPr>
        <w:t xml:space="preserve"> </w:t>
      </w:r>
      <w:r w:rsidRPr="00B337F3">
        <w:rPr>
          <w:rFonts w:ascii="Times New Roman" w:hAnsi="Times New Roman" w:cs="Times New Roman"/>
          <w:kern w:val="0"/>
          <w:sz w:val="24"/>
          <w:szCs w:val="24"/>
          <w:lang w:val="en-US"/>
        </w:rPr>
        <w:t xml:space="preserve">Ethical Issues in an Emerging </w:t>
      </w:r>
      <w:r w:rsidRPr="00B337F3">
        <w:rPr>
          <w:rFonts w:ascii="Times New Roman" w:hAnsi="Times New Roman" w:cs="Times New Roman"/>
          <w:kern w:val="0"/>
          <w:sz w:val="24"/>
          <w:szCs w:val="24"/>
          <w:lang w:val="en-US"/>
        </w:rPr>
        <w:lastRenderedPageBreak/>
        <w:t>Health Care Funding Practice</w:t>
      </w:r>
      <w:r w:rsidR="006C05B1">
        <w:rPr>
          <w:rFonts w:ascii="Times New Roman" w:hAnsi="Times New Roman" w:cs="Times New Roman"/>
          <w:kern w:val="0"/>
          <w:sz w:val="24"/>
          <w:szCs w:val="24"/>
          <w:lang w:val="en-US"/>
        </w:rPr>
        <w:t xml:space="preserve">’, </w:t>
      </w:r>
      <w:r w:rsidRPr="00B337F3">
        <w:rPr>
          <w:rFonts w:ascii="Times New Roman" w:hAnsi="Times New Roman" w:cs="Times New Roman"/>
          <w:i/>
          <w:iCs/>
          <w:kern w:val="0"/>
          <w:sz w:val="24"/>
          <w:szCs w:val="24"/>
          <w:lang w:val="en-US"/>
        </w:rPr>
        <w:t>Hastings Center Report</w:t>
      </w:r>
      <w:r w:rsidRPr="00B337F3">
        <w:rPr>
          <w:rFonts w:ascii="Times New Roman" w:hAnsi="Times New Roman" w:cs="Times New Roman"/>
          <w:kern w:val="0"/>
          <w:sz w:val="24"/>
          <w:szCs w:val="24"/>
          <w:lang w:val="en-US"/>
        </w:rPr>
        <w:t>, 46(6), pp</w:t>
      </w:r>
      <w:r w:rsidR="006C05B1">
        <w:rPr>
          <w:rFonts w:ascii="Times New Roman" w:hAnsi="Times New Roman" w:cs="Times New Roman"/>
          <w:kern w:val="0"/>
          <w:sz w:val="24"/>
          <w:szCs w:val="24"/>
          <w:lang w:val="en-US"/>
        </w:rPr>
        <w:t xml:space="preserve"> </w:t>
      </w:r>
      <w:r w:rsidRPr="00B337F3">
        <w:rPr>
          <w:rFonts w:ascii="Times New Roman" w:hAnsi="Times New Roman" w:cs="Times New Roman"/>
          <w:kern w:val="0"/>
          <w:sz w:val="24"/>
          <w:szCs w:val="24"/>
          <w:lang w:val="en-US"/>
        </w:rPr>
        <w:t xml:space="preserve">36–42. </w:t>
      </w:r>
      <w:r w:rsidR="006C05B1">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6C05B1">
        <w:rPr>
          <w:rFonts w:ascii="Times New Roman" w:hAnsi="Times New Roman" w:cs="Times New Roman"/>
          <w:kern w:val="0"/>
          <w:sz w:val="24"/>
          <w:szCs w:val="24"/>
          <w:lang w:val="en-US"/>
        </w:rPr>
        <w:t xml:space="preserve">: </w:t>
      </w:r>
      <w:hyperlink r:id="rId27" w:history="1">
        <w:r w:rsidRPr="00B337F3">
          <w:rPr>
            <w:rFonts w:ascii="Times New Roman" w:hAnsi="Times New Roman" w:cs="Times New Roman"/>
            <w:kern w:val="0"/>
            <w:sz w:val="24"/>
            <w:szCs w:val="24"/>
            <w:lang w:val="en-US"/>
          </w:rPr>
          <w:t>https://doi.org/10.1002/hast.645</w:t>
        </w:r>
      </w:hyperlink>
      <w:r w:rsidRPr="00B337F3">
        <w:rPr>
          <w:rFonts w:ascii="Times New Roman" w:hAnsi="Times New Roman" w:cs="Times New Roman"/>
          <w:kern w:val="0"/>
          <w:sz w:val="24"/>
          <w:szCs w:val="24"/>
          <w:lang w:val="en-US"/>
        </w:rPr>
        <w:t>.</w:t>
      </w:r>
    </w:p>
    <w:p w14:paraId="2F68F359" w14:textId="24578A31" w:rsidR="0052430F" w:rsidRPr="00B337F3" w:rsidRDefault="0052430F" w:rsidP="0052430F">
      <w:pPr>
        <w:pStyle w:val="ListParagraph"/>
        <w:widowControl w:val="0"/>
        <w:numPr>
          <w:ilvl w:val="0"/>
          <w:numId w:val="12"/>
        </w:numPr>
        <w:autoSpaceDE w:val="0"/>
        <w:autoSpaceDN w:val="0"/>
        <w:adjustRightInd w:val="0"/>
        <w:spacing w:after="240" w:line="360" w:lineRule="auto"/>
        <w:jc w:val="both"/>
        <w:rPr>
          <w:rFonts w:ascii="Times New Roman" w:hAnsi="Times New Roman" w:cs="Times New Roman"/>
          <w:kern w:val="0"/>
          <w:sz w:val="24"/>
          <w:szCs w:val="24"/>
          <w:lang w:val="en-US"/>
        </w:rPr>
      </w:pPr>
      <w:r w:rsidRPr="00B337F3">
        <w:rPr>
          <w:rFonts w:ascii="Times New Roman" w:hAnsi="Times New Roman" w:cs="Times New Roman"/>
          <w:kern w:val="0"/>
          <w:sz w:val="24"/>
          <w:szCs w:val="24"/>
          <w:lang w:val="en-US"/>
        </w:rPr>
        <w:t xml:space="preserve">Tulchinsky, T.H. and </w:t>
      </w:r>
      <w:proofErr w:type="spellStart"/>
      <w:r w:rsidRPr="00B337F3">
        <w:rPr>
          <w:rFonts w:ascii="Times New Roman" w:hAnsi="Times New Roman" w:cs="Times New Roman"/>
          <w:kern w:val="0"/>
          <w:sz w:val="24"/>
          <w:szCs w:val="24"/>
          <w:lang w:val="en-US"/>
        </w:rPr>
        <w:t>Varavikova</w:t>
      </w:r>
      <w:proofErr w:type="spellEnd"/>
      <w:r w:rsidRPr="00B337F3">
        <w:rPr>
          <w:rFonts w:ascii="Times New Roman" w:hAnsi="Times New Roman" w:cs="Times New Roman"/>
          <w:kern w:val="0"/>
          <w:sz w:val="24"/>
          <w:szCs w:val="24"/>
          <w:lang w:val="en-US"/>
        </w:rPr>
        <w:t>, E.A. (2014)</w:t>
      </w:r>
      <w:r w:rsidR="006C05B1">
        <w:rPr>
          <w:rFonts w:ascii="Times New Roman" w:hAnsi="Times New Roman" w:cs="Times New Roman"/>
          <w:kern w:val="0"/>
          <w:sz w:val="24"/>
          <w:szCs w:val="24"/>
          <w:lang w:val="en-US"/>
        </w:rPr>
        <w:t>, ‘</w:t>
      </w:r>
      <w:r w:rsidRPr="00B337F3">
        <w:rPr>
          <w:rFonts w:ascii="Times New Roman" w:hAnsi="Times New Roman" w:cs="Times New Roman"/>
          <w:kern w:val="0"/>
          <w:sz w:val="24"/>
          <w:szCs w:val="24"/>
          <w:lang w:val="en-US"/>
        </w:rPr>
        <w:t>Planning and Managing Health Systems</w:t>
      </w:r>
      <w:r w:rsidR="006C05B1">
        <w:rPr>
          <w:rFonts w:ascii="Times New Roman" w:hAnsi="Times New Roman" w:cs="Times New Roman"/>
          <w:kern w:val="0"/>
          <w:sz w:val="24"/>
          <w:szCs w:val="24"/>
          <w:lang w:val="en-US"/>
        </w:rPr>
        <w:t>’,</w:t>
      </w:r>
      <w:r w:rsidRPr="00B337F3">
        <w:rPr>
          <w:rFonts w:ascii="Times New Roman" w:hAnsi="Times New Roman" w:cs="Times New Roman"/>
          <w:kern w:val="0"/>
          <w:sz w:val="24"/>
          <w:szCs w:val="24"/>
          <w:lang w:val="en-US"/>
        </w:rPr>
        <w:t xml:space="preserve"> </w:t>
      </w:r>
      <w:r w:rsidRPr="00B337F3">
        <w:rPr>
          <w:rFonts w:ascii="Times New Roman" w:hAnsi="Times New Roman" w:cs="Times New Roman"/>
          <w:i/>
          <w:iCs/>
          <w:kern w:val="0"/>
          <w:sz w:val="24"/>
          <w:szCs w:val="24"/>
          <w:lang w:val="en-US"/>
        </w:rPr>
        <w:t>The New Public Health</w:t>
      </w:r>
      <w:r w:rsidRPr="00B337F3">
        <w:rPr>
          <w:rFonts w:ascii="Times New Roman" w:hAnsi="Times New Roman" w:cs="Times New Roman"/>
          <w:kern w:val="0"/>
          <w:sz w:val="24"/>
          <w:szCs w:val="24"/>
          <w:lang w:val="en-US"/>
        </w:rPr>
        <w:t>, pp</w:t>
      </w:r>
      <w:r w:rsidR="006C05B1">
        <w:rPr>
          <w:rFonts w:ascii="Times New Roman" w:hAnsi="Times New Roman" w:cs="Times New Roman"/>
          <w:kern w:val="0"/>
          <w:sz w:val="24"/>
          <w:szCs w:val="24"/>
          <w:lang w:val="en-US"/>
        </w:rPr>
        <w:t xml:space="preserve"> </w:t>
      </w:r>
      <w:r w:rsidRPr="00B337F3">
        <w:rPr>
          <w:rFonts w:ascii="Times New Roman" w:hAnsi="Times New Roman" w:cs="Times New Roman"/>
          <w:kern w:val="0"/>
          <w:sz w:val="24"/>
          <w:szCs w:val="24"/>
          <w:lang w:val="en-US"/>
        </w:rPr>
        <w:t xml:space="preserve">613–641. </w:t>
      </w:r>
      <w:r w:rsidR="006C05B1">
        <w:rPr>
          <w:rFonts w:ascii="Times New Roman" w:hAnsi="Times New Roman" w:cs="Times New Roman"/>
          <w:kern w:val="0"/>
          <w:sz w:val="24"/>
          <w:szCs w:val="24"/>
          <w:lang w:val="en-US"/>
        </w:rPr>
        <w:t xml:space="preserve">Available </w:t>
      </w:r>
      <w:r w:rsidR="00886BA6">
        <w:rPr>
          <w:rFonts w:ascii="Times New Roman" w:hAnsi="Times New Roman" w:cs="Times New Roman"/>
          <w:kern w:val="0"/>
          <w:sz w:val="24"/>
          <w:szCs w:val="24"/>
          <w:lang w:val="en-US"/>
        </w:rPr>
        <w:t>at</w:t>
      </w:r>
      <w:r w:rsidR="006C05B1">
        <w:rPr>
          <w:rFonts w:ascii="Times New Roman" w:hAnsi="Times New Roman" w:cs="Times New Roman"/>
          <w:kern w:val="0"/>
          <w:sz w:val="24"/>
          <w:szCs w:val="24"/>
          <w:lang w:val="en-US"/>
        </w:rPr>
        <w:t xml:space="preserve">: </w:t>
      </w:r>
      <w:hyperlink r:id="rId28" w:history="1">
        <w:r w:rsidRPr="00B337F3">
          <w:rPr>
            <w:rFonts w:ascii="Times New Roman" w:hAnsi="Times New Roman" w:cs="Times New Roman"/>
            <w:kern w:val="0"/>
            <w:sz w:val="24"/>
            <w:szCs w:val="24"/>
            <w:lang w:val="en-US"/>
          </w:rPr>
          <w:t>https://doi.org/10.1016/b978-0-12-415766-8.00012-4</w:t>
        </w:r>
      </w:hyperlink>
      <w:r w:rsidRPr="00B337F3">
        <w:rPr>
          <w:rFonts w:ascii="Times New Roman" w:hAnsi="Times New Roman" w:cs="Times New Roman"/>
          <w:kern w:val="0"/>
          <w:sz w:val="24"/>
          <w:szCs w:val="24"/>
          <w:lang w:val="en-US"/>
        </w:rPr>
        <w:t>.</w:t>
      </w:r>
    </w:p>
    <w:p w14:paraId="301581C5" w14:textId="684C5E4B" w:rsidR="008C5863" w:rsidRPr="000C563E" w:rsidRDefault="008C5863" w:rsidP="000C563E">
      <w:pPr>
        <w:jc w:val="both"/>
        <w:rPr>
          <w:rFonts w:ascii="Times New Roman" w:hAnsi="Times New Roman" w:cs="Times New Roman"/>
          <w:sz w:val="28"/>
          <w:szCs w:val="28"/>
        </w:rPr>
      </w:pPr>
    </w:p>
    <w:sectPr w:rsidR="008C5863" w:rsidRPr="000C563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AE8116" w14:textId="77777777" w:rsidR="00AA6A08" w:rsidRDefault="00AA6A08" w:rsidP="00CA70AD">
      <w:pPr>
        <w:spacing w:after="0" w:line="240" w:lineRule="auto"/>
      </w:pPr>
      <w:r>
        <w:separator/>
      </w:r>
    </w:p>
  </w:endnote>
  <w:endnote w:type="continuationSeparator" w:id="0">
    <w:p w14:paraId="1B8EA2B2" w14:textId="77777777" w:rsidR="00AA6A08" w:rsidRDefault="00AA6A08" w:rsidP="00CA7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67219570"/>
      <w:docPartObj>
        <w:docPartGallery w:val="Page Numbers (Bottom of Page)"/>
        <w:docPartUnique/>
      </w:docPartObj>
    </w:sdtPr>
    <w:sdtContent>
      <w:p w14:paraId="4D01A3DB" w14:textId="2482DC99" w:rsidR="006C05B1" w:rsidRDefault="006C05B1">
        <w:pPr>
          <w:pStyle w:val="Footer"/>
          <w:jc w:val="right"/>
        </w:pPr>
        <w:r>
          <w:fldChar w:fldCharType="begin"/>
        </w:r>
        <w:r>
          <w:instrText>PAGE   \* MERGEFORMAT</w:instrText>
        </w:r>
        <w:r>
          <w:fldChar w:fldCharType="separate"/>
        </w:r>
        <w:r>
          <w:t>2</w:t>
        </w:r>
        <w:r>
          <w:fldChar w:fldCharType="end"/>
        </w:r>
      </w:p>
    </w:sdtContent>
  </w:sdt>
  <w:p w14:paraId="31F3E005" w14:textId="679151F2" w:rsidR="006C05B1" w:rsidRDefault="006C05B1">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0C252E" w14:textId="77777777" w:rsidR="00AA6A08" w:rsidRDefault="00AA6A08" w:rsidP="00CA70AD">
      <w:pPr>
        <w:spacing w:after="0" w:line="240" w:lineRule="auto"/>
      </w:pPr>
      <w:r>
        <w:separator/>
      </w:r>
    </w:p>
  </w:footnote>
  <w:footnote w:type="continuationSeparator" w:id="0">
    <w:p w14:paraId="3E5A2B16" w14:textId="77777777" w:rsidR="00AA6A08" w:rsidRDefault="00AA6A08" w:rsidP="00CA70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93550F"/>
    <w:multiLevelType w:val="multilevel"/>
    <w:tmpl w:val="64DE0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E44372"/>
    <w:multiLevelType w:val="multilevel"/>
    <w:tmpl w:val="64DE0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597B79"/>
    <w:multiLevelType w:val="multilevel"/>
    <w:tmpl w:val="2D14A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1B7E27"/>
    <w:multiLevelType w:val="multilevel"/>
    <w:tmpl w:val="09766F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4541E7"/>
    <w:multiLevelType w:val="multilevel"/>
    <w:tmpl w:val="85F22136"/>
    <w:lvl w:ilvl="0">
      <w:start w:val="2"/>
      <w:numFmt w:val="decimal"/>
      <w:lvlText w:val="%1."/>
      <w:lvlJc w:val="left"/>
      <w:pPr>
        <w:tabs>
          <w:tab w:val="num" w:pos="720"/>
        </w:tabs>
        <w:ind w:left="720" w:hanging="360"/>
      </w:pPr>
      <w:rPr>
        <w:rFont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5" w15:restartNumberingAfterBreak="0">
    <w:nsid w:val="35165045"/>
    <w:multiLevelType w:val="hybridMultilevel"/>
    <w:tmpl w:val="16FE849C"/>
    <w:lvl w:ilvl="0" w:tplc="E09C4734">
      <w:start w:val="1"/>
      <w:numFmt w:val="decimal"/>
      <w:lvlText w:val="%1."/>
      <w:lvlJc w:val="left"/>
      <w:pPr>
        <w:ind w:left="720" w:hanging="360"/>
      </w:pPr>
      <w:rPr>
        <w:rFonts w:hint="default"/>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1105036"/>
    <w:multiLevelType w:val="multilevel"/>
    <w:tmpl w:val="CBC0F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9E360E2"/>
    <w:multiLevelType w:val="multilevel"/>
    <w:tmpl w:val="64DE0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857B40"/>
    <w:multiLevelType w:val="multilevel"/>
    <w:tmpl w:val="1B16A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F9A5D27"/>
    <w:multiLevelType w:val="multilevel"/>
    <w:tmpl w:val="CF849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1A40D59"/>
    <w:multiLevelType w:val="multilevel"/>
    <w:tmpl w:val="6DEC6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DEB6A0B"/>
    <w:multiLevelType w:val="hybridMultilevel"/>
    <w:tmpl w:val="C05AE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6549650">
    <w:abstractNumId w:val="5"/>
  </w:num>
  <w:num w:numId="2" w16cid:durableId="979071618">
    <w:abstractNumId w:val="10"/>
  </w:num>
  <w:num w:numId="3" w16cid:durableId="1335650058">
    <w:abstractNumId w:val="6"/>
  </w:num>
  <w:num w:numId="4" w16cid:durableId="44641498">
    <w:abstractNumId w:val="9"/>
  </w:num>
  <w:num w:numId="5" w16cid:durableId="98985562">
    <w:abstractNumId w:val="2"/>
  </w:num>
  <w:num w:numId="6" w16cid:durableId="655884582">
    <w:abstractNumId w:val="1"/>
  </w:num>
  <w:num w:numId="7" w16cid:durableId="884562153">
    <w:abstractNumId w:val="4"/>
  </w:num>
  <w:num w:numId="8" w16cid:durableId="1471820210">
    <w:abstractNumId w:val="3"/>
  </w:num>
  <w:num w:numId="9" w16cid:durableId="72357441">
    <w:abstractNumId w:val="7"/>
  </w:num>
  <w:num w:numId="10" w16cid:durableId="359012761">
    <w:abstractNumId w:val="8"/>
  </w:num>
  <w:num w:numId="11" w16cid:durableId="1017081727">
    <w:abstractNumId w:val="0"/>
  </w:num>
  <w:num w:numId="12" w16cid:durableId="124618339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77E"/>
    <w:rsid w:val="00004B73"/>
    <w:rsid w:val="000542E0"/>
    <w:rsid w:val="00065563"/>
    <w:rsid w:val="0007338B"/>
    <w:rsid w:val="00081ADD"/>
    <w:rsid w:val="0008445B"/>
    <w:rsid w:val="000B2968"/>
    <w:rsid w:val="000C563E"/>
    <w:rsid w:val="00135404"/>
    <w:rsid w:val="00143BD3"/>
    <w:rsid w:val="00156E1D"/>
    <w:rsid w:val="001808D1"/>
    <w:rsid w:val="001B1424"/>
    <w:rsid w:val="001F26D0"/>
    <w:rsid w:val="002117BF"/>
    <w:rsid w:val="00255583"/>
    <w:rsid w:val="002C66CD"/>
    <w:rsid w:val="002F4815"/>
    <w:rsid w:val="00336F8B"/>
    <w:rsid w:val="00356919"/>
    <w:rsid w:val="003B5A15"/>
    <w:rsid w:val="00475409"/>
    <w:rsid w:val="004D43EC"/>
    <w:rsid w:val="0052430F"/>
    <w:rsid w:val="005442D8"/>
    <w:rsid w:val="005569AD"/>
    <w:rsid w:val="005A2E6A"/>
    <w:rsid w:val="0065788F"/>
    <w:rsid w:val="006A7102"/>
    <w:rsid w:val="006C05B1"/>
    <w:rsid w:val="00740106"/>
    <w:rsid w:val="00783D25"/>
    <w:rsid w:val="00865BAB"/>
    <w:rsid w:val="0088340B"/>
    <w:rsid w:val="00886BA6"/>
    <w:rsid w:val="008A6726"/>
    <w:rsid w:val="008A7601"/>
    <w:rsid w:val="008B1E95"/>
    <w:rsid w:val="008B2DB1"/>
    <w:rsid w:val="008B3820"/>
    <w:rsid w:val="008C5863"/>
    <w:rsid w:val="00937A6F"/>
    <w:rsid w:val="00A06025"/>
    <w:rsid w:val="00A318A7"/>
    <w:rsid w:val="00A83ADB"/>
    <w:rsid w:val="00A92892"/>
    <w:rsid w:val="00A970AA"/>
    <w:rsid w:val="00AA6A08"/>
    <w:rsid w:val="00AD2B9A"/>
    <w:rsid w:val="00C03D1A"/>
    <w:rsid w:val="00C8792A"/>
    <w:rsid w:val="00CA70AD"/>
    <w:rsid w:val="00D266E8"/>
    <w:rsid w:val="00D27DC7"/>
    <w:rsid w:val="00D41A82"/>
    <w:rsid w:val="00D94305"/>
    <w:rsid w:val="00E348CE"/>
    <w:rsid w:val="00E4277E"/>
    <w:rsid w:val="00E81B38"/>
    <w:rsid w:val="00F4210A"/>
    <w:rsid w:val="00F81071"/>
    <w:rsid w:val="00FF7B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C2EF47"/>
  <w15:chartTrackingRefBased/>
  <w15:docId w15:val="{9B2A0B2A-1205-432B-BD5D-9D43A0848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427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27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27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27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27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27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27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27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27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7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27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27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27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27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27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27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27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277E"/>
    <w:rPr>
      <w:rFonts w:eastAsiaTheme="majorEastAsia" w:cstheme="majorBidi"/>
      <w:color w:val="272727" w:themeColor="text1" w:themeTint="D8"/>
    </w:rPr>
  </w:style>
  <w:style w:type="paragraph" w:styleId="Title">
    <w:name w:val="Title"/>
    <w:basedOn w:val="Normal"/>
    <w:next w:val="Normal"/>
    <w:link w:val="TitleChar"/>
    <w:uiPriority w:val="10"/>
    <w:qFormat/>
    <w:rsid w:val="00E427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7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27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27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277E"/>
    <w:pPr>
      <w:spacing w:before="160"/>
      <w:jc w:val="center"/>
    </w:pPr>
    <w:rPr>
      <w:i/>
      <w:iCs/>
      <w:color w:val="404040" w:themeColor="text1" w:themeTint="BF"/>
    </w:rPr>
  </w:style>
  <w:style w:type="character" w:customStyle="1" w:styleId="QuoteChar">
    <w:name w:val="Quote Char"/>
    <w:basedOn w:val="DefaultParagraphFont"/>
    <w:link w:val="Quote"/>
    <w:uiPriority w:val="29"/>
    <w:rsid w:val="00E4277E"/>
    <w:rPr>
      <w:i/>
      <w:iCs/>
      <w:color w:val="404040" w:themeColor="text1" w:themeTint="BF"/>
    </w:rPr>
  </w:style>
  <w:style w:type="paragraph" w:styleId="ListParagraph">
    <w:name w:val="List Paragraph"/>
    <w:basedOn w:val="Normal"/>
    <w:uiPriority w:val="34"/>
    <w:qFormat/>
    <w:rsid w:val="00E4277E"/>
    <w:pPr>
      <w:ind w:left="720"/>
      <w:contextualSpacing/>
    </w:pPr>
  </w:style>
  <w:style w:type="character" w:styleId="IntenseEmphasis">
    <w:name w:val="Intense Emphasis"/>
    <w:basedOn w:val="DefaultParagraphFont"/>
    <w:uiPriority w:val="21"/>
    <w:qFormat/>
    <w:rsid w:val="00E4277E"/>
    <w:rPr>
      <w:i/>
      <w:iCs/>
      <w:color w:val="0F4761" w:themeColor="accent1" w:themeShade="BF"/>
    </w:rPr>
  </w:style>
  <w:style w:type="paragraph" w:styleId="IntenseQuote">
    <w:name w:val="Intense Quote"/>
    <w:basedOn w:val="Normal"/>
    <w:next w:val="Normal"/>
    <w:link w:val="IntenseQuoteChar"/>
    <w:uiPriority w:val="30"/>
    <w:qFormat/>
    <w:rsid w:val="00E427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277E"/>
    <w:rPr>
      <w:i/>
      <w:iCs/>
      <w:color w:val="0F4761" w:themeColor="accent1" w:themeShade="BF"/>
    </w:rPr>
  </w:style>
  <w:style w:type="character" w:styleId="IntenseReference">
    <w:name w:val="Intense Reference"/>
    <w:basedOn w:val="DefaultParagraphFont"/>
    <w:uiPriority w:val="32"/>
    <w:qFormat/>
    <w:rsid w:val="00E4277E"/>
    <w:rPr>
      <w:b/>
      <w:bCs/>
      <w:smallCaps/>
      <w:color w:val="0F4761" w:themeColor="accent1" w:themeShade="BF"/>
      <w:spacing w:val="5"/>
    </w:rPr>
  </w:style>
  <w:style w:type="character" w:styleId="Hyperlink">
    <w:name w:val="Hyperlink"/>
    <w:basedOn w:val="DefaultParagraphFont"/>
    <w:uiPriority w:val="99"/>
    <w:unhideWhenUsed/>
    <w:rsid w:val="00143BD3"/>
    <w:rPr>
      <w:color w:val="467886" w:themeColor="hyperlink"/>
      <w:u w:val="single"/>
    </w:rPr>
  </w:style>
  <w:style w:type="character" w:styleId="UnresolvedMention">
    <w:name w:val="Unresolved Mention"/>
    <w:basedOn w:val="DefaultParagraphFont"/>
    <w:uiPriority w:val="99"/>
    <w:semiHidden/>
    <w:unhideWhenUsed/>
    <w:rsid w:val="00143BD3"/>
    <w:rPr>
      <w:color w:val="605E5C"/>
      <w:shd w:val="clear" w:color="auto" w:fill="E1DFDD"/>
    </w:rPr>
  </w:style>
  <w:style w:type="paragraph" w:styleId="BodyText">
    <w:name w:val="Body Text"/>
    <w:basedOn w:val="Normal"/>
    <w:link w:val="BodyTextChar"/>
    <w:uiPriority w:val="1"/>
    <w:qFormat/>
    <w:rsid w:val="00475409"/>
    <w:pPr>
      <w:widowControl w:val="0"/>
      <w:autoSpaceDE w:val="0"/>
      <w:autoSpaceDN w:val="0"/>
      <w:spacing w:after="0" w:line="240" w:lineRule="auto"/>
    </w:pPr>
    <w:rPr>
      <w:rFonts w:ascii="Calibri Light" w:eastAsia="Calibri Light" w:hAnsi="Calibri Light" w:cs="Calibri Light"/>
      <w:kern w:val="0"/>
      <w:lang w:eastAsia="en-GB" w:bidi="en-GB"/>
      <w14:ligatures w14:val="none"/>
    </w:rPr>
  </w:style>
  <w:style w:type="character" w:customStyle="1" w:styleId="BodyTextChar">
    <w:name w:val="Body Text Char"/>
    <w:basedOn w:val="DefaultParagraphFont"/>
    <w:link w:val="BodyText"/>
    <w:uiPriority w:val="1"/>
    <w:rsid w:val="00475409"/>
    <w:rPr>
      <w:rFonts w:ascii="Calibri Light" w:eastAsia="Calibri Light" w:hAnsi="Calibri Light" w:cs="Calibri Light"/>
      <w:kern w:val="0"/>
      <w:lang w:val="en-GB" w:eastAsia="en-GB" w:bidi="en-GB"/>
      <w14:ligatures w14:val="none"/>
    </w:rPr>
  </w:style>
  <w:style w:type="paragraph" w:styleId="Header">
    <w:name w:val="header"/>
    <w:basedOn w:val="Normal"/>
    <w:link w:val="HeaderChar"/>
    <w:uiPriority w:val="99"/>
    <w:unhideWhenUsed/>
    <w:rsid w:val="00CA70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0AD"/>
    <w:rPr>
      <w:lang w:val="en-GB"/>
    </w:rPr>
  </w:style>
  <w:style w:type="paragraph" w:styleId="Footer">
    <w:name w:val="footer"/>
    <w:basedOn w:val="Normal"/>
    <w:link w:val="FooterChar"/>
    <w:uiPriority w:val="99"/>
    <w:unhideWhenUsed/>
    <w:rsid w:val="00CA70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0A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984651">
      <w:bodyDiv w:val="1"/>
      <w:marLeft w:val="0"/>
      <w:marRight w:val="0"/>
      <w:marTop w:val="0"/>
      <w:marBottom w:val="0"/>
      <w:divBdr>
        <w:top w:val="none" w:sz="0" w:space="0" w:color="auto"/>
        <w:left w:val="none" w:sz="0" w:space="0" w:color="auto"/>
        <w:bottom w:val="none" w:sz="0" w:space="0" w:color="auto"/>
        <w:right w:val="none" w:sz="0" w:space="0" w:color="auto"/>
      </w:divBdr>
    </w:div>
    <w:div w:id="33042890">
      <w:bodyDiv w:val="1"/>
      <w:marLeft w:val="0"/>
      <w:marRight w:val="0"/>
      <w:marTop w:val="0"/>
      <w:marBottom w:val="0"/>
      <w:divBdr>
        <w:top w:val="none" w:sz="0" w:space="0" w:color="auto"/>
        <w:left w:val="none" w:sz="0" w:space="0" w:color="auto"/>
        <w:bottom w:val="none" w:sz="0" w:space="0" w:color="auto"/>
        <w:right w:val="none" w:sz="0" w:space="0" w:color="auto"/>
      </w:divBdr>
    </w:div>
    <w:div w:id="99494212">
      <w:bodyDiv w:val="1"/>
      <w:marLeft w:val="0"/>
      <w:marRight w:val="0"/>
      <w:marTop w:val="0"/>
      <w:marBottom w:val="0"/>
      <w:divBdr>
        <w:top w:val="none" w:sz="0" w:space="0" w:color="auto"/>
        <w:left w:val="none" w:sz="0" w:space="0" w:color="auto"/>
        <w:bottom w:val="none" w:sz="0" w:space="0" w:color="auto"/>
        <w:right w:val="none" w:sz="0" w:space="0" w:color="auto"/>
      </w:divBdr>
    </w:div>
    <w:div w:id="307170091">
      <w:bodyDiv w:val="1"/>
      <w:marLeft w:val="0"/>
      <w:marRight w:val="0"/>
      <w:marTop w:val="0"/>
      <w:marBottom w:val="0"/>
      <w:divBdr>
        <w:top w:val="none" w:sz="0" w:space="0" w:color="auto"/>
        <w:left w:val="none" w:sz="0" w:space="0" w:color="auto"/>
        <w:bottom w:val="none" w:sz="0" w:space="0" w:color="auto"/>
        <w:right w:val="none" w:sz="0" w:space="0" w:color="auto"/>
      </w:divBdr>
      <w:divsChild>
        <w:div w:id="164515091">
          <w:marLeft w:val="0"/>
          <w:marRight w:val="0"/>
          <w:marTop w:val="0"/>
          <w:marBottom w:val="0"/>
          <w:divBdr>
            <w:top w:val="none" w:sz="0" w:space="0" w:color="auto"/>
            <w:left w:val="none" w:sz="0" w:space="0" w:color="auto"/>
            <w:bottom w:val="none" w:sz="0" w:space="0" w:color="auto"/>
            <w:right w:val="none" w:sz="0" w:space="0" w:color="auto"/>
          </w:divBdr>
        </w:div>
        <w:div w:id="2117215025">
          <w:marLeft w:val="0"/>
          <w:marRight w:val="0"/>
          <w:marTop w:val="0"/>
          <w:marBottom w:val="0"/>
          <w:divBdr>
            <w:top w:val="none" w:sz="0" w:space="0" w:color="auto"/>
            <w:left w:val="none" w:sz="0" w:space="0" w:color="auto"/>
            <w:bottom w:val="none" w:sz="0" w:space="0" w:color="auto"/>
            <w:right w:val="none" w:sz="0" w:space="0" w:color="auto"/>
          </w:divBdr>
        </w:div>
      </w:divsChild>
    </w:div>
    <w:div w:id="313795857">
      <w:bodyDiv w:val="1"/>
      <w:marLeft w:val="0"/>
      <w:marRight w:val="0"/>
      <w:marTop w:val="0"/>
      <w:marBottom w:val="0"/>
      <w:divBdr>
        <w:top w:val="none" w:sz="0" w:space="0" w:color="auto"/>
        <w:left w:val="none" w:sz="0" w:space="0" w:color="auto"/>
        <w:bottom w:val="none" w:sz="0" w:space="0" w:color="auto"/>
        <w:right w:val="none" w:sz="0" w:space="0" w:color="auto"/>
      </w:divBdr>
    </w:div>
    <w:div w:id="318585519">
      <w:bodyDiv w:val="1"/>
      <w:marLeft w:val="0"/>
      <w:marRight w:val="0"/>
      <w:marTop w:val="0"/>
      <w:marBottom w:val="0"/>
      <w:divBdr>
        <w:top w:val="none" w:sz="0" w:space="0" w:color="auto"/>
        <w:left w:val="none" w:sz="0" w:space="0" w:color="auto"/>
        <w:bottom w:val="none" w:sz="0" w:space="0" w:color="auto"/>
        <w:right w:val="none" w:sz="0" w:space="0" w:color="auto"/>
      </w:divBdr>
    </w:div>
    <w:div w:id="433019231">
      <w:bodyDiv w:val="1"/>
      <w:marLeft w:val="0"/>
      <w:marRight w:val="0"/>
      <w:marTop w:val="0"/>
      <w:marBottom w:val="0"/>
      <w:divBdr>
        <w:top w:val="none" w:sz="0" w:space="0" w:color="auto"/>
        <w:left w:val="none" w:sz="0" w:space="0" w:color="auto"/>
        <w:bottom w:val="none" w:sz="0" w:space="0" w:color="auto"/>
        <w:right w:val="none" w:sz="0" w:space="0" w:color="auto"/>
      </w:divBdr>
    </w:div>
    <w:div w:id="466359676">
      <w:bodyDiv w:val="1"/>
      <w:marLeft w:val="0"/>
      <w:marRight w:val="0"/>
      <w:marTop w:val="0"/>
      <w:marBottom w:val="0"/>
      <w:divBdr>
        <w:top w:val="none" w:sz="0" w:space="0" w:color="auto"/>
        <w:left w:val="none" w:sz="0" w:space="0" w:color="auto"/>
        <w:bottom w:val="none" w:sz="0" w:space="0" w:color="auto"/>
        <w:right w:val="none" w:sz="0" w:space="0" w:color="auto"/>
      </w:divBdr>
    </w:div>
    <w:div w:id="595290296">
      <w:bodyDiv w:val="1"/>
      <w:marLeft w:val="0"/>
      <w:marRight w:val="0"/>
      <w:marTop w:val="0"/>
      <w:marBottom w:val="0"/>
      <w:divBdr>
        <w:top w:val="none" w:sz="0" w:space="0" w:color="auto"/>
        <w:left w:val="none" w:sz="0" w:space="0" w:color="auto"/>
        <w:bottom w:val="none" w:sz="0" w:space="0" w:color="auto"/>
        <w:right w:val="none" w:sz="0" w:space="0" w:color="auto"/>
      </w:divBdr>
    </w:div>
    <w:div w:id="625701546">
      <w:bodyDiv w:val="1"/>
      <w:marLeft w:val="0"/>
      <w:marRight w:val="0"/>
      <w:marTop w:val="0"/>
      <w:marBottom w:val="0"/>
      <w:divBdr>
        <w:top w:val="none" w:sz="0" w:space="0" w:color="auto"/>
        <w:left w:val="none" w:sz="0" w:space="0" w:color="auto"/>
        <w:bottom w:val="none" w:sz="0" w:space="0" w:color="auto"/>
        <w:right w:val="none" w:sz="0" w:space="0" w:color="auto"/>
      </w:divBdr>
    </w:div>
    <w:div w:id="673335204">
      <w:bodyDiv w:val="1"/>
      <w:marLeft w:val="0"/>
      <w:marRight w:val="0"/>
      <w:marTop w:val="0"/>
      <w:marBottom w:val="0"/>
      <w:divBdr>
        <w:top w:val="none" w:sz="0" w:space="0" w:color="auto"/>
        <w:left w:val="none" w:sz="0" w:space="0" w:color="auto"/>
        <w:bottom w:val="none" w:sz="0" w:space="0" w:color="auto"/>
        <w:right w:val="none" w:sz="0" w:space="0" w:color="auto"/>
      </w:divBdr>
    </w:div>
    <w:div w:id="718942290">
      <w:bodyDiv w:val="1"/>
      <w:marLeft w:val="0"/>
      <w:marRight w:val="0"/>
      <w:marTop w:val="0"/>
      <w:marBottom w:val="0"/>
      <w:divBdr>
        <w:top w:val="none" w:sz="0" w:space="0" w:color="auto"/>
        <w:left w:val="none" w:sz="0" w:space="0" w:color="auto"/>
        <w:bottom w:val="none" w:sz="0" w:space="0" w:color="auto"/>
        <w:right w:val="none" w:sz="0" w:space="0" w:color="auto"/>
      </w:divBdr>
    </w:div>
    <w:div w:id="836920753">
      <w:bodyDiv w:val="1"/>
      <w:marLeft w:val="0"/>
      <w:marRight w:val="0"/>
      <w:marTop w:val="0"/>
      <w:marBottom w:val="0"/>
      <w:divBdr>
        <w:top w:val="none" w:sz="0" w:space="0" w:color="auto"/>
        <w:left w:val="none" w:sz="0" w:space="0" w:color="auto"/>
        <w:bottom w:val="none" w:sz="0" w:space="0" w:color="auto"/>
        <w:right w:val="none" w:sz="0" w:space="0" w:color="auto"/>
      </w:divBdr>
    </w:div>
    <w:div w:id="880944722">
      <w:bodyDiv w:val="1"/>
      <w:marLeft w:val="0"/>
      <w:marRight w:val="0"/>
      <w:marTop w:val="0"/>
      <w:marBottom w:val="0"/>
      <w:divBdr>
        <w:top w:val="none" w:sz="0" w:space="0" w:color="auto"/>
        <w:left w:val="none" w:sz="0" w:space="0" w:color="auto"/>
        <w:bottom w:val="none" w:sz="0" w:space="0" w:color="auto"/>
        <w:right w:val="none" w:sz="0" w:space="0" w:color="auto"/>
      </w:divBdr>
    </w:div>
    <w:div w:id="886449357">
      <w:bodyDiv w:val="1"/>
      <w:marLeft w:val="0"/>
      <w:marRight w:val="0"/>
      <w:marTop w:val="0"/>
      <w:marBottom w:val="0"/>
      <w:divBdr>
        <w:top w:val="none" w:sz="0" w:space="0" w:color="auto"/>
        <w:left w:val="none" w:sz="0" w:space="0" w:color="auto"/>
        <w:bottom w:val="none" w:sz="0" w:space="0" w:color="auto"/>
        <w:right w:val="none" w:sz="0" w:space="0" w:color="auto"/>
      </w:divBdr>
    </w:div>
    <w:div w:id="957224032">
      <w:bodyDiv w:val="1"/>
      <w:marLeft w:val="0"/>
      <w:marRight w:val="0"/>
      <w:marTop w:val="0"/>
      <w:marBottom w:val="0"/>
      <w:divBdr>
        <w:top w:val="none" w:sz="0" w:space="0" w:color="auto"/>
        <w:left w:val="none" w:sz="0" w:space="0" w:color="auto"/>
        <w:bottom w:val="none" w:sz="0" w:space="0" w:color="auto"/>
        <w:right w:val="none" w:sz="0" w:space="0" w:color="auto"/>
      </w:divBdr>
    </w:div>
    <w:div w:id="1059980733">
      <w:bodyDiv w:val="1"/>
      <w:marLeft w:val="0"/>
      <w:marRight w:val="0"/>
      <w:marTop w:val="0"/>
      <w:marBottom w:val="0"/>
      <w:divBdr>
        <w:top w:val="none" w:sz="0" w:space="0" w:color="auto"/>
        <w:left w:val="none" w:sz="0" w:space="0" w:color="auto"/>
        <w:bottom w:val="none" w:sz="0" w:space="0" w:color="auto"/>
        <w:right w:val="none" w:sz="0" w:space="0" w:color="auto"/>
      </w:divBdr>
    </w:div>
    <w:div w:id="1081558987">
      <w:bodyDiv w:val="1"/>
      <w:marLeft w:val="0"/>
      <w:marRight w:val="0"/>
      <w:marTop w:val="0"/>
      <w:marBottom w:val="0"/>
      <w:divBdr>
        <w:top w:val="none" w:sz="0" w:space="0" w:color="auto"/>
        <w:left w:val="none" w:sz="0" w:space="0" w:color="auto"/>
        <w:bottom w:val="none" w:sz="0" w:space="0" w:color="auto"/>
        <w:right w:val="none" w:sz="0" w:space="0" w:color="auto"/>
      </w:divBdr>
    </w:div>
    <w:div w:id="1188986352">
      <w:bodyDiv w:val="1"/>
      <w:marLeft w:val="0"/>
      <w:marRight w:val="0"/>
      <w:marTop w:val="0"/>
      <w:marBottom w:val="0"/>
      <w:divBdr>
        <w:top w:val="none" w:sz="0" w:space="0" w:color="auto"/>
        <w:left w:val="none" w:sz="0" w:space="0" w:color="auto"/>
        <w:bottom w:val="none" w:sz="0" w:space="0" w:color="auto"/>
        <w:right w:val="none" w:sz="0" w:space="0" w:color="auto"/>
      </w:divBdr>
    </w:div>
    <w:div w:id="1221136168">
      <w:bodyDiv w:val="1"/>
      <w:marLeft w:val="0"/>
      <w:marRight w:val="0"/>
      <w:marTop w:val="0"/>
      <w:marBottom w:val="0"/>
      <w:divBdr>
        <w:top w:val="none" w:sz="0" w:space="0" w:color="auto"/>
        <w:left w:val="none" w:sz="0" w:space="0" w:color="auto"/>
        <w:bottom w:val="none" w:sz="0" w:space="0" w:color="auto"/>
        <w:right w:val="none" w:sz="0" w:space="0" w:color="auto"/>
      </w:divBdr>
    </w:div>
    <w:div w:id="1304919662">
      <w:bodyDiv w:val="1"/>
      <w:marLeft w:val="0"/>
      <w:marRight w:val="0"/>
      <w:marTop w:val="0"/>
      <w:marBottom w:val="0"/>
      <w:divBdr>
        <w:top w:val="none" w:sz="0" w:space="0" w:color="auto"/>
        <w:left w:val="none" w:sz="0" w:space="0" w:color="auto"/>
        <w:bottom w:val="none" w:sz="0" w:space="0" w:color="auto"/>
        <w:right w:val="none" w:sz="0" w:space="0" w:color="auto"/>
      </w:divBdr>
      <w:divsChild>
        <w:div w:id="145977734">
          <w:marLeft w:val="0"/>
          <w:marRight w:val="0"/>
          <w:marTop w:val="0"/>
          <w:marBottom w:val="0"/>
          <w:divBdr>
            <w:top w:val="none" w:sz="0" w:space="0" w:color="auto"/>
            <w:left w:val="none" w:sz="0" w:space="0" w:color="auto"/>
            <w:bottom w:val="none" w:sz="0" w:space="0" w:color="auto"/>
            <w:right w:val="none" w:sz="0" w:space="0" w:color="auto"/>
          </w:divBdr>
        </w:div>
        <w:div w:id="1106190904">
          <w:marLeft w:val="0"/>
          <w:marRight w:val="0"/>
          <w:marTop w:val="0"/>
          <w:marBottom w:val="0"/>
          <w:divBdr>
            <w:top w:val="none" w:sz="0" w:space="0" w:color="auto"/>
            <w:left w:val="none" w:sz="0" w:space="0" w:color="auto"/>
            <w:bottom w:val="none" w:sz="0" w:space="0" w:color="auto"/>
            <w:right w:val="none" w:sz="0" w:space="0" w:color="auto"/>
          </w:divBdr>
        </w:div>
      </w:divsChild>
    </w:div>
    <w:div w:id="1326589604">
      <w:bodyDiv w:val="1"/>
      <w:marLeft w:val="0"/>
      <w:marRight w:val="0"/>
      <w:marTop w:val="0"/>
      <w:marBottom w:val="0"/>
      <w:divBdr>
        <w:top w:val="none" w:sz="0" w:space="0" w:color="auto"/>
        <w:left w:val="none" w:sz="0" w:space="0" w:color="auto"/>
        <w:bottom w:val="none" w:sz="0" w:space="0" w:color="auto"/>
        <w:right w:val="none" w:sz="0" w:space="0" w:color="auto"/>
      </w:divBdr>
    </w:div>
    <w:div w:id="1398550368">
      <w:bodyDiv w:val="1"/>
      <w:marLeft w:val="0"/>
      <w:marRight w:val="0"/>
      <w:marTop w:val="0"/>
      <w:marBottom w:val="0"/>
      <w:divBdr>
        <w:top w:val="none" w:sz="0" w:space="0" w:color="auto"/>
        <w:left w:val="none" w:sz="0" w:space="0" w:color="auto"/>
        <w:bottom w:val="none" w:sz="0" w:space="0" w:color="auto"/>
        <w:right w:val="none" w:sz="0" w:space="0" w:color="auto"/>
      </w:divBdr>
    </w:div>
    <w:div w:id="1442727889">
      <w:bodyDiv w:val="1"/>
      <w:marLeft w:val="0"/>
      <w:marRight w:val="0"/>
      <w:marTop w:val="0"/>
      <w:marBottom w:val="0"/>
      <w:divBdr>
        <w:top w:val="none" w:sz="0" w:space="0" w:color="auto"/>
        <w:left w:val="none" w:sz="0" w:space="0" w:color="auto"/>
        <w:bottom w:val="none" w:sz="0" w:space="0" w:color="auto"/>
        <w:right w:val="none" w:sz="0" w:space="0" w:color="auto"/>
      </w:divBdr>
      <w:divsChild>
        <w:div w:id="1109590852">
          <w:marLeft w:val="0"/>
          <w:marRight w:val="0"/>
          <w:marTop w:val="0"/>
          <w:marBottom w:val="0"/>
          <w:divBdr>
            <w:top w:val="none" w:sz="0" w:space="0" w:color="auto"/>
            <w:left w:val="none" w:sz="0" w:space="0" w:color="auto"/>
            <w:bottom w:val="none" w:sz="0" w:space="0" w:color="auto"/>
            <w:right w:val="none" w:sz="0" w:space="0" w:color="auto"/>
          </w:divBdr>
        </w:div>
        <w:div w:id="1628198830">
          <w:marLeft w:val="0"/>
          <w:marRight w:val="0"/>
          <w:marTop w:val="0"/>
          <w:marBottom w:val="0"/>
          <w:divBdr>
            <w:top w:val="none" w:sz="0" w:space="0" w:color="auto"/>
            <w:left w:val="none" w:sz="0" w:space="0" w:color="auto"/>
            <w:bottom w:val="none" w:sz="0" w:space="0" w:color="auto"/>
            <w:right w:val="none" w:sz="0" w:space="0" w:color="auto"/>
          </w:divBdr>
        </w:div>
        <w:div w:id="1191257097">
          <w:marLeft w:val="0"/>
          <w:marRight w:val="0"/>
          <w:marTop w:val="0"/>
          <w:marBottom w:val="0"/>
          <w:divBdr>
            <w:top w:val="none" w:sz="0" w:space="0" w:color="auto"/>
            <w:left w:val="none" w:sz="0" w:space="0" w:color="auto"/>
            <w:bottom w:val="none" w:sz="0" w:space="0" w:color="auto"/>
            <w:right w:val="none" w:sz="0" w:space="0" w:color="auto"/>
          </w:divBdr>
        </w:div>
        <w:div w:id="91560908">
          <w:marLeft w:val="0"/>
          <w:marRight w:val="0"/>
          <w:marTop w:val="0"/>
          <w:marBottom w:val="0"/>
          <w:divBdr>
            <w:top w:val="none" w:sz="0" w:space="0" w:color="auto"/>
            <w:left w:val="none" w:sz="0" w:space="0" w:color="auto"/>
            <w:bottom w:val="none" w:sz="0" w:space="0" w:color="auto"/>
            <w:right w:val="none" w:sz="0" w:space="0" w:color="auto"/>
          </w:divBdr>
        </w:div>
        <w:div w:id="1762484907">
          <w:marLeft w:val="0"/>
          <w:marRight w:val="0"/>
          <w:marTop w:val="0"/>
          <w:marBottom w:val="0"/>
          <w:divBdr>
            <w:top w:val="none" w:sz="0" w:space="0" w:color="auto"/>
            <w:left w:val="none" w:sz="0" w:space="0" w:color="auto"/>
            <w:bottom w:val="none" w:sz="0" w:space="0" w:color="auto"/>
            <w:right w:val="none" w:sz="0" w:space="0" w:color="auto"/>
          </w:divBdr>
        </w:div>
        <w:div w:id="1607232720">
          <w:marLeft w:val="0"/>
          <w:marRight w:val="0"/>
          <w:marTop w:val="0"/>
          <w:marBottom w:val="0"/>
          <w:divBdr>
            <w:top w:val="none" w:sz="0" w:space="0" w:color="auto"/>
            <w:left w:val="none" w:sz="0" w:space="0" w:color="auto"/>
            <w:bottom w:val="none" w:sz="0" w:space="0" w:color="auto"/>
            <w:right w:val="none" w:sz="0" w:space="0" w:color="auto"/>
          </w:divBdr>
        </w:div>
        <w:div w:id="157618745">
          <w:marLeft w:val="0"/>
          <w:marRight w:val="0"/>
          <w:marTop w:val="0"/>
          <w:marBottom w:val="0"/>
          <w:divBdr>
            <w:top w:val="none" w:sz="0" w:space="0" w:color="auto"/>
            <w:left w:val="none" w:sz="0" w:space="0" w:color="auto"/>
            <w:bottom w:val="none" w:sz="0" w:space="0" w:color="auto"/>
            <w:right w:val="none" w:sz="0" w:space="0" w:color="auto"/>
          </w:divBdr>
        </w:div>
        <w:div w:id="375741868">
          <w:marLeft w:val="0"/>
          <w:marRight w:val="0"/>
          <w:marTop w:val="0"/>
          <w:marBottom w:val="0"/>
          <w:divBdr>
            <w:top w:val="none" w:sz="0" w:space="0" w:color="auto"/>
            <w:left w:val="none" w:sz="0" w:space="0" w:color="auto"/>
            <w:bottom w:val="none" w:sz="0" w:space="0" w:color="auto"/>
            <w:right w:val="none" w:sz="0" w:space="0" w:color="auto"/>
          </w:divBdr>
        </w:div>
        <w:div w:id="616375143">
          <w:marLeft w:val="0"/>
          <w:marRight w:val="0"/>
          <w:marTop w:val="0"/>
          <w:marBottom w:val="0"/>
          <w:divBdr>
            <w:top w:val="none" w:sz="0" w:space="0" w:color="auto"/>
            <w:left w:val="none" w:sz="0" w:space="0" w:color="auto"/>
            <w:bottom w:val="none" w:sz="0" w:space="0" w:color="auto"/>
            <w:right w:val="none" w:sz="0" w:space="0" w:color="auto"/>
          </w:divBdr>
        </w:div>
        <w:div w:id="1162089886">
          <w:marLeft w:val="0"/>
          <w:marRight w:val="0"/>
          <w:marTop w:val="0"/>
          <w:marBottom w:val="0"/>
          <w:divBdr>
            <w:top w:val="none" w:sz="0" w:space="0" w:color="auto"/>
            <w:left w:val="none" w:sz="0" w:space="0" w:color="auto"/>
            <w:bottom w:val="none" w:sz="0" w:space="0" w:color="auto"/>
            <w:right w:val="none" w:sz="0" w:space="0" w:color="auto"/>
          </w:divBdr>
        </w:div>
        <w:div w:id="1616016190">
          <w:marLeft w:val="0"/>
          <w:marRight w:val="0"/>
          <w:marTop w:val="0"/>
          <w:marBottom w:val="0"/>
          <w:divBdr>
            <w:top w:val="none" w:sz="0" w:space="0" w:color="auto"/>
            <w:left w:val="none" w:sz="0" w:space="0" w:color="auto"/>
            <w:bottom w:val="none" w:sz="0" w:space="0" w:color="auto"/>
            <w:right w:val="none" w:sz="0" w:space="0" w:color="auto"/>
          </w:divBdr>
        </w:div>
        <w:div w:id="941649516">
          <w:marLeft w:val="0"/>
          <w:marRight w:val="0"/>
          <w:marTop w:val="0"/>
          <w:marBottom w:val="0"/>
          <w:divBdr>
            <w:top w:val="none" w:sz="0" w:space="0" w:color="auto"/>
            <w:left w:val="none" w:sz="0" w:space="0" w:color="auto"/>
            <w:bottom w:val="none" w:sz="0" w:space="0" w:color="auto"/>
            <w:right w:val="none" w:sz="0" w:space="0" w:color="auto"/>
          </w:divBdr>
        </w:div>
        <w:div w:id="1446340722">
          <w:marLeft w:val="0"/>
          <w:marRight w:val="0"/>
          <w:marTop w:val="0"/>
          <w:marBottom w:val="0"/>
          <w:divBdr>
            <w:top w:val="none" w:sz="0" w:space="0" w:color="auto"/>
            <w:left w:val="none" w:sz="0" w:space="0" w:color="auto"/>
            <w:bottom w:val="none" w:sz="0" w:space="0" w:color="auto"/>
            <w:right w:val="none" w:sz="0" w:space="0" w:color="auto"/>
          </w:divBdr>
        </w:div>
        <w:div w:id="257562210">
          <w:marLeft w:val="0"/>
          <w:marRight w:val="0"/>
          <w:marTop w:val="0"/>
          <w:marBottom w:val="0"/>
          <w:divBdr>
            <w:top w:val="none" w:sz="0" w:space="0" w:color="auto"/>
            <w:left w:val="none" w:sz="0" w:space="0" w:color="auto"/>
            <w:bottom w:val="none" w:sz="0" w:space="0" w:color="auto"/>
            <w:right w:val="none" w:sz="0" w:space="0" w:color="auto"/>
          </w:divBdr>
        </w:div>
        <w:div w:id="966469898">
          <w:marLeft w:val="0"/>
          <w:marRight w:val="0"/>
          <w:marTop w:val="0"/>
          <w:marBottom w:val="0"/>
          <w:divBdr>
            <w:top w:val="none" w:sz="0" w:space="0" w:color="auto"/>
            <w:left w:val="none" w:sz="0" w:space="0" w:color="auto"/>
            <w:bottom w:val="none" w:sz="0" w:space="0" w:color="auto"/>
            <w:right w:val="none" w:sz="0" w:space="0" w:color="auto"/>
          </w:divBdr>
        </w:div>
        <w:div w:id="1911423748">
          <w:marLeft w:val="0"/>
          <w:marRight w:val="0"/>
          <w:marTop w:val="0"/>
          <w:marBottom w:val="0"/>
          <w:divBdr>
            <w:top w:val="none" w:sz="0" w:space="0" w:color="auto"/>
            <w:left w:val="none" w:sz="0" w:space="0" w:color="auto"/>
            <w:bottom w:val="none" w:sz="0" w:space="0" w:color="auto"/>
            <w:right w:val="none" w:sz="0" w:space="0" w:color="auto"/>
          </w:divBdr>
        </w:div>
        <w:div w:id="806704052">
          <w:marLeft w:val="0"/>
          <w:marRight w:val="0"/>
          <w:marTop w:val="0"/>
          <w:marBottom w:val="0"/>
          <w:divBdr>
            <w:top w:val="none" w:sz="0" w:space="0" w:color="auto"/>
            <w:left w:val="none" w:sz="0" w:space="0" w:color="auto"/>
            <w:bottom w:val="none" w:sz="0" w:space="0" w:color="auto"/>
            <w:right w:val="none" w:sz="0" w:space="0" w:color="auto"/>
          </w:divBdr>
        </w:div>
        <w:div w:id="851990605">
          <w:marLeft w:val="0"/>
          <w:marRight w:val="0"/>
          <w:marTop w:val="0"/>
          <w:marBottom w:val="0"/>
          <w:divBdr>
            <w:top w:val="none" w:sz="0" w:space="0" w:color="auto"/>
            <w:left w:val="none" w:sz="0" w:space="0" w:color="auto"/>
            <w:bottom w:val="none" w:sz="0" w:space="0" w:color="auto"/>
            <w:right w:val="none" w:sz="0" w:space="0" w:color="auto"/>
          </w:divBdr>
        </w:div>
        <w:div w:id="855654569">
          <w:marLeft w:val="0"/>
          <w:marRight w:val="0"/>
          <w:marTop w:val="0"/>
          <w:marBottom w:val="0"/>
          <w:divBdr>
            <w:top w:val="none" w:sz="0" w:space="0" w:color="auto"/>
            <w:left w:val="none" w:sz="0" w:space="0" w:color="auto"/>
            <w:bottom w:val="none" w:sz="0" w:space="0" w:color="auto"/>
            <w:right w:val="none" w:sz="0" w:space="0" w:color="auto"/>
          </w:divBdr>
        </w:div>
        <w:div w:id="882865844">
          <w:marLeft w:val="0"/>
          <w:marRight w:val="0"/>
          <w:marTop w:val="0"/>
          <w:marBottom w:val="0"/>
          <w:divBdr>
            <w:top w:val="none" w:sz="0" w:space="0" w:color="auto"/>
            <w:left w:val="none" w:sz="0" w:space="0" w:color="auto"/>
            <w:bottom w:val="none" w:sz="0" w:space="0" w:color="auto"/>
            <w:right w:val="none" w:sz="0" w:space="0" w:color="auto"/>
          </w:divBdr>
        </w:div>
        <w:div w:id="2128741997">
          <w:marLeft w:val="0"/>
          <w:marRight w:val="0"/>
          <w:marTop w:val="0"/>
          <w:marBottom w:val="0"/>
          <w:divBdr>
            <w:top w:val="none" w:sz="0" w:space="0" w:color="auto"/>
            <w:left w:val="none" w:sz="0" w:space="0" w:color="auto"/>
            <w:bottom w:val="none" w:sz="0" w:space="0" w:color="auto"/>
            <w:right w:val="none" w:sz="0" w:space="0" w:color="auto"/>
          </w:divBdr>
        </w:div>
        <w:div w:id="505218254">
          <w:marLeft w:val="0"/>
          <w:marRight w:val="0"/>
          <w:marTop w:val="0"/>
          <w:marBottom w:val="0"/>
          <w:divBdr>
            <w:top w:val="none" w:sz="0" w:space="0" w:color="auto"/>
            <w:left w:val="none" w:sz="0" w:space="0" w:color="auto"/>
            <w:bottom w:val="none" w:sz="0" w:space="0" w:color="auto"/>
            <w:right w:val="none" w:sz="0" w:space="0" w:color="auto"/>
          </w:divBdr>
        </w:div>
        <w:div w:id="1605336224">
          <w:marLeft w:val="0"/>
          <w:marRight w:val="0"/>
          <w:marTop w:val="0"/>
          <w:marBottom w:val="0"/>
          <w:divBdr>
            <w:top w:val="none" w:sz="0" w:space="0" w:color="auto"/>
            <w:left w:val="none" w:sz="0" w:space="0" w:color="auto"/>
            <w:bottom w:val="none" w:sz="0" w:space="0" w:color="auto"/>
            <w:right w:val="none" w:sz="0" w:space="0" w:color="auto"/>
          </w:divBdr>
        </w:div>
        <w:div w:id="1146780864">
          <w:marLeft w:val="0"/>
          <w:marRight w:val="0"/>
          <w:marTop w:val="0"/>
          <w:marBottom w:val="0"/>
          <w:divBdr>
            <w:top w:val="none" w:sz="0" w:space="0" w:color="auto"/>
            <w:left w:val="none" w:sz="0" w:space="0" w:color="auto"/>
            <w:bottom w:val="none" w:sz="0" w:space="0" w:color="auto"/>
            <w:right w:val="none" w:sz="0" w:space="0" w:color="auto"/>
          </w:divBdr>
        </w:div>
        <w:div w:id="205921824">
          <w:marLeft w:val="0"/>
          <w:marRight w:val="0"/>
          <w:marTop w:val="0"/>
          <w:marBottom w:val="0"/>
          <w:divBdr>
            <w:top w:val="none" w:sz="0" w:space="0" w:color="auto"/>
            <w:left w:val="none" w:sz="0" w:space="0" w:color="auto"/>
            <w:bottom w:val="none" w:sz="0" w:space="0" w:color="auto"/>
            <w:right w:val="none" w:sz="0" w:space="0" w:color="auto"/>
          </w:divBdr>
        </w:div>
        <w:div w:id="977876159">
          <w:marLeft w:val="0"/>
          <w:marRight w:val="0"/>
          <w:marTop w:val="0"/>
          <w:marBottom w:val="0"/>
          <w:divBdr>
            <w:top w:val="none" w:sz="0" w:space="0" w:color="auto"/>
            <w:left w:val="none" w:sz="0" w:space="0" w:color="auto"/>
            <w:bottom w:val="none" w:sz="0" w:space="0" w:color="auto"/>
            <w:right w:val="none" w:sz="0" w:space="0" w:color="auto"/>
          </w:divBdr>
        </w:div>
        <w:div w:id="627201863">
          <w:marLeft w:val="0"/>
          <w:marRight w:val="0"/>
          <w:marTop w:val="0"/>
          <w:marBottom w:val="0"/>
          <w:divBdr>
            <w:top w:val="none" w:sz="0" w:space="0" w:color="auto"/>
            <w:left w:val="none" w:sz="0" w:space="0" w:color="auto"/>
            <w:bottom w:val="none" w:sz="0" w:space="0" w:color="auto"/>
            <w:right w:val="none" w:sz="0" w:space="0" w:color="auto"/>
          </w:divBdr>
        </w:div>
        <w:div w:id="1459254871">
          <w:marLeft w:val="0"/>
          <w:marRight w:val="0"/>
          <w:marTop w:val="0"/>
          <w:marBottom w:val="0"/>
          <w:divBdr>
            <w:top w:val="none" w:sz="0" w:space="0" w:color="auto"/>
            <w:left w:val="none" w:sz="0" w:space="0" w:color="auto"/>
            <w:bottom w:val="none" w:sz="0" w:space="0" w:color="auto"/>
            <w:right w:val="none" w:sz="0" w:space="0" w:color="auto"/>
          </w:divBdr>
        </w:div>
        <w:div w:id="615793769">
          <w:marLeft w:val="0"/>
          <w:marRight w:val="0"/>
          <w:marTop w:val="0"/>
          <w:marBottom w:val="0"/>
          <w:divBdr>
            <w:top w:val="none" w:sz="0" w:space="0" w:color="auto"/>
            <w:left w:val="none" w:sz="0" w:space="0" w:color="auto"/>
            <w:bottom w:val="none" w:sz="0" w:space="0" w:color="auto"/>
            <w:right w:val="none" w:sz="0" w:space="0" w:color="auto"/>
          </w:divBdr>
        </w:div>
        <w:div w:id="480196033">
          <w:marLeft w:val="0"/>
          <w:marRight w:val="0"/>
          <w:marTop w:val="0"/>
          <w:marBottom w:val="0"/>
          <w:divBdr>
            <w:top w:val="none" w:sz="0" w:space="0" w:color="auto"/>
            <w:left w:val="none" w:sz="0" w:space="0" w:color="auto"/>
            <w:bottom w:val="none" w:sz="0" w:space="0" w:color="auto"/>
            <w:right w:val="none" w:sz="0" w:space="0" w:color="auto"/>
          </w:divBdr>
        </w:div>
      </w:divsChild>
    </w:div>
    <w:div w:id="1479180284">
      <w:bodyDiv w:val="1"/>
      <w:marLeft w:val="0"/>
      <w:marRight w:val="0"/>
      <w:marTop w:val="0"/>
      <w:marBottom w:val="0"/>
      <w:divBdr>
        <w:top w:val="none" w:sz="0" w:space="0" w:color="auto"/>
        <w:left w:val="none" w:sz="0" w:space="0" w:color="auto"/>
        <w:bottom w:val="none" w:sz="0" w:space="0" w:color="auto"/>
        <w:right w:val="none" w:sz="0" w:space="0" w:color="auto"/>
      </w:divBdr>
    </w:div>
    <w:div w:id="1518427353">
      <w:bodyDiv w:val="1"/>
      <w:marLeft w:val="0"/>
      <w:marRight w:val="0"/>
      <w:marTop w:val="0"/>
      <w:marBottom w:val="0"/>
      <w:divBdr>
        <w:top w:val="none" w:sz="0" w:space="0" w:color="auto"/>
        <w:left w:val="none" w:sz="0" w:space="0" w:color="auto"/>
        <w:bottom w:val="none" w:sz="0" w:space="0" w:color="auto"/>
        <w:right w:val="none" w:sz="0" w:space="0" w:color="auto"/>
      </w:divBdr>
    </w:div>
    <w:div w:id="1657026349">
      <w:bodyDiv w:val="1"/>
      <w:marLeft w:val="0"/>
      <w:marRight w:val="0"/>
      <w:marTop w:val="0"/>
      <w:marBottom w:val="0"/>
      <w:divBdr>
        <w:top w:val="none" w:sz="0" w:space="0" w:color="auto"/>
        <w:left w:val="none" w:sz="0" w:space="0" w:color="auto"/>
        <w:bottom w:val="none" w:sz="0" w:space="0" w:color="auto"/>
        <w:right w:val="none" w:sz="0" w:space="0" w:color="auto"/>
      </w:divBdr>
    </w:div>
    <w:div w:id="1662464746">
      <w:bodyDiv w:val="1"/>
      <w:marLeft w:val="0"/>
      <w:marRight w:val="0"/>
      <w:marTop w:val="0"/>
      <w:marBottom w:val="0"/>
      <w:divBdr>
        <w:top w:val="none" w:sz="0" w:space="0" w:color="auto"/>
        <w:left w:val="none" w:sz="0" w:space="0" w:color="auto"/>
        <w:bottom w:val="none" w:sz="0" w:space="0" w:color="auto"/>
        <w:right w:val="none" w:sz="0" w:space="0" w:color="auto"/>
      </w:divBdr>
    </w:div>
    <w:div w:id="1752464343">
      <w:bodyDiv w:val="1"/>
      <w:marLeft w:val="0"/>
      <w:marRight w:val="0"/>
      <w:marTop w:val="0"/>
      <w:marBottom w:val="0"/>
      <w:divBdr>
        <w:top w:val="none" w:sz="0" w:space="0" w:color="auto"/>
        <w:left w:val="none" w:sz="0" w:space="0" w:color="auto"/>
        <w:bottom w:val="none" w:sz="0" w:space="0" w:color="auto"/>
        <w:right w:val="none" w:sz="0" w:space="0" w:color="auto"/>
      </w:divBdr>
    </w:div>
    <w:div w:id="1849439644">
      <w:bodyDiv w:val="1"/>
      <w:marLeft w:val="0"/>
      <w:marRight w:val="0"/>
      <w:marTop w:val="0"/>
      <w:marBottom w:val="0"/>
      <w:divBdr>
        <w:top w:val="none" w:sz="0" w:space="0" w:color="auto"/>
        <w:left w:val="none" w:sz="0" w:space="0" w:color="auto"/>
        <w:bottom w:val="none" w:sz="0" w:space="0" w:color="auto"/>
        <w:right w:val="none" w:sz="0" w:space="0" w:color="auto"/>
      </w:divBdr>
    </w:div>
    <w:div w:id="1878809565">
      <w:bodyDiv w:val="1"/>
      <w:marLeft w:val="0"/>
      <w:marRight w:val="0"/>
      <w:marTop w:val="0"/>
      <w:marBottom w:val="0"/>
      <w:divBdr>
        <w:top w:val="none" w:sz="0" w:space="0" w:color="auto"/>
        <w:left w:val="none" w:sz="0" w:space="0" w:color="auto"/>
        <w:bottom w:val="none" w:sz="0" w:space="0" w:color="auto"/>
        <w:right w:val="none" w:sz="0" w:space="0" w:color="auto"/>
      </w:divBdr>
      <w:divsChild>
        <w:div w:id="909198749">
          <w:marLeft w:val="0"/>
          <w:marRight w:val="0"/>
          <w:marTop w:val="0"/>
          <w:marBottom w:val="0"/>
          <w:divBdr>
            <w:top w:val="none" w:sz="0" w:space="0" w:color="auto"/>
            <w:left w:val="none" w:sz="0" w:space="0" w:color="auto"/>
            <w:bottom w:val="none" w:sz="0" w:space="0" w:color="auto"/>
            <w:right w:val="none" w:sz="0" w:space="0" w:color="auto"/>
          </w:divBdr>
        </w:div>
        <w:div w:id="779761694">
          <w:marLeft w:val="0"/>
          <w:marRight w:val="0"/>
          <w:marTop w:val="0"/>
          <w:marBottom w:val="0"/>
          <w:divBdr>
            <w:top w:val="none" w:sz="0" w:space="0" w:color="auto"/>
            <w:left w:val="none" w:sz="0" w:space="0" w:color="auto"/>
            <w:bottom w:val="none" w:sz="0" w:space="0" w:color="auto"/>
            <w:right w:val="none" w:sz="0" w:space="0" w:color="auto"/>
          </w:divBdr>
        </w:div>
        <w:div w:id="1608654180">
          <w:marLeft w:val="0"/>
          <w:marRight w:val="0"/>
          <w:marTop w:val="0"/>
          <w:marBottom w:val="0"/>
          <w:divBdr>
            <w:top w:val="none" w:sz="0" w:space="0" w:color="auto"/>
            <w:left w:val="none" w:sz="0" w:space="0" w:color="auto"/>
            <w:bottom w:val="none" w:sz="0" w:space="0" w:color="auto"/>
            <w:right w:val="none" w:sz="0" w:space="0" w:color="auto"/>
          </w:divBdr>
        </w:div>
        <w:div w:id="685256960">
          <w:marLeft w:val="0"/>
          <w:marRight w:val="0"/>
          <w:marTop w:val="0"/>
          <w:marBottom w:val="0"/>
          <w:divBdr>
            <w:top w:val="none" w:sz="0" w:space="0" w:color="auto"/>
            <w:left w:val="none" w:sz="0" w:space="0" w:color="auto"/>
            <w:bottom w:val="none" w:sz="0" w:space="0" w:color="auto"/>
            <w:right w:val="none" w:sz="0" w:space="0" w:color="auto"/>
          </w:divBdr>
        </w:div>
        <w:div w:id="1983583150">
          <w:marLeft w:val="0"/>
          <w:marRight w:val="0"/>
          <w:marTop w:val="0"/>
          <w:marBottom w:val="0"/>
          <w:divBdr>
            <w:top w:val="none" w:sz="0" w:space="0" w:color="auto"/>
            <w:left w:val="none" w:sz="0" w:space="0" w:color="auto"/>
            <w:bottom w:val="none" w:sz="0" w:space="0" w:color="auto"/>
            <w:right w:val="none" w:sz="0" w:space="0" w:color="auto"/>
          </w:divBdr>
        </w:div>
        <w:div w:id="422147629">
          <w:marLeft w:val="0"/>
          <w:marRight w:val="0"/>
          <w:marTop w:val="0"/>
          <w:marBottom w:val="0"/>
          <w:divBdr>
            <w:top w:val="none" w:sz="0" w:space="0" w:color="auto"/>
            <w:left w:val="none" w:sz="0" w:space="0" w:color="auto"/>
            <w:bottom w:val="none" w:sz="0" w:space="0" w:color="auto"/>
            <w:right w:val="none" w:sz="0" w:space="0" w:color="auto"/>
          </w:divBdr>
        </w:div>
        <w:div w:id="977338477">
          <w:marLeft w:val="0"/>
          <w:marRight w:val="0"/>
          <w:marTop w:val="0"/>
          <w:marBottom w:val="0"/>
          <w:divBdr>
            <w:top w:val="none" w:sz="0" w:space="0" w:color="auto"/>
            <w:left w:val="none" w:sz="0" w:space="0" w:color="auto"/>
            <w:bottom w:val="none" w:sz="0" w:space="0" w:color="auto"/>
            <w:right w:val="none" w:sz="0" w:space="0" w:color="auto"/>
          </w:divBdr>
        </w:div>
        <w:div w:id="1363169142">
          <w:marLeft w:val="0"/>
          <w:marRight w:val="0"/>
          <w:marTop w:val="0"/>
          <w:marBottom w:val="0"/>
          <w:divBdr>
            <w:top w:val="none" w:sz="0" w:space="0" w:color="auto"/>
            <w:left w:val="none" w:sz="0" w:space="0" w:color="auto"/>
            <w:bottom w:val="none" w:sz="0" w:space="0" w:color="auto"/>
            <w:right w:val="none" w:sz="0" w:space="0" w:color="auto"/>
          </w:divBdr>
        </w:div>
        <w:div w:id="187302130">
          <w:marLeft w:val="0"/>
          <w:marRight w:val="0"/>
          <w:marTop w:val="0"/>
          <w:marBottom w:val="0"/>
          <w:divBdr>
            <w:top w:val="none" w:sz="0" w:space="0" w:color="auto"/>
            <w:left w:val="none" w:sz="0" w:space="0" w:color="auto"/>
            <w:bottom w:val="none" w:sz="0" w:space="0" w:color="auto"/>
            <w:right w:val="none" w:sz="0" w:space="0" w:color="auto"/>
          </w:divBdr>
        </w:div>
        <w:div w:id="1377317753">
          <w:marLeft w:val="0"/>
          <w:marRight w:val="0"/>
          <w:marTop w:val="0"/>
          <w:marBottom w:val="0"/>
          <w:divBdr>
            <w:top w:val="none" w:sz="0" w:space="0" w:color="auto"/>
            <w:left w:val="none" w:sz="0" w:space="0" w:color="auto"/>
            <w:bottom w:val="none" w:sz="0" w:space="0" w:color="auto"/>
            <w:right w:val="none" w:sz="0" w:space="0" w:color="auto"/>
          </w:divBdr>
        </w:div>
        <w:div w:id="1206137451">
          <w:marLeft w:val="0"/>
          <w:marRight w:val="0"/>
          <w:marTop w:val="0"/>
          <w:marBottom w:val="0"/>
          <w:divBdr>
            <w:top w:val="none" w:sz="0" w:space="0" w:color="auto"/>
            <w:left w:val="none" w:sz="0" w:space="0" w:color="auto"/>
            <w:bottom w:val="none" w:sz="0" w:space="0" w:color="auto"/>
            <w:right w:val="none" w:sz="0" w:space="0" w:color="auto"/>
          </w:divBdr>
        </w:div>
        <w:div w:id="1204054882">
          <w:marLeft w:val="0"/>
          <w:marRight w:val="0"/>
          <w:marTop w:val="0"/>
          <w:marBottom w:val="0"/>
          <w:divBdr>
            <w:top w:val="none" w:sz="0" w:space="0" w:color="auto"/>
            <w:left w:val="none" w:sz="0" w:space="0" w:color="auto"/>
            <w:bottom w:val="none" w:sz="0" w:space="0" w:color="auto"/>
            <w:right w:val="none" w:sz="0" w:space="0" w:color="auto"/>
          </w:divBdr>
        </w:div>
        <w:div w:id="821701581">
          <w:marLeft w:val="0"/>
          <w:marRight w:val="0"/>
          <w:marTop w:val="0"/>
          <w:marBottom w:val="0"/>
          <w:divBdr>
            <w:top w:val="none" w:sz="0" w:space="0" w:color="auto"/>
            <w:left w:val="none" w:sz="0" w:space="0" w:color="auto"/>
            <w:bottom w:val="none" w:sz="0" w:space="0" w:color="auto"/>
            <w:right w:val="none" w:sz="0" w:space="0" w:color="auto"/>
          </w:divBdr>
        </w:div>
        <w:div w:id="1509633822">
          <w:marLeft w:val="0"/>
          <w:marRight w:val="0"/>
          <w:marTop w:val="0"/>
          <w:marBottom w:val="0"/>
          <w:divBdr>
            <w:top w:val="none" w:sz="0" w:space="0" w:color="auto"/>
            <w:left w:val="none" w:sz="0" w:space="0" w:color="auto"/>
            <w:bottom w:val="none" w:sz="0" w:space="0" w:color="auto"/>
            <w:right w:val="none" w:sz="0" w:space="0" w:color="auto"/>
          </w:divBdr>
        </w:div>
        <w:div w:id="845481921">
          <w:marLeft w:val="0"/>
          <w:marRight w:val="0"/>
          <w:marTop w:val="0"/>
          <w:marBottom w:val="0"/>
          <w:divBdr>
            <w:top w:val="none" w:sz="0" w:space="0" w:color="auto"/>
            <w:left w:val="none" w:sz="0" w:space="0" w:color="auto"/>
            <w:bottom w:val="none" w:sz="0" w:space="0" w:color="auto"/>
            <w:right w:val="none" w:sz="0" w:space="0" w:color="auto"/>
          </w:divBdr>
        </w:div>
        <w:div w:id="2136944970">
          <w:marLeft w:val="0"/>
          <w:marRight w:val="0"/>
          <w:marTop w:val="0"/>
          <w:marBottom w:val="0"/>
          <w:divBdr>
            <w:top w:val="none" w:sz="0" w:space="0" w:color="auto"/>
            <w:left w:val="none" w:sz="0" w:space="0" w:color="auto"/>
            <w:bottom w:val="none" w:sz="0" w:space="0" w:color="auto"/>
            <w:right w:val="none" w:sz="0" w:space="0" w:color="auto"/>
          </w:divBdr>
        </w:div>
        <w:div w:id="7296112">
          <w:marLeft w:val="0"/>
          <w:marRight w:val="0"/>
          <w:marTop w:val="0"/>
          <w:marBottom w:val="0"/>
          <w:divBdr>
            <w:top w:val="none" w:sz="0" w:space="0" w:color="auto"/>
            <w:left w:val="none" w:sz="0" w:space="0" w:color="auto"/>
            <w:bottom w:val="none" w:sz="0" w:space="0" w:color="auto"/>
            <w:right w:val="none" w:sz="0" w:space="0" w:color="auto"/>
          </w:divBdr>
        </w:div>
        <w:div w:id="2089844590">
          <w:marLeft w:val="0"/>
          <w:marRight w:val="0"/>
          <w:marTop w:val="0"/>
          <w:marBottom w:val="0"/>
          <w:divBdr>
            <w:top w:val="none" w:sz="0" w:space="0" w:color="auto"/>
            <w:left w:val="none" w:sz="0" w:space="0" w:color="auto"/>
            <w:bottom w:val="none" w:sz="0" w:space="0" w:color="auto"/>
            <w:right w:val="none" w:sz="0" w:space="0" w:color="auto"/>
          </w:divBdr>
        </w:div>
        <w:div w:id="1497257714">
          <w:marLeft w:val="0"/>
          <w:marRight w:val="0"/>
          <w:marTop w:val="0"/>
          <w:marBottom w:val="0"/>
          <w:divBdr>
            <w:top w:val="none" w:sz="0" w:space="0" w:color="auto"/>
            <w:left w:val="none" w:sz="0" w:space="0" w:color="auto"/>
            <w:bottom w:val="none" w:sz="0" w:space="0" w:color="auto"/>
            <w:right w:val="none" w:sz="0" w:space="0" w:color="auto"/>
          </w:divBdr>
        </w:div>
        <w:div w:id="810366260">
          <w:marLeft w:val="0"/>
          <w:marRight w:val="0"/>
          <w:marTop w:val="0"/>
          <w:marBottom w:val="0"/>
          <w:divBdr>
            <w:top w:val="none" w:sz="0" w:space="0" w:color="auto"/>
            <w:left w:val="none" w:sz="0" w:space="0" w:color="auto"/>
            <w:bottom w:val="none" w:sz="0" w:space="0" w:color="auto"/>
            <w:right w:val="none" w:sz="0" w:space="0" w:color="auto"/>
          </w:divBdr>
        </w:div>
        <w:div w:id="726219419">
          <w:marLeft w:val="0"/>
          <w:marRight w:val="0"/>
          <w:marTop w:val="0"/>
          <w:marBottom w:val="0"/>
          <w:divBdr>
            <w:top w:val="none" w:sz="0" w:space="0" w:color="auto"/>
            <w:left w:val="none" w:sz="0" w:space="0" w:color="auto"/>
            <w:bottom w:val="none" w:sz="0" w:space="0" w:color="auto"/>
            <w:right w:val="none" w:sz="0" w:space="0" w:color="auto"/>
          </w:divBdr>
        </w:div>
        <w:div w:id="1708095111">
          <w:marLeft w:val="0"/>
          <w:marRight w:val="0"/>
          <w:marTop w:val="0"/>
          <w:marBottom w:val="0"/>
          <w:divBdr>
            <w:top w:val="none" w:sz="0" w:space="0" w:color="auto"/>
            <w:left w:val="none" w:sz="0" w:space="0" w:color="auto"/>
            <w:bottom w:val="none" w:sz="0" w:space="0" w:color="auto"/>
            <w:right w:val="none" w:sz="0" w:space="0" w:color="auto"/>
          </w:divBdr>
        </w:div>
        <w:div w:id="1054698894">
          <w:marLeft w:val="0"/>
          <w:marRight w:val="0"/>
          <w:marTop w:val="0"/>
          <w:marBottom w:val="0"/>
          <w:divBdr>
            <w:top w:val="none" w:sz="0" w:space="0" w:color="auto"/>
            <w:left w:val="none" w:sz="0" w:space="0" w:color="auto"/>
            <w:bottom w:val="none" w:sz="0" w:space="0" w:color="auto"/>
            <w:right w:val="none" w:sz="0" w:space="0" w:color="auto"/>
          </w:divBdr>
        </w:div>
        <w:div w:id="466902178">
          <w:marLeft w:val="0"/>
          <w:marRight w:val="0"/>
          <w:marTop w:val="0"/>
          <w:marBottom w:val="0"/>
          <w:divBdr>
            <w:top w:val="none" w:sz="0" w:space="0" w:color="auto"/>
            <w:left w:val="none" w:sz="0" w:space="0" w:color="auto"/>
            <w:bottom w:val="none" w:sz="0" w:space="0" w:color="auto"/>
            <w:right w:val="none" w:sz="0" w:space="0" w:color="auto"/>
          </w:divBdr>
        </w:div>
        <w:div w:id="1474905155">
          <w:marLeft w:val="0"/>
          <w:marRight w:val="0"/>
          <w:marTop w:val="0"/>
          <w:marBottom w:val="0"/>
          <w:divBdr>
            <w:top w:val="none" w:sz="0" w:space="0" w:color="auto"/>
            <w:left w:val="none" w:sz="0" w:space="0" w:color="auto"/>
            <w:bottom w:val="none" w:sz="0" w:space="0" w:color="auto"/>
            <w:right w:val="none" w:sz="0" w:space="0" w:color="auto"/>
          </w:divBdr>
        </w:div>
        <w:div w:id="1588271189">
          <w:marLeft w:val="0"/>
          <w:marRight w:val="0"/>
          <w:marTop w:val="0"/>
          <w:marBottom w:val="0"/>
          <w:divBdr>
            <w:top w:val="none" w:sz="0" w:space="0" w:color="auto"/>
            <w:left w:val="none" w:sz="0" w:space="0" w:color="auto"/>
            <w:bottom w:val="none" w:sz="0" w:space="0" w:color="auto"/>
            <w:right w:val="none" w:sz="0" w:space="0" w:color="auto"/>
          </w:divBdr>
        </w:div>
        <w:div w:id="387264330">
          <w:marLeft w:val="0"/>
          <w:marRight w:val="0"/>
          <w:marTop w:val="0"/>
          <w:marBottom w:val="0"/>
          <w:divBdr>
            <w:top w:val="none" w:sz="0" w:space="0" w:color="auto"/>
            <w:left w:val="none" w:sz="0" w:space="0" w:color="auto"/>
            <w:bottom w:val="none" w:sz="0" w:space="0" w:color="auto"/>
            <w:right w:val="none" w:sz="0" w:space="0" w:color="auto"/>
          </w:divBdr>
        </w:div>
        <w:div w:id="1193954993">
          <w:marLeft w:val="0"/>
          <w:marRight w:val="0"/>
          <w:marTop w:val="0"/>
          <w:marBottom w:val="0"/>
          <w:divBdr>
            <w:top w:val="none" w:sz="0" w:space="0" w:color="auto"/>
            <w:left w:val="none" w:sz="0" w:space="0" w:color="auto"/>
            <w:bottom w:val="none" w:sz="0" w:space="0" w:color="auto"/>
            <w:right w:val="none" w:sz="0" w:space="0" w:color="auto"/>
          </w:divBdr>
        </w:div>
        <w:div w:id="2081177287">
          <w:marLeft w:val="0"/>
          <w:marRight w:val="0"/>
          <w:marTop w:val="0"/>
          <w:marBottom w:val="0"/>
          <w:divBdr>
            <w:top w:val="none" w:sz="0" w:space="0" w:color="auto"/>
            <w:left w:val="none" w:sz="0" w:space="0" w:color="auto"/>
            <w:bottom w:val="none" w:sz="0" w:space="0" w:color="auto"/>
            <w:right w:val="none" w:sz="0" w:space="0" w:color="auto"/>
          </w:divBdr>
        </w:div>
        <w:div w:id="1742480726">
          <w:marLeft w:val="0"/>
          <w:marRight w:val="0"/>
          <w:marTop w:val="0"/>
          <w:marBottom w:val="0"/>
          <w:divBdr>
            <w:top w:val="none" w:sz="0" w:space="0" w:color="auto"/>
            <w:left w:val="none" w:sz="0" w:space="0" w:color="auto"/>
            <w:bottom w:val="none" w:sz="0" w:space="0" w:color="auto"/>
            <w:right w:val="none" w:sz="0" w:space="0" w:color="auto"/>
          </w:divBdr>
        </w:div>
      </w:divsChild>
    </w:div>
    <w:div w:id="1909609297">
      <w:bodyDiv w:val="1"/>
      <w:marLeft w:val="0"/>
      <w:marRight w:val="0"/>
      <w:marTop w:val="0"/>
      <w:marBottom w:val="0"/>
      <w:divBdr>
        <w:top w:val="none" w:sz="0" w:space="0" w:color="auto"/>
        <w:left w:val="none" w:sz="0" w:space="0" w:color="auto"/>
        <w:bottom w:val="none" w:sz="0" w:space="0" w:color="auto"/>
        <w:right w:val="none" w:sz="0" w:space="0" w:color="auto"/>
      </w:divBdr>
    </w:div>
    <w:div w:id="2052684682">
      <w:bodyDiv w:val="1"/>
      <w:marLeft w:val="0"/>
      <w:marRight w:val="0"/>
      <w:marTop w:val="0"/>
      <w:marBottom w:val="0"/>
      <w:divBdr>
        <w:top w:val="none" w:sz="0" w:space="0" w:color="auto"/>
        <w:left w:val="none" w:sz="0" w:space="0" w:color="auto"/>
        <w:bottom w:val="none" w:sz="0" w:space="0" w:color="auto"/>
        <w:right w:val="none" w:sz="0" w:space="0" w:color="auto"/>
      </w:divBdr>
    </w:div>
    <w:div w:id="2087679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136/bmjspcare-2011-000105.205" TargetMode="External"/><Relationship Id="rId18" Type="http://schemas.openxmlformats.org/officeDocument/2006/relationships/hyperlink" Target="https://doi.org/10.2147/rmhp.s309098" TargetMode="External"/><Relationship Id="rId26" Type="http://schemas.openxmlformats.org/officeDocument/2006/relationships/hyperlink" Target="https://doi.org/10.4324/9780429291296" TargetMode="External"/><Relationship Id="rId3" Type="http://schemas.openxmlformats.org/officeDocument/2006/relationships/settings" Target="settings.xml"/><Relationship Id="rId21" Type="http://schemas.openxmlformats.org/officeDocument/2006/relationships/hyperlink" Target="https://doi.org/10.1186/s13643-018-0852-0" TargetMode="External"/><Relationship Id="rId7" Type="http://schemas.openxmlformats.org/officeDocument/2006/relationships/image" Target="media/image1.jpeg"/><Relationship Id="rId12" Type="http://schemas.openxmlformats.org/officeDocument/2006/relationships/hyperlink" Target="https://clinicaterapeutica.it/ojs/index.php/1/article/view/393/249" TargetMode="External"/><Relationship Id="rId17" Type="http://schemas.openxmlformats.org/officeDocument/2006/relationships/hyperlink" Target="https://doi.org/10.1111/j.1753-4887.2010.00286.x" TargetMode="External"/><Relationship Id="rId25" Type="http://schemas.openxmlformats.org/officeDocument/2006/relationships/hyperlink" Target="https://doi.org/10.4324/9781003097433" TargetMode="External"/><Relationship Id="rId2" Type="http://schemas.openxmlformats.org/officeDocument/2006/relationships/styles" Target="styles.xml"/><Relationship Id="rId16" Type="http://schemas.openxmlformats.org/officeDocument/2006/relationships/hyperlink" Target="https://doi.org/10.14725/gjha.v4n2.a1517" TargetMode="External"/><Relationship Id="rId20" Type="http://schemas.openxmlformats.org/officeDocument/2006/relationships/hyperlink" Target="https://journals.lww.com/acsm-healthfitness/fulltext/2004/05000/impacting_cardiovascular_health_risks_with.5.aspx"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7/00115514-201503000-00005" TargetMode="External"/><Relationship Id="rId24" Type="http://schemas.openxmlformats.org/officeDocument/2006/relationships/hyperlink" Target="https://doi.org/10.1177/0840470417733360" TargetMode="External"/><Relationship Id="rId5" Type="http://schemas.openxmlformats.org/officeDocument/2006/relationships/footnotes" Target="footnotes.xml"/><Relationship Id="rId15" Type="http://schemas.openxmlformats.org/officeDocument/2006/relationships/hyperlink" Target="https://doi.org/10.1332/204080520x15874019623751" TargetMode="External"/><Relationship Id="rId23" Type="http://schemas.openxmlformats.org/officeDocument/2006/relationships/hyperlink" Target="https://doi.org/10.1186/s13690-020-00402-5" TargetMode="External"/><Relationship Id="rId28" Type="http://schemas.openxmlformats.org/officeDocument/2006/relationships/hyperlink" Target="https://doi.org/10.1016/b978-0-12-415766-8.00012-4" TargetMode="External"/><Relationship Id="rId10" Type="http://schemas.openxmlformats.org/officeDocument/2006/relationships/hyperlink" Target="https://doi.org/10.1016/j.ipm.2022.102942" TargetMode="External"/><Relationship Id="rId19" Type="http://schemas.openxmlformats.org/officeDocument/2006/relationships/hyperlink" Target="https://doi.org/10.3390/electronics10020143" TargetMode="External"/><Relationship Id="rId4" Type="http://schemas.openxmlformats.org/officeDocument/2006/relationships/webSettings" Target="webSettings.xml"/><Relationship Id="rId9" Type="http://schemas.openxmlformats.org/officeDocument/2006/relationships/hyperlink" Target="https://turcomat.org/index.php/turkbilmat/article/view/1735" TargetMode="External"/><Relationship Id="rId14" Type="http://schemas.openxmlformats.org/officeDocument/2006/relationships/hyperlink" Target="https://doi.org/10.1609/icwsm.v15i1.18055" TargetMode="External"/><Relationship Id="rId22" Type="http://schemas.openxmlformats.org/officeDocument/2006/relationships/hyperlink" Target="https://doi.org/10.4103/2277-9531.204742" TargetMode="External"/><Relationship Id="rId27" Type="http://schemas.openxmlformats.org/officeDocument/2006/relationships/hyperlink" Target="https://doi.org/10.1002/hast.64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12</Pages>
  <Words>3250</Words>
  <Characters>18527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 razv</dc:creator>
  <cp:keywords/>
  <dc:description/>
  <cp:lastModifiedBy>Marinel Biban</cp:lastModifiedBy>
  <cp:revision>38</cp:revision>
  <dcterms:created xsi:type="dcterms:W3CDTF">2024-04-09T10:58:00Z</dcterms:created>
  <dcterms:modified xsi:type="dcterms:W3CDTF">2024-05-02T19:58:00Z</dcterms:modified>
</cp:coreProperties>
</file>