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75FF1" w14:textId="1EDF30EE" w:rsidR="006F1EE4" w:rsidRDefault="006F1EE4" w:rsidP="00294FC9">
      <w:pPr>
        <w:pStyle w:val="TOCHeading"/>
        <w:jc w:val="both"/>
      </w:pPr>
    </w:p>
    <w:p w14:paraId="44F7AAAD" w14:textId="77777777" w:rsidR="005456E1" w:rsidRDefault="005456E1" w:rsidP="00294FC9">
      <w:pPr>
        <w:spacing w:line="360" w:lineRule="auto"/>
        <w:jc w:val="center"/>
      </w:pPr>
      <w:r>
        <w:rPr>
          <w:noProof/>
        </w:rPr>
        <w:drawing>
          <wp:inline distT="0" distB="0" distL="0" distR="0" wp14:anchorId="6EE75CA2" wp14:editId="3CD9AE8F">
            <wp:extent cx="3810330" cy="1627773"/>
            <wp:effectExtent l="0" t="0" r="0" b="0"/>
            <wp:docPr id="130636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0025" name="Picture 1306360025"/>
                    <pic:cNvPicPr/>
                  </pic:nvPicPr>
                  <pic:blipFill>
                    <a:blip r:embed="rId8">
                      <a:extLst>
                        <a:ext uri="{28A0092B-C50C-407E-A947-70E740481C1C}">
                          <a14:useLocalDpi xmlns:a14="http://schemas.microsoft.com/office/drawing/2010/main"/>
                        </a:ext>
                      </a:extLst>
                    </a:blip>
                    <a:stretch>
                      <a:fillRect/>
                    </a:stretch>
                  </pic:blipFill>
                  <pic:spPr>
                    <a:xfrm>
                      <a:off x="0" y="0"/>
                      <a:ext cx="3810330" cy="1627773"/>
                    </a:xfrm>
                    <a:prstGeom prst="rect">
                      <a:avLst/>
                    </a:prstGeom>
                  </pic:spPr>
                </pic:pic>
              </a:graphicData>
            </a:graphic>
          </wp:inline>
        </w:drawing>
      </w:r>
    </w:p>
    <w:p w14:paraId="6C5B97BF" w14:textId="77777777" w:rsidR="005456E1" w:rsidRDefault="005456E1" w:rsidP="00294FC9">
      <w:pPr>
        <w:spacing w:line="360" w:lineRule="auto"/>
        <w:jc w:val="center"/>
        <w:rPr>
          <w:lang w:val="en-US"/>
        </w:rPr>
      </w:pPr>
    </w:p>
    <w:p w14:paraId="10D95F9E" w14:textId="77777777" w:rsidR="005456E1" w:rsidRDefault="005456E1" w:rsidP="00294FC9">
      <w:pPr>
        <w:spacing w:line="360" w:lineRule="auto"/>
        <w:jc w:val="center"/>
        <w:rPr>
          <w:rFonts w:ascii="Arial" w:eastAsia="Arial" w:hAnsi="Arial" w:cs="Arial"/>
          <w:lang w:val="en-US"/>
        </w:rPr>
      </w:pPr>
    </w:p>
    <w:p w14:paraId="7E35F328" w14:textId="77777777"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 xml:space="preserve">Student Name: Shyam </w:t>
      </w:r>
      <w:proofErr w:type="spellStart"/>
      <w:r w:rsidRPr="290B13FD">
        <w:rPr>
          <w:rFonts w:ascii="Arial" w:eastAsia="Arial" w:hAnsi="Arial" w:cs="Arial"/>
          <w:b/>
          <w:bCs/>
          <w:lang w:val="en-US"/>
        </w:rPr>
        <w:t>SatishKumar</w:t>
      </w:r>
      <w:proofErr w:type="spellEnd"/>
      <w:r w:rsidRPr="290B13FD">
        <w:rPr>
          <w:rFonts w:ascii="Arial" w:eastAsia="Arial" w:hAnsi="Arial" w:cs="Arial"/>
          <w:b/>
          <w:bCs/>
          <w:lang w:val="en-US"/>
        </w:rPr>
        <w:t xml:space="preserve"> Patel</w:t>
      </w:r>
    </w:p>
    <w:p w14:paraId="76BE3FA9" w14:textId="7364D487" w:rsidR="005456E1" w:rsidRDefault="005456E1" w:rsidP="00294FC9">
      <w:pPr>
        <w:spacing w:line="360" w:lineRule="auto"/>
        <w:jc w:val="center"/>
        <w:rPr>
          <w:rFonts w:ascii="Arial" w:eastAsia="Arial" w:hAnsi="Arial" w:cs="Arial"/>
          <w:b/>
          <w:bCs/>
          <w:lang w:val="en-US"/>
        </w:rPr>
      </w:pPr>
    </w:p>
    <w:p w14:paraId="7B9D3997" w14:textId="77777777"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Student ID: 2520602</w:t>
      </w:r>
    </w:p>
    <w:p w14:paraId="59B75828" w14:textId="7E3A367A" w:rsidR="005456E1" w:rsidRDefault="005456E1" w:rsidP="00294FC9">
      <w:pPr>
        <w:spacing w:line="360" w:lineRule="auto"/>
        <w:jc w:val="center"/>
        <w:rPr>
          <w:rFonts w:ascii="Arial" w:eastAsia="Arial" w:hAnsi="Arial" w:cs="Arial"/>
          <w:b/>
          <w:bCs/>
          <w:lang w:val="en-US"/>
        </w:rPr>
      </w:pPr>
    </w:p>
    <w:p w14:paraId="69BDCB93" w14:textId="1A48D4D8"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Name: </w:t>
      </w:r>
      <w:r w:rsidR="00C604CE">
        <w:rPr>
          <w:rFonts w:ascii="Arial" w:eastAsia="Arial" w:hAnsi="Arial" w:cs="Arial"/>
          <w:b/>
          <w:bCs/>
          <w:lang w:val="en-US"/>
        </w:rPr>
        <w:t>In</w:t>
      </w:r>
      <w:r w:rsidR="00FF39EE">
        <w:rPr>
          <w:rFonts w:ascii="Arial" w:eastAsia="Arial" w:hAnsi="Arial" w:cs="Arial"/>
          <w:b/>
          <w:bCs/>
          <w:lang w:val="en-US"/>
        </w:rPr>
        <w:t>ternational Marketing</w:t>
      </w:r>
      <w:r w:rsidR="00767283">
        <w:rPr>
          <w:rFonts w:ascii="Arial" w:eastAsia="Arial" w:hAnsi="Arial" w:cs="Arial"/>
          <w:b/>
          <w:bCs/>
          <w:lang w:val="en-US"/>
        </w:rPr>
        <w:t>: Principles and Pract</w:t>
      </w:r>
      <w:r w:rsidR="008553BB">
        <w:rPr>
          <w:rFonts w:ascii="Arial" w:eastAsia="Arial" w:hAnsi="Arial" w:cs="Arial"/>
          <w:b/>
          <w:bCs/>
          <w:lang w:val="en-US"/>
        </w:rPr>
        <w:t>ices</w:t>
      </w:r>
    </w:p>
    <w:p w14:paraId="3137A676" w14:textId="771A12F2" w:rsidR="005456E1" w:rsidRDefault="005456E1" w:rsidP="00294FC9">
      <w:pPr>
        <w:spacing w:line="360" w:lineRule="auto"/>
        <w:ind w:left="3478"/>
        <w:jc w:val="center"/>
        <w:rPr>
          <w:rFonts w:ascii="Arial" w:eastAsia="Arial" w:hAnsi="Arial" w:cs="Arial"/>
          <w:b/>
          <w:bCs/>
          <w:lang w:val="en-US"/>
        </w:rPr>
      </w:pPr>
    </w:p>
    <w:p w14:paraId="3EF9D176" w14:textId="7D23E4F3"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Module Code: LCMB</w:t>
      </w:r>
      <w:r w:rsidR="00C604CE">
        <w:rPr>
          <w:rFonts w:ascii="Arial" w:eastAsia="Arial" w:hAnsi="Arial" w:cs="Arial"/>
          <w:b/>
          <w:bCs/>
          <w:lang w:val="en-US"/>
        </w:rPr>
        <w:t>7026</w:t>
      </w:r>
    </w:p>
    <w:p w14:paraId="10E5787B" w14:textId="3E55BBC2" w:rsidR="005456E1" w:rsidRDefault="005456E1" w:rsidP="00294FC9">
      <w:pPr>
        <w:spacing w:line="360" w:lineRule="auto"/>
        <w:ind w:left="3478"/>
        <w:jc w:val="center"/>
        <w:rPr>
          <w:rFonts w:ascii="Arial" w:eastAsia="Arial" w:hAnsi="Arial" w:cs="Arial"/>
          <w:b/>
          <w:bCs/>
          <w:lang w:val="en-US"/>
        </w:rPr>
      </w:pPr>
    </w:p>
    <w:p w14:paraId="4E4BCDA4" w14:textId="218872A8"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Lecturer’s Name:  D</w:t>
      </w:r>
      <w:r>
        <w:rPr>
          <w:rFonts w:ascii="Arial" w:eastAsia="Arial" w:hAnsi="Arial" w:cs="Arial"/>
          <w:b/>
          <w:bCs/>
          <w:lang w:val="en-US"/>
        </w:rPr>
        <w:t>r</w:t>
      </w:r>
      <w:r w:rsidRPr="290B13FD">
        <w:rPr>
          <w:rFonts w:ascii="Arial" w:eastAsia="Arial" w:hAnsi="Arial" w:cs="Arial"/>
          <w:b/>
          <w:bCs/>
          <w:lang w:val="en-US"/>
        </w:rPr>
        <w:t xml:space="preserve"> </w:t>
      </w:r>
      <w:proofErr w:type="spellStart"/>
      <w:r w:rsidR="00640920">
        <w:rPr>
          <w:rFonts w:ascii="Arial" w:eastAsia="Arial" w:hAnsi="Arial" w:cs="Arial"/>
          <w:b/>
          <w:bCs/>
          <w:lang w:val="en-US"/>
        </w:rPr>
        <w:t>Piyumika</w:t>
      </w:r>
      <w:proofErr w:type="spellEnd"/>
      <w:r w:rsidR="00640920">
        <w:rPr>
          <w:rFonts w:ascii="Arial" w:eastAsia="Arial" w:hAnsi="Arial" w:cs="Arial"/>
          <w:b/>
          <w:bCs/>
          <w:lang w:val="en-US"/>
        </w:rPr>
        <w:t xml:space="preserve"> Gamage</w:t>
      </w:r>
    </w:p>
    <w:p w14:paraId="4D1CE6F1" w14:textId="7A10E667" w:rsidR="005456E1" w:rsidRDefault="005456E1" w:rsidP="00294FC9">
      <w:pPr>
        <w:spacing w:line="360" w:lineRule="auto"/>
        <w:ind w:left="3478"/>
        <w:jc w:val="center"/>
        <w:rPr>
          <w:rFonts w:ascii="Arial" w:eastAsia="Arial" w:hAnsi="Arial" w:cs="Arial"/>
          <w:b/>
          <w:bCs/>
          <w:lang w:val="en-US"/>
        </w:rPr>
      </w:pPr>
    </w:p>
    <w:p w14:paraId="68D487A3" w14:textId="3612009F"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 xml:space="preserve">Word Count: </w:t>
      </w:r>
      <w:r w:rsidR="00A11EC6">
        <w:rPr>
          <w:rFonts w:ascii="Arial" w:eastAsia="Arial" w:hAnsi="Arial" w:cs="Arial"/>
          <w:b/>
          <w:bCs/>
          <w:lang w:val="en-US"/>
        </w:rPr>
        <w:t>5</w:t>
      </w:r>
      <w:r w:rsidR="00B27B55">
        <w:rPr>
          <w:rFonts w:ascii="Arial" w:eastAsia="Arial" w:hAnsi="Arial" w:cs="Arial"/>
          <w:b/>
          <w:bCs/>
          <w:lang w:val="en-US"/>
        </w:rPr>
        <w:t>400</w:t>
      </w:r>
    </w:p>
    <w:p w14:paraId="3C645B1F" w14:textId="7563F0F4" w:rsidR="005456E1" w:rsidRDefault="005456E1" w:rsidP="00294FC9">
      <w:pPr>
        <w:spacing w:line="360" w:lineRule="auto"/>
        <w:ind w:left="3478"/>
        <w:jc w:val="center"/>
        <w:rPr>
          <w:rFonts w:ascii="Arial" w:eastAsia="Arial" w:hAnsi="Arial" w:cs="Arial"/>
          <w:b/>
          <w:bCs/>
          <w:lang w:val="en-US"/>
        </w:rPr>
      </w:pPr>
    </w:p>
    <w:p w14:paraId="7108851B" w14:textId="3D06F5B0" w:rsidR="005456E1" w:rsidRDefault="005456E1" w:rsidP="00294FC9">
      <w:pPr>
        <w:spacing w:line="360" w:lineRule="auto"/>
        <w:jc w:val="center"/>
        <w:rPr>
          <w:rFonts w:ascii="Arial" w:eastAsia="Arial" w:hAnsi="Arial" w:cs="Arial"/>
          <w:b/>
          <w:bCs/>
          <w:lang w:val="en-US"/>
        </w:rPr>
      </w:pPr>
      <w:r w:rsidRPr="290B13FD">
        <w:rPr>
          <w:rFonts w:ascii="Arial" w:eastAsia="Arial" w:hAnsi="Arial" w:cs="Arial"/>
          <w:b/>
          <w:bCs/>
          <w:lang w:val="en-US"/>
        </w:rPr>
        <w:t xml:space="preserve">Term </w:t>
      </w:r>
      <w:r>
        <w:rPr>
          <w:rFonts w:ascii="Arial" w:eastAsia="Arial" w:hAnsi="Arial" w:cs="Arial"/>
          <w:b/>
          <w:bCs/>
          <w:lang w:val="en-US"/>
        </w:rPr>
        <w:t>2</w:t>
      </w:r>
    </w:p>
    <w:p w14:paraId="6DF43B5A" w14:textId="77777777" w:rsidR="006F1EE4" w:rsidRDefault="006F1EE4" w:rsidP="00294FC9">
      <w:pPr>
        <w:pStyle w:val="Heading1"/>
        <w:spacing w:line="360" w:lineRule="auto"/>
        <w:jc w:val="center"/>
        <w:rPr>
          <w:rFonts w:ascii="Arial" w:hAnsi="Arial" w:cs="Arial"/>
          <w:sz w:val="24"/>
          <w:szCs w:val="24"/>
        </w:rPr>
      </w:pPr>
    </w:p>
    <w:p w14:paraId="0DFDCA6F" w14:textId="77777777" w:rsidR="006F1EE4" w:rsidRDefault="006F1EE4" w:rsidP="00294FC9">
      <w:pPr>
        <w:jc w:val="center"/>
      </w:pPr>
    </w:p>
    <w:p w14:paraId="60E2591E" w14:textId="4028D335" w:rsidR="00E04A48" w:rsidRDefault="00E04A48" w:rsidP="00294FC9">
      <w:pPr>
        <w:jc w:val="center"/>
      </w:pPr>
    </w:p>
    <w:p w14:paraId="793B7E01" w14:textId="77777777" w:rsidR="00E04A48" w:rsidRDefault="00E04A48" w:rsidP="00294FC9">
      <w:pPr>
        <w:jc w:val="center"/>
      </w:pPr>
      <w:r>
        <w:br w:type="page"/>
      </w:r>
    </w:p>
    <w:p w14:paraId="1F920725" w14:textId="77777777" w:rsidR="006F1EE4" w:rsidRDefault="006F1EE4" w:rsidP="00975391">
      <w:pPr>
        <w:jc w:val="both"/>
      </w:pPr>
    </w:p>
    <w:sdt>
      <w:sdtPr>
        <w:rPr>
          <w:rFonts w:asciiTheme="minorHAnsi" w:eastAsiaTheme="minorHAnsi" w:hAnsiTheme="minorHAnsi" w:cstheme="minorBidi"/>
          <w:color w:val="auto"/>
          <w:kern w:val="2"/>
          <w:sz w:val="24"/>
          <w:szCs w:val="24"/>
          <w:lang w:val="en-IN"/>
          <w14:ligatures w14:val="standardContextual"/>
        </w:rPr>
        <w:id w:val="1258868252"/>
        <w:docPartObj>
          <w:docPartGallery w:val="Table of Contents"/>
          <w:docPartUnique/>
        </w:docPartObj>
      </w:sdtPr>
      <w:sdtEndPr>
        <w:rPr>
          <w:b/>
          <w:bCs/>
          <w:noProof/>
        </w:rPr>
      </w:sdtEndPr>
      <w:sdtContent>
        <w:p w14:paraId="387CEB0E" w14:textId="77777777" w:rsidR="00E04A48" w:rsidRDefault="00E04A48" w:rsidP="00975391">
          <w:pPr>
            <w:pStyle w:val="TOCHeading"/>
            <w:jc w:val="both"/>
          </w:pPr>
          <w:r>
            <w:t>Table of Contents</w:t>
          </w:r>
        </w:p>
        <w:p w14:paraId="4893F93C" w14:textId="2DFDA1BA" w:rsidR="00D40EF5" w:rsidRDefault="00E04A48" w:rsidP="00975391">
          <w:pPr>
            <w:pStyle w:val="TOC1"/>
            <w:tabs>
              <w:tab w:val="left" w:pos="480"/>
              <w:tab w:val="right" w:leader="dot" w:pos="10456"/>
            </w:tabs>
            <w:jc w:val="both"/>
            <w:rPr>
              <w:rFonts w:eastAsiaTheme="minorEastAsia"/>
              <w:noProof/>
              <w:lang w:val="en-CA" w:eastAsia="en-CA"/>
            </w:rPr>
          </w:pPr>
          <w:r>
            <w:fldChar w:fldCharType="begin"/>
          </w:r>
          <w:r>
            <w:instrText xml:space="preserve"> TOC \o "1-3" \h \z \u </w:instrText>
          </w:r>
          <w:r>
            <w:fldChar w:fldCharType="separate"/>
          </w:r>
          <w:hyperlink w:anchor="_Toc236641010" w:history="1">
            <w:r w:rsidR="00D40EF5" w:rsidRPr="00E550BC">
              <w:rPr>
                <w:rStyle w:val="Hyperlink"/>
                <w:rFonts w:ascii="Arial" w:hAnsi="Arial" w:cs="Arial"/>
                <w:noProof/>
              </w:rPr>
              <w:t>1.</w:t>
            </w:r>
            <w:r w:rsidR="00D40EF5">
              <w:rPr>
                <w:rFonts w:eastAsiaTheme="minorEastAsia"/>
                <w:noProof/>
                <w:lang w:val="en-CA" w:eastAsia="en-CA"/>
              </w:rPr>
              <w:tab/>
            </w:r>
            <w:r w:rsidR="00D40EF5" w:rsidRPr="00E550BC">
              <w:rPr>
                <w:rStyle w:val="Hyperlink"/>
                <w:rFonts w:ascii="Arial" w:hAnsi="Arial" w:cs="Arial"/>
                <w:noProof/>
              </w:rPr>
              <w:t>Introduction</w:t>
            </w:r>
            <w:r w:rsidR="00D40EF5">
              <w:rPr>
                <w:noProof/>
                <w:webHidden/>
              </w:rPr>
              <w:tab/>
            </w:r>
            <w:r w:rsidR="00D40EF5">
              <w:rPr>
                <w:noProof/>
                <w:webHidden/>
              </w:rPr>
              <w:fldChar w:fldCharType="begin"/>
            </w:r>
            <w:r w:rsidR="00D40EF5">
              <w:rPr>
                <w:noProof/>
                <w:webHidden/>
              </w:rPr>
              <w:instrText xml:space="preserve"> PAGEREF _Toc236641010 \h </w:instrText>
            </w:r>
            <w:r w:rsidR="00D40EF5">
              <w:rPr>
                <w:noProof/>
                <w:webHidden/>
              </w:rPr>
            </w:r>
            <w:r w:rsidR="00D40EF5">
              <w:rPr>
                <w:noProof/>
                <w:webHidden/>
              </w:rPr>
              <w:fldChar w:fldCharType="separate"/>
            </w:r>
            <w:r w:rsidR="00D40EF5">
              <w:rPr>
                <w:noProof/>
                <w:webHidden/>
              </w:rPr>
              <w:t>3</w:t>
            </w:r>
            <w:r w:rsidR="00D40EF5">
              <w:rPr>
                <w:noProof/>
                <w:webHidden/>
              </w:rPr>
              <w:fldChar w:fldCharType="end"/>
            </w:r>
          </w:hyperlink>
        </w:p>
        <w:p w14:paraId="6FCD509B" w14:textId="7C75AD4F" w:rsidR="00D40EF5" w:rsidRDefault="00000000" w:rsidP="00975391">
          <w:pPr>
            <w:pStyle w:val="TOC1"/>
            <w:tabs>
              <w:tab w:val="right" w:leader="dot" w:pos="10456"/>
            </w:tabs>
            <w:jc w:val="both"/>
            <w:rPr>
              <w:rFonts w:eastAsiaTheme="minorEastAsia"/>
              <w:noProof/>
              <w:lang w:val="en-CA" w:eastAsia="en-CA"/>
            </w:rPr>
          </w:pPr>
          <w:hyperlink w:anchor="_Toc236641011" w:history="1">
            <w:r w:rsidR="00D40EF5" w:rsidRPr="00E550BC">
              <w:rPr>
                <w:rStyle w:val="Hyperlink"/>
                <w:rFonts w:ascii="Arial" w:hAnsi="Arial" w:cs="Arial"/>
                <w:noProof/>
              </w:rPr>
              <w:t>2. Comparative Macro-Environmental Analysis (PESTEL)</w:t>
            </w:r>
            <w:r w:rsidR="00D40EF5">
              <w:rPr>
                <w:noProof/>
                <w:webHidden/>
              </w:rPr>
              <w:tab/>
            </w:r>
            <w:r w:rsidR="00D40EF5">
              <w:rPr>
                <w:noProof/>
                <w:webHidden/>
              </w:rPr>
              <w:fldChar w:fldCharType="begin"/>
            </w:r>
            <w:r w:rsidR="00D40EF5">
              <w:rPr>
                <w:noProof/>
                <w:webHidden/>
              </w:rPr>
              <w:instrText xml:space="preserve"> PAGEREF _Toc236641011 \h </w:instrText>
            </w:r>
            <w:r w:rsidR="00D40EF5">
              <w:rPr>
                <w:noProof/>
                <w:webHidden/>
              </w:rPr>
            </w:r>
            <w:r w:rsidR="00D40EF5">
              <w:rPr>
                <w:noProof/>
                <w:webHidden/>
              </w:rPr>
              <w:fldChar w:fldCharType="separate"/>
            </w:r>
            <w:r w:rsidR="00D40EF5">
              <w:rPr>
                <w:noProof/>
                <w:webHidden/>
              </w:rPr>
              <w:t>3</w:t>
            </w:r>
            <w:r w:rsidR="00D40EF5">
              <w:rPr>
                <w:noProof/>
                <w:webHidden/>
              </w:rPr>
              <w:fldChar w:fldCharType="end"/>
            </w:r>
          </w:hyperlink>
        </w:p>
        <w:p w14:paraId="329A3409" w14:textId="4E030F14" w:rsidR="00D40EF5" w:rsidRDefault="00000000" w:rsidP="00975391">
          <w:pPr>
            <w:pStyle w:val="TOC1"/>
            <w:tabs>
              <w:tab w:val="right" w:leader="dot" w:pos="10456"/>
            </w:tabs>
            <w:jc w:val="both"/>
            <w:rPr>
              <w:rFonts w:eastAsiaTheme="minorEastAsia"/>
              <w:noProof/>
              <w:lang w:val="en-CA" w:eastAsia="en-CA"/>
            </w:rPr>
          </w:pPr>
          <w:hyperlink w:anchor="_Toc236641012" w:history="1">
            <w:r w:rsidR="00D40EF5" w:rsidRPr="00E550BC">
              <w:rPr>
                <w:rStyle w:val="Hyperlink"/>
                <w:rFonts w:ascii="Arial" w:hAnsi="Arial" w:cs="Arial"/>
                <w:noProof/>
              </w:rPr>
              <w:t>3. Comparative Cultural Analysis: Hofstede’s Framework</w:t>
            </w:r>
            <w:r w:rsidR="00D40EF5">
              <w:rPr>
                <w:noProof/>
                <w:webHidden/>
              </w:rPr>
              <w:tab/>
            </w:r>
            <w:r w:rsidR="00D40EF5">
              <w:rPr>
                <w:noProof/>
                <w:webHidden/>
              </w:rPr>
              <w:fldChar w:fldCharType="begin"/>
            </w:r>
            <w:r w:rsidR="00D40EF5">
              <w:rPr>
                <w:noProof/>
                <w:webHidden/>
              </w:rPr>
              <w:instrText xml:space="preserve"> PAGEREF _Toc236641012 \h </w:instrText>
            </w:r>
            <w:r w:rsidR="00D40EF5">
              <w:rPr>
                <w:noProof/>
                <w:webHidden/>
              </w:rPr>
            </w:r>
            <w:r w:rsidR="00D40EF5">
              <w:rPr>
                <w:noProof/>
                <w:webHidden/>
              </w:rPr>
              <w:fldChar w:fldCharType="separate"/>
            </w:r>
            <w:r w:rsidR="00D40EF5">
              <w:rPr>
                <w:noProof/>
                <w:webHidden/>
              </w:rPr>
              <w:t>6</w:t>
            </w:r>
            <w:r w:rsidR="00D40EF5">
              <w:rPr>
                <w:noProof/>
                <w:webHidden/>
              </w:rPr>
              <w:fldChar w:fldCharType="end"/>
            </w:r>
          </w:hyperlink>
        </w:p>
        <w:p w14:paraId="60CAFC22" w14:textId="0048798B" w:rsidR="00D40EF5" w:rsidRDefault="00000000" w:rsidP="00975391">
          <w:pPr>
            <w:pStyle w:val="TOC1"/>
            <w:tabs>
              <w:tab w:val="right" w:leader="dot" w:pos="10456"/>
            </w:tabs>
            <w:jc w:val="both"/>
            <w:rPr>
              <w:rFonts w:eastAsiaTheme="minorEastAsia"/>
              <w:noProof/>
              <w:lang w:val="en-CA" w:eastAsia="en-CA"/>
            </w:rPr>
          </w:pPr>
          <w:hyperlink w:anchor="_Toc236641013" w:history="1">
            <w:r w:rsidR="00D40EF5" w:rsidRPr="00E550BC">
              <w:rPr>
                <w:rStyle w:val="Hyperlink"/>
                <w:rFonts w:ascii="Arial" w:hAnsi="Arial" w:cs="Arial"/>
                <w:noProof/>
              </w:rPr>
              <w:t>4. Comparative STP Analysis</w:t>
            </w:r>
            <w:r w:rsidR="00D40EF5">
              <w:rPr>
                <w:noProof/>
                <w:webHidden/>
              </w:rPr>
              <w:tab/>
            </w:r>
            <w:r w:rsidR="00D40EF5">
              <w:rPr>
                <w:noProof/>
                <w:webHidden/>
              </w:rPr>
              <w:fldChar w:fldCharType="begin"/>
            </w:r>
            <w:r w:rsidR="00D40EF5">
              <w:rPr>
                <w:noProof/>
                <w:webHidden/>
              </w:rPr>
              <w:instrText xml:space="preserve"> PAGEREF _Toc236641013 \h </w:instrText>
            </w:r>
            <w:r w:rsidR="00D40EF5">
              <w:rPr>
                <w:noProof/>
                <w:webHidden/>
              </w:rPr>
            </w:r>
            <w:r w:rsidR="00D40EF5">
              <w:rPr>
                <w:noProof/>
                <w:webHidden/>
              </w:rPr>
              <w:fldChar w:fldCharType="separate"/>
            </w:r>
            <w:r w:rsidR="00D40EF5">
              <w:rPr>
                <w:noProof/>
                <w:webHidden/>
              </w:rPr>
              <w:t>10</w:t>
            </w:r>
            <w:r w:rsidR="00D40EF5">
              <w:rPr>
                <w:noProof/>
                <w:webHidden/>
              </w:rPr>
              <w:fldChar w:fldCharType="end"/>
            </w:r>
          </w:hyperlink>
        </w:p>
        <w:p w14:paraId="66378D66" w14:textId="6E843236" w:rsidR="00D40EF5" w:rsidRDefault="00000000" w:rsidP="00975391">
          <w:pPr>
            <w:pStyle w:val="TOC1"/>
            <w:tabs>
              <w:tab w:val="right" w:leader="dot" w:pos="10456"/>
            </w:tabs>
            <w:jc w:val="both"/>
            <w:rPr>
              <w:rFonts w:eastAsiaTheme="minorEastAsia"/>
              <w:noProof/>
              <w:lang w:val="en-CA" w:eastAsia="en-CA"/>
            </w:rPr>
          </w:pPr>
          <w:hyperlink w:anchor="_Toc236641014" w:history="1">
            <w:r w:rsidR="00D40EF5" w:rsidRPr="00E550BC">
              <w:rPr>
                <w:rStyle w:val="Hyperlink"/>
                <w:rFonts w:ascii="Arial" w:hAnsi="Arial" w:cs="Arial"/>
                <w:noProof/>
              </w:rPr>
              <w:t>5. Comparative International Marketing Mix (7Ps)</w:t>
            </w:r>
            <w:r w:rsidR="00D40EF5">
              <w:rPr>
                <w:noProof/>
                <w:webHidden/>
              </w:rPr>
              <w:tab/>
            </w:r>
            <w:r w:rsidR="00D40EF5">
              <w:rPr>
                <w:noProof/>
                <w:webHidden/>
              </w:rPr>
              <w:fldChar w:fldCharType="begin"/>
            </w:r>
            <w:r w:rsidR="00D40EF5">
              <w:rPr>
                <w:noProof/>
                <w:webHidden/>
              </w:rPr>
              <w:instrText xml:space="preserve"> PAGEREF _Toc236641014 \h </w:instrText>
            </w:r>
            <w:r w:rsidR="00D40EF5">
              <w:rPr>
                <w:noProof/>
                <w:webHidden/>
              </w:rPr>
            </w:r>
            <w:r w:rsidR="00D40EF5">
              <w:rPr>
                <w:noProof/>
                <w:webHidden/>
              </w:rPr>
              <w:fldChar w:fldCharType="separate"/>
            </w:r>
            <w:r w:rsidR="00D40EF5">
              <w:rPr>
                <w:noProof/>
                <w:webHidden/>
              </w:rPr>
              <w:t>14</w:t>
            </w:r>
            <w:r w:rsidR="00D40EF5">
              <w:rPr>
                <w:noProof/>
                <w:webHidden/>
              </w:rPr>
              <w:fldChar w:fldCharType="end"/>
            </w:r>
          </w:hyperlink>
        </w:p>
        <w:p w14:paraId="7C387537" w14:textId="3C239302" w:rsidR="00D40EF5" w:rsidRDefault="00000000" w:rsidP="00975391">
          <w:pPr>
            <w:pStyle w:val="TOC1"/>
            <w:tabs>
              <w:tab w:val="right" w:leader="dot" w:pos="10456"/>
            </w:tabs>
            <w:jc w:val="both"/>
            <w:rPr>
              <w:rFonts w:eastAsiaTheme="minorEastAsia"/>
              <w:noProof/>
              <w:lang w:val="en-CA" w:eastAsia="en-CA"/>
            </w:rPr>
          </w:pPr>
          <w:hyperlink w:anchor="_Toc236641015" w:history="1">
            <w:r w:rsidR="00D40EF5" w:rsidRPr="00E550BC">
              <w:rPr>
                <w:rStyle w:val="Hyperlink"/>
                <w:rFonts w:ascii="Arial" w:hAnsi="Arial" w:cs="Arial"/>
                <w:noProof/>
              </w:rPr>
              <w:t>6. Market Entry Strategy</w:t>
            </w:r>
            <w:r w:rsidR="00D40EF5">
              <w:rPr>
                <w:noProof/>
                <w:webHidden/>
              </w:rPr>
              <w:tab/>
            </w:r>
            <w:r w:rsidR="00D40EF5">
              <w:rPr>
                <w:noProof/>
                <w:webHidden/>
              </w:rPr>
              <w:fldChar w:fldCharType="begin"/>
            </w:r>
            <w:r w:rsidR="00D40EF5">
              <w:rPr>
                <w:noProof/>
                <w:webHidden/>
              </w:rPr>
              <w:instrText xml:space="preserve"> PAGEREF _Toc236641015 \h </w:instrText>
            </w:r>
            <w:r w:rsidR="00D40EF5">
              <w:rPr>
                <w:noProof/>
                <w:webHidden/>
              </w:rPr>
            </w:r>
            <w:r w:rsidR="00D40EF5">
              <w:rPr>
                <w:noProof/>
                <w:webHidden/>
              </w:rPr>
              <w:fldChar w:fldCharType="separate"/>
            </w:r>
            <w:r w:rsidR="00D40EF5">
              <w:rPr>
                <w:noProof/>
                <w:webHidden/>
              </w:rPr>
              <w:t>17</w:t>
            </w:r>
            <w:r w:rsidR="00D40EF5">
              <w:rPr>
                <w:noProof/>
                <w:webHidden/>
              </w:rPr>
              <w:fldChar w:fldCharType="end"/>
            </w:r>
          </w:hyperlink>
        </w:p>
        <w:p w14:paraId="1CF5C627" w14:textId="093F79A8" w:rsidR="00D40EF5" w:rsidRDefault="00000000" w:rsidP="00975391">
          <w:pPr>
            <w:pStyle w:val="TOC1"/>
            <w:tabs>
              <w:tab w:val="right" w:leader="dot" w:pos="10456"/>
            </w:tabs>
            <w:jc w:val="both"/>
            <w:rPr>
              <w:rFonts w:eastAsiaTheme="minorEastAsia"/>
              <w:noProof/>
              <w:lang w:val="en-CA" w:eastAsia="en-CA"/>
            </w:rPr>
          </w:pPr>
          <w:hyperlink w:anchor="_Toc236641016" w:history="1">
            <w:r w:rsidR="00D40EF5" w:rsidRPr="00E550BC">
              <w:rPr>
                <w:rStyle w:val="Hyperlink"/>
                <w:rFonts w:ascii="Arial" w:hAnsi="Arial" w:cs="Arial"/>
                <w:noProof/>
              </w:rPr>
              <w:t>7. Ethical Evaluation of the Marketing Mix</w:t>
            </w:r>
            <w:r w:rsidR="00D40EF5">
              <w:rPr>
                <w:noProof/>
                <w:webHidden/>
              </w:rPr>
              <w:tab/>
            </w:r>
            <w:r w:rsidR="00D40EF5">
              <w:rPr>
                <w:noProof/>
                <w:webHidden/>
              </w:rPr>
              <w:fldChar w:fldCharType="begin"/>
            </w:r>
            <w:r w:rsidR="00D40EF5">
              <w:rPr>
                <w:noProof/>
                <w:webHidden/>
              </w:rPr>
              <w:instrText xml:space="preserve"> PAGEREF _Toc236641016 \h </w:instrText>
            </w:r>
            <w:r w:rsidR="00D40EF5">
              <w:rPr>
                <w:noProof/>
                <w:webHidden/>
              </w:rPr>
            </w:r>
            <w:r w:rsidR="00D40EF5">
              <w:rPr>
                <w:noProof/>
                <w:webHidden/>
              </w:rPr>
              <w:fldChar w:fldCharType="separate"/>
            </w:r>
            <w:r w:rsidR="00D40EF5">
              <w:rPr>
                <w:noProof/>
                <w:webHidden/>
              </w:rPr>
              <w:t>19</w:t>
            </w:r>
            <w:r w:rsidR="00D40EF5">
              <w:rPr>
                <w:noProof/>
                <w:webHidden/>
              </w:rPr>
              <w:fldChar w:fldCharType="end"/>
            </w:r>
          </w:hyperlink>
        </w:p>
        <w:p w14:paraId="1BBF93B9" w14:textId="7C761798" w:rsidR="00D40EF5" w:rsidRDefault="00000000" w:rsidP="00975391">
          <w:pPr>
            <w:pStyle w:val="TOC1"/>
            <w:tabs>
              <w:tab w:val="right" w:leader="dot" w:pos="10456"/>
            </w:tabs>
            <w:jc w:val="both"/>
            <w:rPr>
              <w:rFonts w:eastAsiaTheme="minorEastAsia"/>
              <w:noProof/>
              <w:lang w:val="en-CA" w:eastAsia="en-CA"/>
            </w:rPr>
          </w:pPr>
          <w:hyperlink w:anchor="_Toc236641017" w:history="1">
            <w:r w:rsidR="00D40EF5" w:rsidRPr="00E550BC">
              <w:rPr>
                <w:rStyle w:val="Hyperlink"/>
                <w:rFonts w:ascii="Arial" w:hAnsi="Arial" w:cs="Arial"/>
                <w:noProof/>
              </w:rPr>
              <w:t>8. Strategic Recommendations</w:t>
            </w:r>
            <w:r w:rsidR="00D40EF5">
              <w:rPr>
                <w:noProof/>
                <w:webHidden/>
              </w:rPr>
              <w:tab/>
            </w:r>
            <w:r w:rsidR="00D40EF5">
              <w:rPr>
                <w:noProof/>
                <w:webHidden/>
              </w:rPr>
              <w:fldChar w:fldCharType="begin"/>
            </w:r>
            <w:r w:rsidR="00D40EF5">
              <w:rPr>
                <w:noProof/>
                <w:webHidden/>
              </w:rPr>
              <w:instrText xml:space="preserve"> PAGEREF _Toc236641017 \h </w:instrText>
            </w:r>
            <w:r w:rsidR="00D40EF5">
              <w:rPr>
                <w:noProof/>
                <w:webHidden/>
              </w:rPr>
            </w:r>
            <w:r w:rsidR="00D40EF5">
              <w:rPr>
                <w:noProof/>
                <w:webHidden/>
              </w:rPr>
              <w:fldChar w:fldCharType="separate"/>
            </w:r>
            <w:r w:rsidR="00D40EF5">
              <w:rPr>
                <w:noProof/>
                <w:webHidden/>
              </w:rPr>
              <w:t>22</w:t>
            </w:r>
            <w:r w:rsidR="00D40EF5">
              <w:rPr>
                <w:noProof/>
                <w:webHidden/>
              </w:rPr>
              <w:fldChar w:fldCharType="end"/>
            </w:r>
          </w:hyperlink>
        </w:p>
        <w:p w14:paraId="1F92D39C" w14:textId="579B7815" w:rsidR="00D40EF5" w:rsidRDefault="00000000" w:rsidP="00975391">
          <w:pPr>
            <w:pStyle w:val="TOC1"/>
            <w:tabs>
              <w:tab w:val="right" w:leader="dot" w:pos="10456"/>
            </w:tabs>
            <w:jc w:val="both"/>
            <w:rPr>
              <w:rFonts w:eastAsiaTheme="minorEastAsia"/>
              <w:noProof/>
              <w:lang w:val="en-CA" w:eastAsia="en-CA"/>
            </w:rPr>
          </w:pPr>
          <w:hyperlink w:anchor="_Toc236641018" w:history="1">
            <w:r w:rsidR="00D40EF5" w:rsidRPr="00E550BC">
              <w:rPr>
                <w:rStyle w:val="Hyperlink"/>
                <w:rFonts w:ascii="Arial" w:hAnsi="Arial" w:cs="Arial"/>
                <w:noProof/>
              </w:rPr>
              <w:t>Section 2: Reflective Account (Gibbs' Reflective Cycle)</w:t>
            </w:r>
            <w:r w:rsidR="00D40EF5">
              <w:rPr>
                <w:noProof/>
                <w:webHidden/>
              </w:rPr>
              <w:tab/>
            </w:r>
            <w:r w:rsidR="00D40EF5">
              <w:rPr>
                <w:noProof/>
                <w:webHidden/>
              </w:rPr>
              <w:fldChar w:fldCharType="begin"/>
            </w:r>
            <w:r w:rsidR="00D40EF5">
              <w:rPr>
                <w:noProof/>
                <w:webHidden/>
              </w:rPr>
              <w:instrText xml:space="preserve"> PAGEREF _Toc236641018 \h </w:instrText>
            </w:r>
            <w:r w:rsidR="00D40EF5">
              <w:rPr>
                <w:noProof/>
                <w:webHidden/>
              </w:rPr>
            </w:r>
            <w:r w:rsidR="00D40EF5">
              <w:rPr>
                <w:noProof/>
                <w:webHidden/>
              </w:rPr>
              <w:fldChar w:fldCharType="separate"/>
            </w:r>
            <w:r w:rsidR="00D40EF5">
              <w:rPr>
                <w:noProof/>
                <w:webHidden/>
              </w:rPr>
              <w:t>24</w:t>
            </w:r>
            <w:r w:rsidR="00D40EF5">
              <w:rPr>
                <w:noProof/>
                <w:webHidden/>
              </w:rPr>
              <w:fldChar w:fldCharType="end"/>
            </w:r>
          </w:hyperlink>
        </w:p>
        <w:p w14:paraId="5ECCD260" w14:textId="67C25027" w:rsidR="00D40EF5" w:rsidRDefault="00000000" w:rsidP="00975391">
          <w:pPr>
            <w:pStyle w:val="TOC1"/>
            <w:tabs>
              <w:tab w:val="right" w:leader="dot" w:pos="10456"/>
            </w:tabs>
            <w:jc w:val="both"/>
            <w:rPr>
              <w:rFonts w:eastAsiaTheme="minorEastAsia"/>
              <w:noProof/>
              <w:lang w:val="en-CA" w:eastAsia="en-CA"/>
            </w:rPr>
          </w:pPr>
          <w:hyperlink w:anchor="_Toc236641019" w:history="1">
            <w:r w:rsidR="00D40EF5" w:rsidRPr="00E550BC">
              <w:rPr>
                <w:rStyle w:val="Hyperlink"/>
                <w:rFonts w:ascii="Arial" w:hAnsi="Arial" w:cs="Arial"/>
                <w:noProof/>
              </w:rPr>
              <w:t>References</w:t>
            </w:r>
            <w:r w:rsidR="00D40EF5">
              <w:rPr>
                <w:noProof/>
                <w:webHidden/>
              </w:rPr>
              <w:tab/>
            </w:r>
            <w:r w:rsidR="00D40EF5">
              <w:rPr>
                <w:noProof/>
                <w:webHidden/>
              </w:rPr>
              <w:fldChar w:fldCharType="begin"/>
            </w:r>
            <w:r w:rsidR="00D40EF5">
              <w:rPr>
                <w:noProof/>
                <w:webHidden/>
              </w:rPr>
              <w:instrText xml:space="preserve"> PAGEREF _Toc236641019 \h </w:instrText>
            </w:r>
            <w:r w:rsidR="00D40EF5">
              <w:rPr>
                <w:noProof/>
                <w:webHidden/>
              </w:rPr>
            </w:r>
            <w:r w:rsidR="00D40EF5">
              <w:rPr>
                <w:noProof/>
                <w:webHidden/>
              </w:rPr>
              <w:fldChar w:fldCharType="separate"/>
            </w:r>
            <w:r w:rsidR="00D40EF5">
              <w:rPr>
                <w:noProof/>
                <w:webHidden/>
              </w:rPr>
              <w:t>27</w:t>
            </w:r>
            <w:r w:rsidR="00D40EF5">
              <w:rPr>
                <w:noProof/>
                <w:webHidden/>
              </w:rPr>
              <w:fldChar w:fldCharType="end"/>
            </w:r>
          </w:hyperlink>
        </w:p>
        <w:p w14:paraId="7551E2CA" w14:textId="72AF8A62" w:rsidR="00E04A48" w:rsidRDefault="00E04A48" w:rsidP="00975391">
          <w:pPr>
            <w:jc w:val="both"/>
            <w:rPr>
              <w:b/>
              <w:bCs/>
              <w:noProof/>
            </w:rPr>
          </w:pPr>
          <w:r>
            <w:rPr>
              <w:b/>
              <w:bCs/>
              <w:noProof/>
            </w:rPr>
            <w:fldChar w:fldCharType="end"/>
          </w:r>
        </w:p>
      </w:sdtContent>
    </w:sdt>
    <w:p w14:paraId="3901D865" w14:textId="77777777" w:rsidR="006F1EE4" w:rsidRDefault="006F1EE4" w:rsidP="00975391">
      <w:pPr>
        <w:jc w:val="both"/>
      </w:pPr>
    </w:p>
    <w:p w14:paraId="2996344C" w14:textId="77777777" w:rsidR="006F1EE4" w:rsidRDefault="006F1EE4" w:rsidP="00975391">
      <w:pPr>
        <w:jc w:val="both"/>
      </w:pPr>
    </w:p>
    <w:p w14:paraId="7F5FC82D" w14:textId="77777777" w:rsidR="006F1EE4" w:rsidRDefault="006F1EE4" w:rsidP="00975391">
      <w:pPr>
        <w:jc w:val="both"/>
      </w:pPr>
    </w:p>
    <w:p w14:paraId="186065F8" w14:textId="77777777" w:rsidR="006F1EE4" w:rsidRDefault="006F1EE4" w:rsidP="00975391">
      <w:pPr>
        <w:jc w:val="both"/>
      </w:pPr>
    </w:p>
    <w:p w14:paraId="1BCAEB0F" w14:textId="77777777" w:rsidR="006F1EE4" w:rsidRDefault="006F1EE4" w:rsidP="00975391">
      <w:pPr>
        <w:jc w:val="both"/>
      </w:pPr>
    </w:p>
    <w:p w14:paraId="4A7FF644" w14:textId="77777777" w:rsidR="006F1EE4" w:rsidRDefault="006F1EE4" w:rsidP="00975391">
      <w:pPr>
        <w:jc w:val="both"/>
      </w:pPr>
    </w:p>
    <w:p w14:paraId="669E8843" w14:textId="77777777" w:rsidR="006F1EE4" w:rsidRDefault="006F1EE4" w:rsidP="00975391">
      <w:pPr>
        <w:jc w:val="both"/>
      </w:pPr>
    </w:p>
    <w:p w14:paraId="5D8F7D39" w14:textId="77777777" w:rsidR="006F1EE4" w:rsidRDefault="006F1EE4" w:rsidP="00975391">
      <w:pPr>
        <w:jc w:val="both"/>
      </w:pPr>
    </w:p>
    <w:p w14:paraId="46294B56" w14:textId="77777777" w:rsidR="006F1EE4" w:rsidRDefault="006F1EE4" w:rsidP="00975391">
      <w:pPr>
        <w:jc w:val="both"/>
      </w:pPr>
    </w:p>
    <w:p w14:paraId="28120477" w14:textId="77777777" w:rsidR="006F1EE4" w:rsidRDefault="006F1EE4" w:rsidP="00975391">
      <w:pPr>
        <w:jc w:val="both"/>
      </w:pPr>
    </w:p>
    <w:p w14:paraId="7E519C1D" w14:textId="77777777" w:rsidR="006F1EE4" w:rsidRDefault="006F1EE4" w:rsidP="00975391">
      <w:pPr>
        <w:jc w:val="both"/>
      </w:pPr>
    </w:p>
    <w:p w14:paraId="6DFB0575" w14:textId="77777777" w:rsidR="006F1EE4" w:rsidRDefault="006F1EE4" w:rsidP="00975391">
      <w:pPr>
        <w:jc w:val="both"/>
      </w:pPr>
    </w:p>
    <w:p w14:paraId="17CF3971" w14:textId="77777777" w:rsidR="006F1EE4" w:rsidRDefault="006F1EE4" w:rsidP="00975391">
      <w:pPr>
        <w:jc w:val="both"/>
      </w:pPr>
    </w:p>
    <w:p w14:paraId="625D044F" w14:textId="77777777" w:rsidR="006F1EE4" w:rsidRDefault="006F1EE4" w:rsidP="00975391">
      <w:pPr>
        <w:jc w:val="both"/>
      </w:pPr>
    </w:p>
    <w:p w14:paraId="72E616AD" w14:textId="77777777" w:rsidR="006F1EE4" w:rsidRDefault="006F1EE4" w:rsidP="00975391">
      <w:pPr>
        <w:jc w:val="both"/>
      </w:pPr>
    </w:p>
    <w:p w14:paraId="7E609E68" w14:textId="77777777" w:rsidR="00E04A48" w:rsidRDefault="00E04A48" w:rsidP="00975391">
      <w:pPr>
        <w:jc w:val="both"/>
      </w:pPr>
    </w:p>
    <w:p w14:paraId="1FF329CD" w14:textId="77777777" w:rsidR="00E04A48" w:rsidRDefault="00E04A48" w:rsidP="00975391">
      <w:pPr>
        <w:jc w:val="both"/>
      </w:pPr>
    </w:p>
    <w:p w14:paraId="50F9FA0B" w14:textId="77777777" w:rsidR="00E04A48" w:rsidRDefault="00E04A48" w:rsidP="00975391">
      <w:pPr>
        <w:jc w:val="both"/>
      </w:pPr>
    </w:p>
    <w:p w14:paraId="50645A68" w14:textId="77777777" w:rsidR="00E04A48" w:rsidRPr="006F1EE4" w:rsidRDefault="00E04A48" w:rsidP="00975391">
      <w:pPr>
        <w:jc w:val="both"/>
      </w:pPr>
    </w:p>
    <w:p w14:paraId="47EA1490" w14:textId="563EFDBD" w:rsidR="009F6635" w:rsidRPr="009C0BB3" w:rsidRDefault="009F6635" w:rsidP="00975391">
      <w:pPr>
        <w:pStyle w:val="Heading1"/>
        <w:numPr>
          <w:ilvl w:val="0"/>
          <w:numId w:val="1"/>
        </w:numPr>
        <w:spacing w:line="360" w:lineRule="auto"/>
        <w:jc w:val="both"/>
        <w:rPr>
          <w:rFonts w:ascii="Arial" w:hAnsi="Arial" w:cs="Arial"/>
          <w:sz w:val="24"/>
          <w:szCs w:val="24"/>
        </w:rPr>
      </w:pPr>
      <w:bookmarkStart w:id="0" w:name="_Toc236641010"/>
      <w:r w:rsidRPr="009C0BB3">
        <w:rPr>
          <w:rFonts w:ascii="Arial" w:hAnsi="Arial" w:cs="Arial"/>
          <w:sz w:val="24"/>
          <w:szCs w:val="24"/>
        </w:rPr>
        <w:t>Introduction</w:t>
      </w:r>
      <w:bookmarkEnd w:id="0"/>
    </w:p>
    <w:p w14:paraId="7A23BFDC" w14:textId="77777777" w:rsidR="009F6635" w:rsidRPr="009C0BB3" w:rsidRDefault="009F6635" w:rsidP="00975391">
      <w:pPr>
        <w:spacing w:line="360" w:lineRule="auto"/>
        <w:jc w:val="both"/>
        <w:rPr>
          <w:rFonts w:ascii="Arial" w:hAnsi="Arial" w:cs="Arial"/>
        </w:rPr>
      </w:pPr>
      <w:r w:rsidRPr="009C0BB3">
        <w:rPr>
          <w:rFonts w:ascii="Arial" w:hAnsi="Arial" w:cs="Arial"/>
        </w:rPr>
        <w:t>The increasing integration of global markets has intensified competition for multinational organisations, making the effective management of international marketing strategies a critical source of sustainable competitive advantage. While globalisation encourages firms to pursue standardised branding and operational efficiencies, significant differences in political, economic and socio-cultural environments often necessitate market-specific adaptation. Consequently, multinational organisations must balance global brand consistency with local responsiveness to satisfy diverse consumer expectations while maintaining a coherent international identity.</w:t>
      </w:r>
    </w:p>
    <w:p w14:paraId="48845C2C" w14:textId="77777777" w:rsidR="009F6635" w:rsidRPr="009C0BB3" w:rsidRDefault="009F6635" w:rsidP="00975391">
      <w:pPr>
        <w:spacing w:line="360" w:lineRule="auto"/>
        <w:jc w:val="both"/>
        <w:rPr>
          <w:rFonts w:ascii="Arial" w:hAnsi="Arial" w:cs="Arial"/>
        </w:rPr>
      </w:pPr>
      <w:r w:rsidRPr="009C0BB3">
        <w:rPr>
          <w:rFonts w:ascii="Arial" w:hAnsi="Arial" w:cs="Arial"/>
        </w:rPr>
        <w:t>Cadbury, a flagship confectionery brand owned by Mondelēz International, provides an appropriate case for examining this strategic challenge. Operating successfully in both the United Kingdom (its home market) and India (one of its largest and fastest-growing international markets), Cadbury has adopted varying marketing approaches to accommodate contrasting market conditions, consumer behaviour and cultural values. The comparison between these two markets offers valuable insight into how international marketing strategies are adapted to support competitive performance across mature and emerging economies.</w:t>
      </w:r>
    </w:p>
    <w:p w14:paraId="18D0EA90" w14:textId="77777777" w:rsidR="009F6635" w:rsidRDefault="009F6635" w:rsidP="00975391">
      <w:pPr>
        <w:spacing w:line="360" w:lineRule="auto"/>
        <w:jc w:val="both"/>
        <w:rPr>
          <w:rFonts w:ascii="Arial" w:hAnsi="Arial" w:cs="Arial"/>
        </w:rPr>
      </w:pPr>
      <w:r w:rsidRPr="009C0BB3">
        <w:rPr>
          <w:rFonts w:ascii="Arial" w:hAnsi="Arial" w:cs="Arial"/>
        </w:rPr>
        <w:t>Accordingly, this report critically evaluates Cadbury's international marketing strategy by comparing the macro-environmental conditions of the United Kingdom and India using the PESTEL and Hofstede frameworks. It further analyses the company's segmentation, targeting and positioning (STP) strategy, evaluates the adaptation of its 7Ps marketing mix, examines its market entry strategy in India, assesses ethical issues associated with its marketing practices, and concludes with strategic recommendations for strengthening Cadbury's future international competitiveness.</w:t>
      </w:r>
    </w:p>
    <w:p w14:paraId="1B14FD00" w14:textId="77777777" w:rsidR="004C0377" w:rsidRDefault="004C0377" w:rsidP="00975391">
      <w:pPr>
        <w:spacing w:line="360" w:lineRule="auto"/>
        <w:jc w:val="both"/>
        <w:rPr>
          <w:rFonts w:ascii="Arial" w:hAnsi="Arial" w:cs="Arial"/>
        </w:rPr>
      </w:pPr>
    </w:p>
    <w:p w14:paraId="59A8426D" w14:textId="77777777" w:rsidR="004C0377" w:rsidRDefault="004C0377" w:rsidP="00975391">
      <w:pPr>
        <w:spacing w:line="360" w:lineRule="auto"/>
        <w:jc w:val="both"/>
        <w:rPr>
          <w:rFonts w:ascii="Arial" w:hAnsi="Arial" w:cs="Arial"/>
        </w:rPr>
      </w:pPr>
    </w:p>
    <w:p w14:paraId="14773893" w14:textId="77777777" w:rsidR="004C0377" w:rsidRDefault="004C0377" w:rsidP="00975391">
      <w:pPr>
        <w:spacing w:line="360" w:lineRule="auto"/>
        <w:jc w:val="both"/>
        <w:rPr>
          <w:rFonts w:ascii="Arial" w:hAnsi="Arial" w:cs="Arial"/>
        </w:rPr>
      </w:pPr>
    </w:p>
    <w:p w14:paraId="3219D9F0" w14:textId="77777777" w:rsidR="004C0377" w:rsidRDefault="004C0377" w:rsidP="00975391">
      <w:pPr>
        <w:spacing w:line="360" w:lineRule="auto"/>
        <w:jc w:val="both"/>
        <w:rPr>
          <w:rFonts w:ascii="Arial" w:hAnsi="Arial" w:cs="Arial"/>
        </w:rPr>
      </w:pPr>
    </w:p>
    <w:p w14:paraId="52AEBA48" w14:textId="77777777" w:rsidR="004C0377" w:rsidRDefault="004C0377" w:rsidP="00975391">
      <w:pPr>
        <w:spacing w:line="360" w:lineRule="auto"/>
        <w:jc w:val="both"/>
        <w:rPr>
          <w:rFonts w:ascii="Arial" w:hAnsi="Arial" w:cs="Arial"/>
        </w:rPr>
      </w:pPr>
    </w:p>
    <w:p w14:paraId="6DAC9736" w14:textId="77777777" w:rsidR="004C0377" w:rsidRDefault="004C0377" w:rsidP="00975391">
      <w:pPr>
        <w:spacing w:line="360" w:lineRule="auto"/>
        <w:jc w:val="both"/>
        <w:rPr>
          <w:rFonts w:ascii="Arial" w:hAnsi="Arial" w:cs="Arial"/>
        </w:rPr>
      </w:pPr>
    </w:p>
    <w:p w14:paraId="0F55C4FC" w14:textId="77777777" w:rsidR="004C0377" w:rsidRDefault="004C0377" w:rsidP="00975391">
      <w:pPr>
        <w:spacing w:line="360" w:lineRule="auto"/>
        <w:jc w:val="both"/>
        <w:rPr>
          <w:rFonts w:ascii="Arial" w:hAnsi="Arial" w:cs="Arial"/>
        </w:rPr>
      </w:pPr>
    </w:p>
    <w:p w14:paraId="196B48CE" w14:textId="77777777" w:rsidR="004C0377" w:rsidRDefault="004C0377" w:rsidP="00975391">
      <w:pPr>
        <w:spacing w:line="360" w:lineRule="auto"/>
        <w:jc w:val="both"/>
        <w:rPr>
          <w:rFonts w:ascii="Arial" w:hAnsi="Arial" w:cs="Arial"/>
        </w:rPr>
      </w:pPr>
    </w:p>
    <w:p w14:paraId="0181B567" w14:textId="77777777" w:rsidR="004C0377" w:rsidRPr="009C0BB3" w:rsidRDefault="004C0377" w:rsidP="00975391">
      <w:pPr>
        <w:spacing w:line="360" w:lineRule="auto"/>
        <w:jc w:val="both"/>
        <w:rPr>
          <w:rFonts w:ascii="Arial" w:hAnsi="Arial" w:cs="Arial"/>
        </w:rPr>
      </w:pPr>
    </w:p>
    <w:p w14:paraId="2616C19B" w14:textId="4052CE35" w:rsidR="009F6635" w:rsidRPr="004C0377" w:rsidRDefault="009F6635" w:rsidP="004C0377">
      <w:pPr>
        <w:pStyle w:val="Heading1"/>
        <w:numPr>
          <w:ilvl w:val="0"/>
          <w:numId w:val="1"/>
        </w:numPr>
        <w:spacing w:line="360" w:lineRule="auto"/>
        <w:jc w:val="both"/>
        <w:rPr>
          <w:rFonts w:ascii="Arial" w:hAnsi="Arial" w:cs="Arial"/>
          <w:sz w:val="24"/>
          <w:szCs w:val="24"/>
        </w:rPr>
      </w:pPr>
      <w:bookmarkStart w:id="1" w:name="_Toc236641011"/>
      <w:r w:rsidRPr="004C0377">
        <w:rPr>
          <w:rFonts w:ascii="Arial" w:hAnsi="Arial" w:cs="Arial"/>
          <w:sz w:val="24"/>
          <w:szCs w:val="24"/>
        </w:rPr>
        <w:lastRenderedPageBreak/>
        <w:t>Comparative Macro-Environmental Analysis (PESTEL)</w:t>
      </w:r>
      <w:bookmarkEnd w:id="1"/>
    </w:p>
    <w:p w14:paraId="72903D4E" w14:textId="7A95E47C" w:rsidR="0036460C" w:rsidRPr="0036460C" w:rsidRDefault="0036460C" w:rsidP="0036460C">
      <w:pPr>
        <w:spacing w:line="360" w:lineRule="auto"/>
        <w:rPr>
          <w:rFonts w:ascii="Arial" w:hAnsi="Arial" w:cs="Arial"/>
        </w:rPr>
      </w:pPr>
      <w:r w:rsidRPr="0036460C">
        <w:rPr>
          <w:rFonts w:ascii="Arial" w:hAnsi="Arial" w:cs="Arial"/>
        </w:rPr>
        <w:t xml:space="preserve">A PESTEL analysis provides a systematic framework for evaluating the external environmental factors that influence international marketing decisions </w:t>
      </w:r>
      <w:r w:rsidR="00BA2D03" w:rsidRPr="00BA2D03">
        <w:rPr>
          <w:rFonts w:ascii="Arial" w:hAnsi="Arial" w:cs="Arial"/>
        </w:rPr>
        <w:t>(Whittington et al., 2020)</w:t>
      </w:r>
      <w:r w:rsidR="00BA2D03">
        <w:rPr>
          <w:rFonts w:ascii="Arial" w:hAnsi="Arial" w:cs="Arial"/>
        </w:rPr>
        <w:t xml:space="preserve">. </w:t>
      </w:r>
      <w:r w:rsidRPr="0036460C">
        <w:rPr>
          <w:rFonts w:ascii="Arial" w:hAnsi="Arial" w:cs="Arial"/>
        </w:rPr>
        <w:t>For multinational organisations such as Cadbury, understanding differences between the United Kingdom and India is essential because variations in political, economic, socio-cultural and regulatory environments determine the extent to which marketing strategies should be standardised or adapted. The comparison below highlights the key macro-environmental factors shaping Cadbury's international marketing strategy in both markets.</w:t>
      </w:r>
    </w:p>
    <w:p w14:paraId="1CCFB33D" w14:textId="77777777" w:rsidR="009A489D" w:rsidRDefault="009A489D" w:rsidP="009A489D">
      <w:pPr>
        <w:spacing w:line="360" w:lineRule="auto"/>
        <w:jc w:val="center"/>
        <w:rPr>
          <w:rFonts w:ascii="Arial" w:hAnsi="Arial" w:cs="Arial"/>
          <w:noProof/>
        </w:rPr>
      </w:pPr>
      <w:r w:rsidRPr="000308DE">
        <w:rPr>
          <w:rFonts w:ascii="Arial" w:hAnsi="Arial" w:cs="Arial"/>
          <w:noProof/>
        </w:rPr>
        <w:t>Figure 1. Key Macro-Environmental Indicators: United Kingdom vs India</w:t>
      </w:r>
    </w:p>
    <w:p w14:paraId="24EC2AF0" w14:textId="27C53903" w:rsidR="009F6635" w:rsidRDefault="008C4BF9" w:rsidP="00975391">
      <w:pPr>
        <w:spacing w:line="360" w:lineRule="auto"/>
        <w:jc w:val="both"/>
        <w:rPr>
          <w:rFonts w:ascii="Arial" w:hAnsi="Arial" w:cs="Arial"/>
        </w:rPr>
      </w:pPr>
      <w:r>
        <w:rPr>
          <w:rFonts w:ascii="Arial" w:hAnsi="Arial" w:cs="Arial"/>
          <w:noProof/>
        </w:rPr>
        <w:drawing>
          <wp:inline distT="0" distB="0" distL="0" distR="0" wp14:anchorId="5373F267" wp14:editId="34C65D89">
            <wp:extent cx="6645910" cy="4483352"/>
            <wp:effectExtent l="0" t="0" r="2540" b="0"/>
            <wp:docPr id="1118995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4483352"/>
                    </a:xfrm>
                    <a:prstGeom prst="rect">
                      <a:avLst/>
                    </a:prstGeom>
                    <a:noFill/>
                  </pic:spPr>
                </pic:pic>
              </a:graphicData>
            </a:graphic>
          </wp:inline>
        </w:drawing>
      </w:r>
    </w:p>
    <w:p w14:paraId="4B45CAAA" w14:textId="77777777" w:rsidR="00C92B31" w:rsidRDefault="00C92B31" w:rsidP="00C92B31">
      <w:pPr>
        <w:spacing w:line="360" w:lineRule="auto"/>
        <w:jc w:val="center"/>
        <w:rPr>
          <w:rFonts w:ascii="Arial" w:hAnsi="Arial" w:cs="Arial"/>
        </w:rPr>
      </w:pPr>
      <w:bookmarkStart w:id="2" w:name="_Toc236641012"/>
    </w:p>
    <w:p w14:paraId="7DA5E7E1" w14:textId="77777777" w:rsidR="00C92B31" w:rsidRDefault="00C92B31" w:rsidP="00C92B31">
      <w:pPr>
        <w:spacing w:line="360" w:lineRule="auto"/>
        <w:jc w:val="center"/>
        <w:rPr>
          <w:rFonts w:ascii="Arial" w:hAnsi="Arial" w:cs="Arial"/>
        </w:rPr>
      </w:pPr>
    </w:p>
    <w:p w14:paraId="6800D3C6" w14:textId="77777777" w:rsidR="00C92B31" w:rsidRDefault="00C92B31" w:rsidP="00C92B31">
      <w:pPr>
        <w:spacing w:line="360" w:lineRule="auto"/>
        <w:jc w:val="center"/>
        <w:rPr>
          <w:rFonts w:ascii="Arial" w:hAnsi="Arial" w:cs="Arial"/>
        </w:rPr>
      </w:pPr>
    </w:p>
    <w:p w14:paraId="7D25D7F2" w14:textId="77777777" w:rsidR="00C92B31" w:rsidRDefault="00C92B31" w:rsidP="00C92B31">
      <w:pPr>
        <w:spacing w:line="360" w:lineRule="auto"/>
        <w:jc w:val="center"/>
        <w:rPr>
          <w:rFonts w:ascii="Arial" w:hAnsi="Arial" w:cs="Arial"/>
        </w:rPr>
      </w:pPr>
    </w:p>
    <w:p w14:paraId="695A354F" w14:textId="77777777" w:rsidR="00C92B31" w:rsidRDefault="00C92B31" w:rsidP="00C92B31">
      <w:pPr>
        <w:spacing w:line="360" w:lineRule="auto"/>
        <w:jc w:val="center"/>
        <w:rPr>
          <w:rFonts w:ascii="Arial" w:hAnsi="Arial" w:cs="Arial"/>
        </w:rPr>
      </w:pPr>
    </w:p>
    <w:p w14:paraId="7A619EF7" w14:textId="77777777" w:rsidR="00C92B31" w:rsidRDefault="00C92B31" w:rsidP="00C92B31">
      <w:pPr>
        <w:spacing w:line="360" w:lineRule="auto"/>
        <w:jc w:val="center"/>
        <w:rPr>
          <w:rFonts w:ascii="Arial" w:hAnsi="Arial" w:cs="Arial"/>
        </w:rPr>
      </w:pPr>
    </w:p>
    <w:p w14:paraId="703048FD" w14:textId="77777777" w:rsidR="00C92B31" w:rsidRDefault="00C92B31" w:rsidP="00C92B31">
      <w:pPr>
        <w:spacing w:line="360" w:lineRule="auto"/>
        <w:jc w:val="center"/>
        <w:rPr>
          <w:rFonts w:ascii="Arial" w:hAnsi="Arial" w:cs="Arial"/>
        </w:rPr>
      </w:pPr>
    </w:p>
    <w:p w14:paraId="4E1B529E" w14:textId="0E1C5688" w:rsidR="00C92B31" w:rsidRPr="00C92B31" w:rsidRDefault="00C92B31" w:rsidP="00C92B31">
      <w:pPr>
        <w:spacing w:line="360" w:lineRule="auto"/>
        <w:jc w:val="center"/>
        <w:rPr>
          <w:rFonts w:ascii="Arial" w:hAnsi="Arial" w:cs="Arial"/>
          <w:b/>
          <w:bCs/>
        </w:rPr>
      </w:pPr>
      <w:r w:rsidRPr="00C92B31">
        <w:rPr>
          <w:rFonts w:ascii="Arial" w:hAnsi="Arial" w:cs="Arial"/>
          <w:b/>
          <w:bCs/>
        </w:rPr>
        <w:t>Table 1. Comparative PESTEL Analysis of Cadbury: UK and India</w:t>
      </w:r>
    </w:p>
    <w:tbl>
      <w:tblPr>
        <w:tblStyle w:val="TableGrid"/>
        <w:tblW w:w="0" w:type="auto"/>
        <w:tblLook w:val="04A0" w:firstRow="1" w:lastRow="0" w:firstColumn="1" w:lastColumn="0" w:noHBand="0" w:noVBand="1"/>
      </w:tblPr>
      <w:tblGrid>
        <w:gridCol w:w="1883"/>
        <w:gridCol w:w="4038"/>
        <w:gridCol w:w="4535"/>
      </w:tblGrid>
      <w:tr w:rsidR="00C92B31" w:rsidRPr="00881343" w14:paraId="2B6078F7" w14:textId="77777777" w:rsidTr="004C55C4">
        <w:tc>
          <w:tcPr>
            <w:tcW w:w="0" w:type="auto"/>
            <w:hideMark/>
          </w:tcPr>
          <w:p w14:paraId="093D4B06" w14:textId="77777777" w:rsidR="00C92B31" w:rsidRPr="00881343" w:rsidRDefault="00C92B31" w:rsidP="004C55C4">
            <w:pPr>
              <w:spacing w:after="160" w:line="360" w:lineRule="auto"/>
              <w:rPr>
                <w:rFonts w:ascii="Arial" w:hAnsi="Arial" w:cs="Arial"/>
                <w:b/>
                <w:bCs/>
              </w:rPr>
            </w:pPr>
            <w:r w:rsidRPr="00881343">
              <w:rPr>
                <w:rFonts w:ascii="Arial" w:hAnsi="Arial" w:cs="Arial"/>
                <w:b/>
                <w:bCs/>
              </w:rPr>
              <w:t>Factor</w:t>
            </w:r>
          </w:p>
        </w:tc>
        <w:tc>
          <w:tcPr>
            <w:tcW w:w="0" w:type="auto"/>
            <w:hideMark/>
          </w:tcPr>
          <w:p w14:paraId="0F73CD92" w14:textId="77777777" w:rsidR="00C92B31" w:rsidRPr="00881343" w:rsidRDefault="00C92B31" w:rsidP="004C55C4">
            <w:pPr>
              <w:spacing w:after="160" w:line="360" w:lineRule="auto"/>
              <w:rPr>
                <w:rFonts w:ascii="Arial" w:hAnsi="Arial" w:cs="Arial"/>
                <w:b/>
                <w:bCs/>
              </w:rPr>
            </w:pPr>
            <w:r w:rsidRPr="00881343">
              <w:rPr>
                <w:rFonts w:ascii="Arial" w:hAnsi="Arial" w:cs="Arial"/>
                <w:b/>
                <w:bCs/>
              </w:rPr>
              <w:t>Key UK–India Comparison</w:t>
            </w:r>
          </w:p>
        </w:tc>
        <w:tc>
          <w:tcPr>
            <w:tcW w:w="0" w:type="auto"/>
            <w:hideMark/>
          </w:tcPr>
          <w:p w14:paraId="68A209D7" w14:textId="77777777" w:rsidR="00C92B31" w:rsidRPr="00881343" w:rsidRDefault="00C92B31" w:rsidP="004C55C4">
            <w:pPr>
              <w:spacing w:after="160" w:line="360" w:lineRule="auto"/>
              <w:rPr>
                <w:rFonts w:ascii="Arial" w:hAnsi="Arial" w:cs="Arial"/>
                <w:b/>
                <w:bCs/>
              </w:rPr>
            </w:pPr>
            <w:r w:rsidRPr="00881343">
              <w:rPr>
                <w:rFonts w:ascii="Arial" w:hAnsi="Arial" w:cs="Arial"/>
                <w:b/>
                <w:bCs/>
              </w:rPr>
              <w:t>Strategic Implication for Cadbury</w:t>
            </w:r>
          </w:p>
        </w:tc>
      </w:tr>
      <w:tr w:rsidR="00C92B31" w:rsidRPr="00881343" w14:paraId="157499CC" w14:textId="77777777" w:rsidTr="004C55C4">
        <w:tc>
          <w:tcPr>
            <w:tcW w:w="0" w:type="auto"/>
            <w:hideMark/>
          </w:tcPr>
          <w:p w14:paraId="2F0D58E0" w14:textId="77777777" w:rsidR="00C92B31" w:rsidRPr="00881343" w:rsidRDefault="00C92B31" w:rsidP="004C55C4">
            <w:pPr>
              <w:spacing w:after="160" w:line="360" w:lineRule="auto"/>
              <w:rPr>
                <w:rFonts w:ascii="Arial" w:hAnsi="Arial" w:cs="Arial"/>
              </w:rPr>
            </w:pPr>
            <w:r w:rsidRPr="00881343">
              <w:rPr>
                <w:rFonts w:ascii="Arial" w:hAnsi="Arial" w:cs="Arial"/>
                <w:b/>
                <w:bCs/>
              </w:rPr>
              <w:t>Political</w:t>
            </w:r>
          </w:p>
        </w:tc>
        <w:tc>
          <w:tcPr>
            <w:tcW w:w="0" w:type="auto"/>
            <w:hideMark/>
          </w:tcPr>
          <w:p w14:paraId="2E17453E" w14:textId="77777777" w:rsidR="00C92B31" w:rsidRPr="00881343" w:rsidRDefault="00C92B31" w:rsidP="004C55C4">
            <w:pPr>
              <w:spacing w:after="160" w:line="360" w:lineRule="auto"/>
              <w:rPr>
                <w:rFonts w:ascii="Arial" w:hAnsi="Arial" w:cs="Arial"/>
              </w:rPr>
            </w:pPr>
            <w:r w:rsidRPr="00881343">
              <w:rPr>
                <w:rFonts w:ascii="Arial" w:hAnsi="Arial" w:cs="Arial"/>
              </w:rPr>
              <w:t>The UK offers comparatively predictable institutional conditions, whereas India's federal structure creates greater administrative variation across states.</w:t>
            </w:r>
          </w:p>
        </w:tc>
        <w:tc>
          <w:tcPr>
            <w:tcW w:w="0" w:type="auto"/>
            <w:hideMark/>
          </w:tcPr>
          <w:p w14:paraId="4DC83A62" w14:textId="77777777" w:rsidR="00C92B31" w:rsidRPr="00881343" w:rsidRDefault="00C92B31" w:rsidP="004C55C4">
            <w:pPr>
              <w:spacing w:after="160" w:line="360" w:lineRule="auto"/>
              <w:rPr>
                <w:rFonts w:ascii="Arial" w:hAnsi="Arial" w:cs="Arial"/>
              </w:rPr>
            </w:pPr>
            <w:r w:rsidRPr="00881343">
              <w:rPr>
                <w:rFonts w:ascii="Arial" w:hAnsi="Arial" w:cs="Arial"/>
              </w:rPr>
              <w:t>UK operations permit greater standardisation, while India requires stronger local regulatory responsiveness. This supports selective adaptation rather than uniform international implementation (</w:t>
            </w:r>
            <w:proofErr w:type="spellStart"/>
            <w:r w:rsidRPr="00881343">
              <w:rPr>
                <w:rFonts w:ascii="Arial" w:hAnsi="Arial" w:cs="Arial"/>
              </w:rPr>
              <w:t>Theodosiou</w:t>
            </w:r>
            <w:proofErr w:type="spellEnd"/>
            <w:r w:rsidRPr="00881343">
              <w:rPr>
                <w:rFonts w:ascii="Arial" w:hAnsi="Arial" w:cs="Arial"/>
              </w:rPr>
              <w:t xml:space="preserve"> and </w:t>
            </w:r>
            <w:proofErr w:type="spellStart"/>
            <w:r w:rsidRPr="00881343">
              <w:rPr>
                <w:rFonts w:ascii="Arial" w:hAnsi="Arial" w:cs="Arial"/>
              </w:rPr>
              <w:t>Leonidou</w:t>
            </w:r>
            <w:proofErr w:type="spellEnd"/>
            <w:r w:rsidRPr="00881343">
              <w:rPr>
                <w:rFonts w:ascii="Arial" w:hAnsi="Arial" w:cs="Arial"/>
              </w:rPr>
              <w:t>, 2003).</w:t>
            </w:r>
          </w:p>
        </w:tc>
      </w:tr>
      <w:tr w:rsidR="00C92B31" w:rsidRPr="00881343" w14:paraId="3BDF2AFC" w14:textId="77777777" w:rsidTr="004C55C4">
        <w:tc>
          <w:tcPr>
            <w:tcW w:w="0" w:type="auto"/>
            <w:hideMark/>
          </w:tcPr>
          <w:p w14:paraId="353CD292" w14:textId="77777777" w:rsidR="00C92B31" w:rsidRPr="00881343" w:rsidRDefault="00C92B31" w:rsidP="004C55C4">
            <w:pPr>
              <w:spacing w:after="160" w:line="360" w:lineRule="auto"/>
              <w:rPr>
                <w:rFonts w:ascii="Arial" w:hAnsi="Arial" w:cs="Arial"/>
              </w:rPr>
            </w:pPr>
            <w:r w:rsidRPr="00881343">
              <w:rPr>
                <w:rFonts w:ascii="Arial" w:hAnsi="Arial" w:cs="Arial"/>
                <w:b/>
                <w:bCs/>
              </w:rPr>
              <w:t>Economic</w:t>
            </w:r>
          </w:p>
        </w:tc>
        <w:tc>
          <w:tcPr>
            <w:tcW w:w="0" w:type="auto"/>
            <w:hideMark/>
          </w:tcPr>
          <w:p w14:paraId="7966EC00" w14:textId="77777777" w:rsidR="00C92B31" w:rsidRPr="00881343" w:rsidRDefault="00C92B31" w:rsidP="004C55C4">
            <w:pPr>
              <w:spacing w:after="160" w:line="360" w:lineRule="auto"/>
              <w:rPr>
                <w:rFonts w:ascii="Arial" w:hAnsi="Arial" w:cs="Arial"/>
              </w:rPr>
            </w:pPr>
            <w:r w:rsidRPr="00881343">
              <w:rPr>
                <w:rFonts w:ascii="Arial" w:hAnsi="Arial" w:cs="Arial"/>
              </w:rPr>
              <w:t>The UK combines high purchasing power with comparatively slow growth, while India offers substantially faster economic growth but much lower per-capita income (World Bank, 2025a; 2025b).</w:t>
            </w:r>
          </w:p>
        </w:tc>
        <w:tc>
          <w:tcPr>
            <w:tcW w:w="0" w:type="auto"/>
            <w:hideMark/>
          </w:tcPr>
          <w:p w14:paraId="7C78A858" w14:textId="77777777" w:rsidR="00C92B31" w:rsidRPr="00881343" w:rsidRDefault="00C92B31" w:rsidP="004C55C4">
            <w:pPr>
              <w:spacing w:after="160" w:line="360" w:lineRule="auto"/>
              <w:rPr>
                <w:rFonts w:ascii="Arial" w:hAnsi="Arial" w:cs="Arial"/>
              </w:rPr>
            </w:pPr>
            <w:r w:rsidRPr="00881343">
              <w:rPr>
                <w:rFonts w:ascii="Arial" w:hAnsi="Arial" w:cs="Arial"/>
              </w:rPr>
              <w:t>Cadbury can emphasise premiumisation and value creation in the UK, whereas India requires accessible pack sizes and differentiated price points alongside selective premium offerings.</w:t>
            </w:r>
          </w:p>
        </w:tc>
      </w:tr>
      <w:tr w:rsidR="00C92B31" w:rsidRPr="00881343" w14:paraId="0168DDA0" w14:textId="77777777" w:rsidTr="004C55C4">
        <w:tc>
          <w:tcPr>
            <w:tcW w:w="0" w:type="auto"/>
            <w:hideMark/>
          </w:tcPr>
          <w:p w14:paraId="7B80D87D" w14:textId="77777777" w:rsidR="00C92B31" w:rsidRPr="00881343" w:rsidRDefault="00C92B31" w:rsidP="004C55C4">
            <w:pPr>
              <w:spacing w:after="160" w:line="360" w:lineRule="auto"/>
              <w:rPr>
                <w:rFonts w:ascii="Arial" w:hAnsi="Arial" w:cs="Arial"/>
              </w:rPr>
            </w:pPr>
            <w:r w:rsidRPr="00881343">
              <w:rPr>
                <w:rFonts w:ascii="Arial" w:hAnsi="Arial" w:cs="Arial"/>
                <w:b/>
                <w:bCs/>
              </w:rPr>
              <w:t>Social</w:t>
            </w:r>
          </w:p>
        </w:tc>
        <w:tc>
          <w:tcPr>
            <w:tcW w:w="0" w:type="auto"/>
            <w:hideMark/>
          </w:tcPr>
          <w:p w14:paraId="18FE368A" w14:textId="77777777" w:rsidR="00C92B31" w:rsidRPr="00881343" w:rsidRDefault="00C92B31" w:rsidP="004C55C4">
            <w:pPr>
              <w:spacing w:after="160" w:line="360" w:lineRule="auto"/>
              <w:rPr>
                <w:rFonts w:ascii="Arial" w:hAnsi="Arial" w:cs="Arial"/>
              </w:rPr>
            </w:pPr>
            <w:r w:rsidRPr="00881343">
              <w:rPr>
                <w:rFonts w:ascii="Arial" w:hAnsi="Arial" w:cs="Arial"/>
              </w:rPr>
              <w:t>UK demand benefits from Cadbury's long-established heritage, whereas Indian consumption is strongly connected with festivals, gifting and social relationships (Mondelēz International, 2024a; 2026a).</w:t>
            </w:r>
          </w:p>
        </w:tc>
        <w:tc>
          <w:tcPr>
            <w:tcW w:w="0" w:type="auto"/>
            <w:hideMark/>
          </w:tcPr>
          <w:p w14:paraId="6B7EFAD0" w14:textId="77777777" w:rsidR="00C92B31" w:rsidRPr="00881343" w:rsidRDefault="00C92B31" w:rsidP="004C55C4">
            <w:pPr>
              <w:spacing w:after="160" w:line="360" w:lineRule="auto"/>
              <w:rPr>
                <w:rFonts w:ascii="Arial" w:hAnsi="Arial" w:cs="Arial"/>
              </w:rPr>
            </w:pPr>
            <w:r w:rsidRPr="00881343">
              <w:rPr>
                <w:rFonts w:ascii="Arial" w:hAnsi="Arial" w:cs="Arial"/>
              </w:rPr>
              <w:t xml:space="preserve">The core emotional brand can remain consistent, but promotional meaning should be culturally adapted: heritage and generosity in the UK versus celebration and relationships in India (De </w:t>
            </w:r>
            <w:proofErr w:type="spellStart"/>
            <w:r w:rsidRPr="00881343">
              <w:rPr>
                <w:rFonts w:ascii="Arial" w:hAnsi="Arial" w:cs="Arial"/>
              </w:rPr>
              <w:t>Mooij</w:t>
            </w:r>
            <w:proofErr w:type="spellEnd"/>
            <w:r w:rsidRPr="00881343">
              <w:rPr>
                <w:rFonts w:ascii="Arial" w:hAnsi="Arial" w:cs="Arial"/>
              </w:rPr>
              <w:t>, 2021).</w:t>
            </w:r>
          </w:p>
        </w:tc>
      </w:tr>
      <w:tr w:rsidR="00C92B31" w:rsidRPr="00881343" w14:paraId="6C6E4B01" w14:textId="77777777" w:rsidTr="004C55C4">
        <w:tc>
          <w:tcPr>
            <w:tcW w:w="0" w:type="auto"/>
            <w:hideMark/>
          </w:tcPr>
          <w:p w14:paraId="2F0AF182" w14:textId="77777777" w:rsidR="00C92B31" w:rsidRPr="00881343" w:rsidRDefault="00C92B31" w:rsidP="004C55C4">
            <w:pPr>
              <w:spacing w:after="160" w:line="360" w:lineRule="auto"/>
              <w:rPr>
                <w:rFonts w:ascii="Arial" w:hAnsi="Arial" w:cs="Arial"/>
              </w:rPr>
            </w:pPr>
            <w:r w:rsidRPr="00881343">
              <w:rPr>
                <w:rFonts w:ascii="Arial" w:hAnsi="Arial" w:cs="Arial"/>
                <w:b/>
                <w:bCs/>
              </w:rPr>
              <w:t>Technological</w:t>
            </w:r>
          </w:p>
        </w:tc>
        <w:tc>
          <w:tcPr>
            <w:tcW w:w="0" w:type="auto"/>
            <w:hideMark/>
          </w:tcPr>
          <w:p w14:paraId="51DFCC69" w14:textId="442CAB3C" w:rsidR="00C92B31" w:rsidRPr="00881343" w:rsidRDefault="00C92B31" w:rsidP="004C55C4">
            <w:pPr>
              <w:spacing w:after="160" w:line="360" w:lineRule="auto"/>
              <w:rPr>
                <w:rFonts w:ascii="Arial" w:hAnsi="Arial" w:cs="Arial"/>
              </w:rPr>
            </w:pPr>
            <w:r w:rsidRPr="00881343">
              <w:rPr>
                <w:rFonts w:ascii="Arial" w:hAnsi="Arial" w:cs="Arial"/>
              </w:rPr>
              <w:t xml:space="preserve">The UK provides a highly digitised consumer environment, while India combines rapidly expanding digital commerce with extensive traditional retail distribution (Ofcom, 2024; </w:t>
            </w:r>
            <w:r w:rsidR="009C15A5" w:rsidRPr="009C15A5">
              <w:rPr>
                <w:rFonts w:ascii="Arial" w:hAnsi="Arial" w:cs="Arial"/>
              </w:rPr>
              <w:t>(Mondelēz International, n.d.</w:t>
            </w:r>
            <w:r w:rsidRPr="009C15A5">
              <w:rPr>
                <w:rFonts w:ascii="Arial" w:hAnsi="Arial" w:cs="Arial"/>
              </w:rPr>
              <w:t>).</w:t>
            </w:r>
          </w:p>
        </w:tc>
        <w:tc>
          <w:tcPr>
            <w:tcW w:w="0" w:type="auto"/>
            <w:hideMark/>
          </w:tcPr>
          <w:p w14:paraId="11B1C8BA" w14:textId="77777777" w:rsidR="00C92B31" w:rsidRPr="00881343" w:rsidRDefault="00C92B31" w:rsidP="004C55C4">
            <w:pPr>
              <w:spacing w:after="160" w:line="360" w:lineRule="auto"/>
              <w:rPr>
                <w:rFonts w:ascii="Arial" w:hAnsi="Arial" w:cs="Arial"/>
              </w:rPr>
            </w:pPr>
            <w:r w:rsidRPr="00881343">
              <w:rPr>
                <w:rFonts w:ascii="Arial" w:hAnsi="Arial" w:cs="Arial"/>
              </w:rPr>
              <w:t>A digital-led omnichannel strategy is particularly appropriate in the UK, whereas India requires integration of digital platforms with traditional retail channels (Verhoef, Kannan and Inman, 2015).</w:t>
            </w:r>
          </w:p>
        </w:tc>
      </w:tr>
      <w:tr w:rsidR="00C92B31" w:rsidRPr="00881343" w14:paraId="79ADF2FA" w14:textId="77777777" w:rsidTr="004C55C4">
        <w:tc>
          <w:tcPr>
            <w:tcW w:w="0" w:type="auto"/>
            <w:hideMark/>
          </w:tcPr>
          <w:p w14:paraId="5E40517C" w14:textId="77777777" w:rsidR="00C92B31" w:rsidRPr="00881343" w:rsidRDefault="00C92B31" w:rsidP="004C55C4">
            <w:pPr>
              <w:spacing w:after="160" w:line="360" w:lineRule="auto"/>
              <w:rPr>
                <w:rFonts w:ascii="Arial" w:hAnsi="Arial" w:cs="Arial"/>
              </w:rPr>
            </w:pPr>
            <w:r w:rsidRPr="00881343">
              <w:rPr>
                <w:rFonts w:ascii="Arial" w:hAnsi="Arial" w:cs="Arial"/>
                <w:b/>
                <w:bCs/>
              </w:rPr>
              <w:t>Environmental</w:t>
            </w:r>
          </w:p>
        </w:tc>
        <w:tc>
          <w:tcPr>
            <w:tcW w:w="0" w:type="auto"/>
            <w:hideMark/>
          </w:tcPr>
          <w:p w14:paraId="6482E014" w14:textId="77777777" w:rsidR="00C92B31" w:rsidRPr="00881343" w:rsidRDefault="00C92B31" w:rsidP="004C55C4">
            <w:pPr>
              <w:spacing w:after="160" w:line="360" w:lineRule="auto"/>
              <w:rPr>
                <w:rFonts w:ascii="Arial" w:hAnsi="Arial" w:cs="Arial"/>
              </w:rPr>
            </w:pPr>
            <w:r w:rsidRPr="00881343">
              <w:rPr>
                <w:rFonts w:ascii="Arial" w:hAnsi="Arial" w:cs="Arial"/>
              </w:rPr>
              <w:t xml:space="preserve">Both markets are tightening packaging expectations, although </w:t>
            </w:r>
            <w:r w:rsidRPr="00881343">
              <w:rPr>
                <w:rFonts w:ascii="Arial" w:hAnsi="Arial" w:cs="Arial"/>
              </w:rPr>
              <w:lastRenderedPageBreak/>
              <w:t>regulatory mechanisms differ, including the UK's Plastic Packaging Tax and India's producer-responsibility framework.</w:t>
            </w:r>
          </w:p>
        </w:tc>
        <w:tc>
          <w:tcPr>
            <w:tcW w:w="0" w:type="auto"/>
            <w:hideMark/>
          </w:tcPr>
          <w:p w14:paraId="0BDB5DE6" w14:textId="77777777" w:rsidR="00C92B31" w:rsidRPr="00881343" w:rsidRDefault="00C92B31" w:rsidP="004C55C4">
            <w:pPr>
              <w:spacing w:after="160" w:line="360" w:lineRule="auto"/>
              <w:rPr>
                <w:rFonts w:ascii="Arial" w:hAnsi="Arial" w:cs="Arial"/>
              </w:rPr>
            </w:pPr>
            <w:r w:rsidRPr="00881343">
              <w:rPr>
                <w:rFonts w:ascii="Arial" w:hAnsi="Arial" w:cs="Arial"/>
              </w:rPr>
              <w:lastRenderedPageBreak/>
              <w:t xml:space="preserve">Sustainable packaging should be globally coordinated but locally </w:t>
            </w:r>
            <w:r w:rsidRPr="00881343">
              <w:rPr>
                <w:rFonts w:ascii="Arial" w:hAnsi="Arial" w:cs="Arial"/>
              </w:rPr>
              <w:lastRenderedPageBreak/>
              <w:t>implemented to minimise compliance costs and protect brand legitimacy.</w:t>
            </w:r>
          </w:p>
        </w:tc>
      </w:tr>
      <w:tr w:rsidR="00C92B31" w:rsidRPr="00881343" w14:paraId="5CBBFA36" w14:textId="77777777" w:rsidTr="004C55C4">
        <w:tc>
          <w:tcPr>
            <w:tcW w:w="0" w:type="auto"/>
            <w:hideMark/>
          </w:tcPr>
          <w:p w14:paraId="214F6A64" w14:textId="77777777" w:rsidR="00C92B31" w:rsidRPr="00881343" w:rsidRDefault="00C92B31" w:rsidP="004C55C4">
            <w:pPr>
              <w:spacing w:after="160" w:line="360" w:lineRule="auto"/>
              <w:rPr>
                <w:rFonts w:ascii="Arial" w:hAnsi="Arial" w:cs="Arial"/>
              </w:rPr>
            </w:pPr>
            <w:r w:rsidRPr="00881343">
              <w:rPr>
                <w:rFonts w:ascii="Arial" w:hAnsi="Arial" w:cs="Arial"/>
                <w:b/>
                <w:bCs/>
              </w:rPr>
              <w:lastRenderedPageBreak/>
              <w:t>Legal</w:t>
            </w:r>
          </w:p>
        </w:tc>
        <w:tc>
          <w:tcPr>
            <w:tcW w:w="0" w:type="auto"/>
            <w:hideMark/>
          </w:tcPr>
          <w:p w14:paraId="7EB144AF" w14:textId="77777777" w:rsidR="00C92B31" w:rsidRPr="00881343" w:rsidRDefault="00C92B31" w:rsidP="004C55C4">
            <w:pPr>
              <w:spacing w:after="160" w:line="360" w:lineRule="auto"/>
              <w:rPr>
                <w:rFonts w:ascii="Arial" w:hAnsi="Arial" w:cs="Arial"/>
              </w:rPr>
            </w:pPr>
            <w:r w:rsidRPr="00881343">
              <w:rPr>
                <w:rFonts w:ascii="Arial" w:hAnsi="Arial" w:cs="Arial"/>
              </w:rPr>
              <w:t>UK regulation increasingly restricts the promotion of less-healthy foods, while Indian food marketing is governed by extensive FSSAI labelling and packaging requirements.</w:t>
            </w:r>
          </w:p>
        </w:tc>
        <w:tc>
          <w:tcPr>
            <w:tcW w:w="0" w:type="auto"/>
            <w:hideMark/>
          </w:tcPr>
          <w:p w14:paraId="71A4DCEA" w14:textId="77777777" w:rsidR="00C92B31" w:rsidRPr="00881343" w:rsidRDefault="00C92B31" w:rsidP="004C55C4">
            <w:pPr>
              <w:spacing w:after="160" w:line="360" w:lineRule="auto"/>
              <w:rPr>
                <w:rFonts w:ascii="Arial" w:hAnsi="Arial" w:cs="Arial"/>
              </w:rPr>
            </w:pPr>
            <w:r w:rsidRPr="00881343">
              <w:rPr>
                <w:rFonts w:ascii="Arial" w:hAnsi="Arial" w:cs="Arial"/>
              </w:rPr>
              <w:t>Legal differences limit complete standardisation. Cadbury must adapt promotions and packaging while maintaining globally consistent food-quality and brand standards.</w:t>
            </w:r>
          </w:p>
        </w:tc>
      </w:tr>
    </w:tbl>
    <w:p w14:paraId="327AD78A" w14:textId="77777777" w:rsidR="00C92B31" w:rsidRDefault="00C92B31" w:rsidP="00C92B31">
      <w:pPr>
        <w:spacing w:line="360" w:lineRule="auto"/>
        <w:rPr>
          <w:rFonts w:ascii="Arial" w:hAnsi="Arial" w:cs="Arial"/>
          <w:b/>
          <w:bCs/>
        </w:rPr>
      </w:pPr>
    </w:p>
    <w:p w14:paraId="2DAB8E85" w14:textId="77777777" w:rsidR="00C92B31" w:rsidRPr="009C0BB3" w:rsidRDefault="00C92B31" w:rsidP="00C92B31">
      <w:pPr>
        <w:spacing w:line="360" w:lineRule="auto"/>
        <w:rPr>
          <w:rFonts w:ascii="Arial" w:hAnsi="Arial" w:cs="Arial"/>
          <w:b/>
          <w:bCs/>
        </w:rPr>
      </w:pPr>
      <w:r w:rsidRPr="009C0BB3">
        <w:rPr>
          <w:rFonts w:ascii="Arial" w:hAnsi="Arial" w:cs="Arial"/>
          <w:b/>
          <w:bCs/>
        </w:rPr>
        <w:t>Evaluation</w:t>
      </w:r>
    </w:p>
    <w:p w14:paraId="29873F70" w14:textId="77777777" w:rsidR="00C92B31" w:rsidRPr="00E82C88" w:rsidRDefault="00C92B31" w:rsidP="00C92B31">
      <w:pPr>
        <w:spacing w:line="360" w:lineRule="auto"/>
        <w:rPr>
          <w:rFonts w:ascii="Arial" w:hAnsi="Arial" w:cs="Arial"/>
        </w:rPr>
      </w:pPr>
      <w:r w:rsidRPr="00E82C88">
        <w:rPr>
          <w:rFonts w:ascii="Arial" w:hAnsi="Arial" w:cs="Arial"/>
        </w:rPr>
        <w:t>The PESTEL comparison identifies different forms of attractiveness rather than one universally superior environment. The UK is more favourable operationally, benefiting from higher purchasing power, institutional predictability and advanced digital infrastructure. These conditions support premiumisation, sophisticated omnichannel marketing and relatively standardised national execution. However, slow economic growth, market maturity and increasingly restrictive regulation of less-healthy food promotion constrain future volume growth.</w:t>
      </w:r>
    </w:p>
    <w:p w14:paraId="44996B3A" w14:textId="77777777" w:rsidR="00C92B31" w:rsidRPr="00E82C88" w:rsidRDefault="00C92B31" w:rsidP="00C92B31">
      <w:pPr>
        <w:spacing w:line="360" w:lineRule="auto"/>
        <w:rPr>
          <w:rFonts w:ascii="Arial" w:hAnsi="Arial" w:cs="Arial"/>
        </w:rPr>
      </w:pPr>
      <w:r w:rsidRPr="00E82C88">
        <w:rPr>
          <w:rFonts w:ascii="Arial" w:hAnsi="Arial" w:cs="Arial"/>
        </w:rPr>
        <w:t>Conversely, India is strategically more favourable for long-term market growth. Its substantially stronger economic growth and extensive retail reach create opportunities to expand both consumption frequency and consumer penetration. Nevertheless, lower average purchasing power, fragmented distribution and greater regulatory complexity increase adaptation and coordination costs. Cadbury must therefore balance accessible pricing and broad distribution with premium product development as incomes rise.</w:t>
      </w:r>
    </w:p>
    <w:p w14:paraId="4CB36B1C" w14:textId="77777777" w:rsidR="00C92B31" w:rsidRPr="00E82C88" w:rsidRDefault="00C92B31" w:rsidP="00C92B31">
      <w:pPr>
        <w:spacing w:line="360" w:lineRule="auto"/>
        <w:rPr>
          <w:rFonts w:ascii="Arial" w:hAnsi="Arial" w:cs="Arial"/>
        </w:rPr>
      </w:pPr>
      <w:r w:rsidRPr="00E82C88">
        <w:rPr>
          <w:rFonts w:ascii="Arial" w:hAnsi="Arial" w:cs="Arial"/>
        </w:rPr>
        <w:t>Overall, India represents the stronger long-term growth opportunity, whereas the UK provides the more predictable and higher-value operating environment. Cadbury should consequently retain globally consistent brand identity and quality standards while adapting pricing, distribution, communication and regulatory execution to local conditions. This supports evidence that international marketing performance depends on balancing standardisation efficiencies with market-specific responsiveness (</w:t>
      </w:r>
      <w:proofErr w:type="spellStart"/>
      <w:r w:rsidRPr="00E82C88">
        <w:rPr>
          <w:rFonts w:ascii="Arial" w:hAnsi="Arial" w:cs="Arial"/>
        </w:rPr>
        <w:t>Theodosiou</w:t>
      </w:r>
      <w:proofErr w:type="spellEnd"/>
      <w:r w:rsidRPr="00E82C88">
        <w:rPr>
          <w:rFonts w:ascii="Arial" w:hAnsi="Arial" w:cs="Arial"/>
        </w:rPr>
        <w:t xml:space="preserve"> and </w:t>
      </w:r>
      <w:proofErr w:type="spellStart"/>
      <w:r w:rsidRPr="00E82C88">
        <w:rPr>
          <w:rFonts w:ascii="Arial" w:hAnsi="Arial" w:cs="Arial"/>
        </w:rPr>
        <w:t>Leonidou</w:t>
      </w:r>
      <w:proofErr w:type="spellEnd"/>
      <w:r w:rsidRPr="00E82C88">
        <w:rPr>
          <w:rFonts w:ascii="Arial" w:hAnsi="Arial" w:cs="Arial"/>
        </w:rPr>
        <w:t xml:space="preserve">, 2003; Zou and </w:t>
      </w:r>
      <w:proofErr w:type="spellStart"/>
      <w:r w:rsidRPr="00E82C88">
        <w:rPr>
          <w:rFonts w:ascii="Arial" w:hAnsi="Arial" w:cs="Arial"/>
        </w:rPr>
        <w:t>Cavusgil</w:t>
      </w:r>
      <w:proofErr w:type="spellEnd"/>
      <w:r w:rsidRPr="00E82C88">
        <w:rPr>
          <w:rFonts w:ascii="Arial" w:hAnsi="Arial" w:cs="Arial"/>
        </w:rPr>
        <w:t>, 2002).</w:t>
      </w:r>
    </w:p>
    <w:p w14:paraId="1A20DF40" w14:textId="77777777" w:rsidR="00C92B31" w:rsidRDefault="00C92B31" w:rsidP="00C92B31">
      <w:pPr>
        <w:spacing w:line="360" w:lineRule="auto"/>
        <w:rPr>
          <w:rFonts w:ascii="Arial" w:hAnsi="Arial" w:cs="Arial"/>
        </w:rPr>
      </w:pPr>
    </w:p>
    <w:p w14:paraId="17FEAE6F" w14:textId="77777777" w:rsidR="00C92B31" w:rsidRDefault="00C92B31" w:rsidP="00C92B31">
      <w:pPr>
        <w:spacing w:line="360" w:lineRule="auto"/>
        <w:rPr>
          <w:rFonts w:ascii="Arial" w:hAnsi="Arial" w:cs="Arial"/>
        </w:rPr>
      </w:pPr>
    </w:p>
    <w:p w14:paraId="6CE73401" w14:textId="77777777" w:rsidR="009F6635" w:rsidRPr="009C0BB3" w:rsidRDefault="009F6635" w:rsidP="00975391">
      <w:pPr>
        <w:pStyle w:val="Heading1"/>
        <w:spacing w:line="360" w:lineRule="auto"/>
        <w:jc w:val="both"/>
        <w:rPr>
          <w:rFonts w:ascii="Arial" w:hAnsi="Arial" w:cs="Arial"/>
          <w:sz w:val="24"/>
          <w:szCs w:val="24"/>
        </w:rPr>
      </w:pPr>
      <w:r w:rsidRPr="009C0BB3">
        <w:rPr>
          <w:rFonts w:ascii="Arial" w:hAnsi="Arial" w:cs="Arial"/>
          <w:sz w:val="24"/>
          <w:szCs w:val="24"/>
        </w:rPr>
        <w:lastRenderedPageBreak/>
        <w:t>3. Comparative Cultural Analysis: Hofstede’s Framework</w:t>
      </w:r>
      <w:bookmarkEnd w:id="2"/>
    </w:p>
    <w:p w14:paraId="7CC30E9C" w14:textId="77777777" w:rsidR="009F6635" w:rsidRPr="009C0BB3" w:rsidRDefault="009F6635" w:rsidP="00975391">
      <w:pPr>
        <w:spacing w:line="360" w:lineRule="auto"/>
        <w:jc w:val="both"/>
        <w:rPr>
          <w:rFonts w:ascii="Arial" w:hAnsi="Arial" w:cs="Arial"/>
        </w:rPr>
      </w:pPr>
      <w:r w:rsidRPr="009C0BB3">
        <w:rPr>
          <w:rFonts w:ascii="Arial" w:hAnsi="Arial" w:cs="Arial"/>
        </w:rPr>
        <w:t xml:space="preserve">Hofstede’s framework enables national cultures to be compared across six dimensions that may influence consumer values, communication preferences and purchasing behaviour. The latest Hofstede dataset reports substantial cultural differences between the UK and India, particularly in power distance, individualism and indulgence. However, these scores represent national-level tendencies rather than the behaviour of every consumer and should therefore be interpreted alongside contemporary market evidence (Bearden, Money and Nevins, 2006; Minkov, 2018). </w:t>
      </w:r>
    </w:p>
    <w:p w14:paraId="62146770" w14:textId="77777777" w:rsidR="009F6635" w:rsidRPr="009C0BB3" w:rsidRDefault="009F6635" w:rsidP="00C92B31">
      <w:pPr>
        <w:spacing w:line="360" w:lineRule="auto"/>
        <w:jc w:val="center"/>
        <w:rPr>
          <w:rFonts w:ascii="Arial" w:hAnsi="Arial" w:cs="Arial"/>
        </w:rPr>
      </w:pPr>
      <w:r w:rsidRPr="009C0BB3">
        <w:rPr>
          <w:rFonts w:ascii="Arial" w:hAnsi="Arial" w:cs="Arial"/>
          <w:b/>
          <w:bCs/>
        </w:rPr>
        <w:t>Table 2: Hofstede cultural comparison of the United Kingdom and India</w:t>
      </w:r>
    </w:p>
    <w:tbl>
      <w:tblPr>
        <w:tblStyle w:val="TableGrid"/>
        <w:tblW w:w="0" w:type="auto"/>
        <w:tblLook w:val="04A0" w:firstRow="1" w:lastRow="0" w:firstColumn="1" w:lastColumn="0" w:noHBand="0" w:noVBand="1"/>
      </w:tblPr>
      <w:tblGrid>
        <w:gridCol w:w="2289"/>
        <w:gridCol w:w="917"/>
        <w:gridCol w:w="948"/>
        <w:gridCol w:w="6302"/>
      </w:tblGrid>
      <w:tr w:rsidR="009F6635" w:rsidRPr="009C0BB3" w14:paraId="2231832D" w14:textId="77777777" w:rsidTr="009F6635">
        <w:tc>
          <w:tcPr>
            <w:tcW w:w="0" w:type="auto"/>
            <w:hideMark/>
          </w:tcPr>
          <w:p w14:paraId="43D11BC3" w14:textId="77777777" w:rsidR="009F6635" w:rsidRPr="009C0BB3" w:rsidRDefault="009F6635" w:rsidP="00975391">
            <w:pPr>
              <w:spacing w:after="160" w:line="360" w:lineRule="auto"/>
              <w:jc w:val="both"/>
              <w:rPr>
                <w:rFonts w:ascii="Arial" w:hAnsi="Arial" w:cs="Arial"/>
                <w:b/>
                <w:bCs/>
              </w:rPr>
            </w:pPr>
            <w:r w:rsidRPr="009C0BB3">
              <w:rPr>
                <w:rFonts w:ascii="Arial" w:hAnsi="Arial" w:cs="Arial"/>
                <w:b/>
                <w:bCs/>
              </w:rPr>
              <w:t>Cultural dimension</w:t>
            </w:r>
          </w:p>
        </w:tc>
        <w:tc>
          <w:tcPr>
            <w:tcW w:w="0" w:type="auto"/>
            <w:hideMark/>
          </w:tcPr>
          <w:p w14:paraId="4822ED25" w14:textId="77777777" w:rsidR="009F6635" w:rsidRPr="009C0BB3" w:rsidRDefault="009F6635" w:rsidP="00975391">
            <w:pPr>
              <w:spacing w:after="160" w:line="360" w:lineRule="auto"/>
              <w:jc w:val="both"/>
              <w:rPr>
                <w:rFonts w:ascii="Arial" w:hAnsi="Arial" w:cs="Arial"/>
                <w:b/>
                <w:bCs/>
              </w:rPr>
            </w:pPr>
            <w:r w:rsidRPr="009C0BB3">
              <w:rPr>
                <w:rFonts w:ascii="Arial" w:hAnsi="Arial" w:cs="Arial"/>
                <w:b/>
                <w:bCs/>
              </w:rPr>
              <w:t>UK score</w:t>
            </w:r>
          </w:p>
        </w:tc>
        <w:tc>
          <w:tcPr>
            <w:tcW w:w="0" w:type="auto"/>
            <w:hideMark/>
          </w:tcPr>
          <w:p w14:paraId="7EF06E18" w14:textId="77777777" w:rsidR="009F6635" w:rsidRPr="009C0BB3" w:rsidRDefault="009F6635" w:rsidP="00975391">
            <w:pPr>
              <w:spacing w:after="160" w:line="360" w:lineRule="auto"/>
              <w:jc w:val="both"/>
              <w:rPr>
                <w:rFonts w:ascii="Arial" w:hAnsi="Arial" w:cs="Arial"/>
                <w:b/>
                <w:bCs/>
              </w:rPr>
            </w:pPr>
            <w:r w:rsidRPr="009C0BB3">
              <w:rPr>
                <w:rFonts w:ascii="Arial" w:hAnsi="Arial" w:cs="Arial"/>
                <w:b/>
                <w:bCs/>
              </w:rPr>
              <w:t>India score</w:t>
            </w:r>
          </w:p>
        </w:tc>
        <w:tc>
          <w:tcPr>
            <w:tcW w:w="0" w:type="auto"/>
            <w:hideMark/>
          </w:tcPr>
          <w:p w14:paraId="68BC7DC3" w14:textId="77777777" w:rsidR="009F6635" w:rsidRPr="009C0BB3" w:rsidRDefault="009F6635" w:rsidP="00975391">
            <w:pPr>
              <w:spacing w:after="160" w:line="360" w:lineRule="auto"/>
              <w:jc w:val="both"/>
              <w:rPr>
                <w:rFonts w:ascii="Arial" w:hAnsi="Arial" w:cs="Arial"/>
                <w:b/>
                <w:bCs/>
              </w:rPr>
            </w:pPr>
            <w:r w:rsidRPr="009C0BB3">
              <w:rPr>
                <w:rFonts w:ascii="Arial" w:hAnsi="Arial" w:cs="Arial"/>
                <w:b/>
                <w:bCs/>
              </w:rPr>
              <w:t>Comparative interpretation and implications for Cadbury</w:t>
            </w:r>
          </w:p>
        </w:tc>
      </w:tr>
      <w:tr w:rsidR="009F6635" w:rsidRPr="009C0BB3" w14:paraId="62355FBC" w14:textId="77777777" w:rsidTr="009F6635">
        <w:tc>
          <w:tcPr>
            <w:tcW w:w="0" w:type="auto"/>
            <w:hideMark/>
          </w:tcPr>
          <w:p w14:paraId="608206F3"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Power Distance</w:t>
            </w:r>
          </w:p>
        </w:tc>
        <w:tc>
          <w:tcPr>
            <w:tcW w:w="0" w:type="auto"/>
            <w:hideMark/>
          </w:tcPr>
          <w:p w14:paraId="77517B8E"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35</w:t>
            </w:r>
          </w:p>
        </w:tc>
        <w:tc>
          <w:tcPr>
            <w:tcW w:w="0" w:type="auto"/>
            <w:hideMark/>
          </w:tcPr>
          <w:p w14:paraId="0BFDEA47"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77</w:t>
            </w:r>
          </w:p>
        </w:tc>
        <w:tc>
          <w:tcPr>
            <w:tcW w:w="0" w:type="auto"/>
            <w:hideMark/>
          </w:tcPr>
          <w:p w14:paraId="27116AA7" w14:textId="77777777" w:rsidR="009F6635" w:rsidRPr="009C0BB3" w:rsidRDefault="009F6635" w:rsidP="00975391">
            <w:pPr>
              <w:spacing w:after="160" w:line="360" w:lineRule="auto"/>
              <w:jc w:val="both"/>
              <w:rPr>
                <w:rFonts w:ascii="Arial" w:hAnsi="Arial" w:cs="Arial"/>
              </w:rPr>
            </w:pPr>
            <w:r w:rsidRPr="009C0BB3">
              <w:rPr>
                <w:rFonts w:ascii="Arial" w:hAnsi="Arial" w:cs="Arial"/>
              </w:rPr>
              <w:t>The 42-point difference indicates that British society is comparatively egalitarian, whereas Indian society demonstrates greater acceptance of hierarchy and unequal power relationships. Cadbury’s UK communications can therefore use informal, ordinary characters and accessible brand language without depending heavily on authority figures. In India, respected family members, intergenerational relationships and socially recognised roles may carry greater persuasive value. Nevertheless, power distance should not be translated automatically into celebrity endorsement, because hierarchy is only one possible influence on advertising effectiveness.</w:t>
            </w:r>
          </w:p>
        </w:tc>
      </w:tr>
      <w:tr w:rsidR="009F6635" w:rsidRPr="009C0BB3" w14:paraId="7CB6D3AF" w14:textId="77777777" w:rsidTr="009F6635">
        <w:tc>
          <w:tcPr>
            <w:tcW w:w="0" w:type="auto"/>
            <w:hideMark/>
          </w:tcPr>
          <w:p w14:paraId="34A68BAF"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Individualism</w:t>
            </w:r>
          </w:p>
        </w:tc>
        <w:tc>
          <w:tcPr>
            <w:tcW w:w="0" w:type="auto"/>
            <w:hideMark/>
          </w:tcPr>
          <w:p w14:paraId="744990FD"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76</w:t>
            </w:r>
          </w:p>
        </w:tc>
        <w:tc>
          <w:tcPr>
            <w:tcW w:w="0" w:type="auto"/>
            <w:hideMark/>
          </w:tcPr>
          <w:p w14:paraId="454C20A3"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24</w:t>
            </w:r>
          </w:p>
        </w:tc>
        <w:tc>
          <w:tcPr>
            <w:tcW w:w="0" w:type="auto"/>
            <w:hideMark/>
          </w:tcPr>
          <w:p w14:paraId="148CE841" w14:textId="77777777" w:rsidR="009F6635" w:rsidRPr="009C0BB3" w:rsidRDefault="009F6635" w:rsidP="00975391">
            <w:pPr>
              <w:spacing w:after="160" w:line="360" w:lineRule="auto"/>
              <w:jc w:val="both"/>
              <w:rPr>
                <w:rFonts w:ascii="Arial" w:hAnsi="Arial" w:cs="Arial"/>
              </w:rPr>
            </w:pPr>
            <w:r w:rsidRPr="009C0BB3">
              <w:rPr>
                <w:rFonts w:ascii="Arial" w:hAnsi="Arial" w:cs="Arial"/>
              </w:rPr>
              <w:t xml:space="preserve">The UK’s substantially higher score indicates stronger emphasis on independence, personal choice and individual identity. India’s lower score suggests that consumers are more likely to interpret consumption through family, community and group relationships. This supports differentiated emotional positioning: British communication may foreground personal enjoyment or individual acts of generosity, while Indian campaigns can position chocolate as facilitating relationships, gifting and shared celebration. Research on Indian advertising </w:t>
            </w:r>
            <w:r w:rsidRPr="009C0BB3">
              <w:rPr>
                <w:rFonts w:ascii="Arial" w:hAnsi="Arial" w:cs="Arial"/>
              </w:rPr>
              <w:lastRenderedPageBreak/>
              <w:t xml:space="preserve">confirms that family, festivity, religion, friendship and social relationships remain prominent cultural cues, although their meaning continues to evolve (Swaminathan and Bansal, 2014). </w:t>
            </w:r>
          </w:p>
        </w:tc>
      </w:tr>
      <w:tr w:rsidR="009F6635" w:rsidRPr="009C0BB3" w14:paraId="102F4B4A" w14:textId="77777777" w:rsidTr="009F6635">
        <w:tc>
          <w:tcPr>
            <w:tcW w:w="0" w:type="auto"/>
            <w:hideMark/>
          </w:tcPr>
          <w:p w14:paraId="0CE3EB1F"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lastRenderedPageBreak/>
              <w:t>Motivation towards Achievement and Success</w:t>
            </w:r>
          </w:p>
        </w:tc>
        <w:tc>
          <w:tcPr>
            <w:tcW w:w="0" w:type="auto"/>
            <w:hideMark/>
          </w:tcPr>
          <w:p w14:paraId="1EBFB232"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66</w:t>
            </w:r>
          </w:p>
        </w:tc>
        <w:tc>
          <w:tcPr>
            <w:tcW w:w="0" w:type="auto"/>
            <w:hideMark/>
          </w:tcPr>
          <w:p w14:paraId="3B23E8E7"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56</w:t>
            </w:r>
          </w:p>
        </w:tc>
        <w:tc>
          <w:tcPr>
            <w:tcW w:w="0" w:type="auto"/>
            <w:hideMark/>
          </w:tcPr>
          <w:p w14:paraId="6BAABD5B" w14:textId="30CDBFEC" w:rsidR="009F6635" w:rsidRPr="009C0BB3" w:rsidRDefault="009F6635" w:rsidP="00975391">
            <w:pPr>
              <w:spacing w:after="160" w:line="360" w:lineRule="auto"/>
              <w:jc w:val="both"/>
              <w:rPr>
                <w:rFonts w:ascii="Arial" w:hAnsi="Arial" w:cs="Arial"/>
              </w:rPr>
            </w:pPr>
            <w:r w:rsidRPr="009C0BB3">
              <w:rPr>
                <w:rFonts w:ascii="Arial" w:hAnsi="Arial" w:cs="Arial"/>
              </w:rPr>
              <w:t>Both countries score above the midpoint, indicating that achievement, recognition and performance possess cultural relevance, although this tendency is stronger in the UK. The relatively small ten-point difference does not justify radically different strategies. Cadbury can appeal to achievement occasions in both markets</w:t>
            </w:r>
            <w:r w:rsidR="00726513">
              <w:rPr>
                <w:rFonts w:ascii="Arial" w:hAnsi="Arial" w:cs="Arial"/>
              </w:rPr>
              <w:t xml:space="preserve"> </w:t>
            </w:r>
            <w:r w:rsidRPr="009C0BB3">
              <w:rPr>
                <w:rFonts w:ascii="Arial" w:hAnsi="Arial" w:cs="Arial"/>
              </w:rPr>
              <w:t>for example, celebrations associated with success</w:t>
            </w:r>
            <w:r w:rsidR="00726513">
              <w:rPr>
                <w:rFonts w:ascii="Arial" w:hAnsi="Arial" w:cs="Arial"/>
              </w:rPr>
              <w:t xml:space="preserve"> </w:t>
            </w:r>
            <w:r w:rsidRPr="009C0BB3">
              <w:rPr>
                <w:rFonts w:ascii="Arial" w:hAnsi="Arial" w:cs="Arial"/>
              </w:rPr>
              <w:t xml:space="preserve">but should combine these with its broader emotional positioning. In India, achievement may be represented through family pride or collective recognition, whereas UK executions may emphasise personal accomplishment. This interpretation must remain cautious because recent large-scale studies have questioned whether Hofstede’s masculinity dimension can be reliably replicated (Minkov, 2018; Minkov and </w:t>
            </w:r>
            <w:proofErr w:type="spellStart"/>
            <w:r w:rsidRPr="009C0BB3">
              <w:rPr>
                <w:rFonts w:ascii="Arial" w:hAnsi="Arial" w:cs="Arial"/>
              </w:rPr>
              <w:t>Kaasa</w:t>
            </w:r>
            <w:proofErr w:type="spellEnd"/>
            <w:r w:rsidRPr="009C0BB3">
              <w:rPr>
                <w:rFonts w:ascii="Arial" w:hAnsi="Arial" w:cs="Arial"/>
              </w:rPr>
              <w:t xml:space="preserve">, 2021). </w:t>
            </w:r>
          </w:p>
        </w:tc>
      </w:tr>
      <w:tr w:rsidR="009F6635" w:rsidRPr="009C0BB3" w14:paraId="4F7A4819" w14:textId="77777777" w:rsidTr="009F6635">
        <w:tc>
          <w:tcPr>
            <w:tcW w:w="0" w:type="auto"/>
            <w:hideMark/>
          </w:tcPr>
          <w:p w14:paraId="016819D9"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Uncertainty Avoidance</w:t>
            </w:r>
          </w:p>
        </w:tc>
        <w:tc>
          <w:tcPr>
            <w:tcW w:w="0" w:type="auto"/>
            <w:hideMark/>
          </w:tcPr>
          <w:p w14:paraId="11B443A5"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35</w:t>
            </w:r>
          </w:p>
        </w:tc>
        <w:tc>
          <w:tcPr>
            <w:tcW w:w="0" w:type="auto"/>
            <w:hideMark/>
          </w:tcPr>
          <w:p w14:paraId="4B93D20E"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40</w:t>
            </w:r>
          </w:p>
        </w:tc>
        <w:tc>
          <w:tcPr>
            <w:tcW w:w="0" w:type="auto"/>
            <w:hideMark/>
          </w:tcPr>
          <w:p w14:paraId="00EE4283" w14:textId="77777777" w:rsidR="009F6635" w:rsidRPr="009C0BB3" w:rsidRDefault="009F6635" w:rsidP="00975391">
            <w:pPr>
              <w:spacing w:after="160" w:line="360" w:lineRule="auto"/>
              <w:jc w:val="both"/>
              <w:rPr>
                <w:rFonts w:ascii="Arial" w:hAnsi="Arial" w:cs="Arial"/>
              </w:rPr>
            </w:pPr>
            <w:r w:rsidRPr="009C0BB3">
              <w:rPr>
                <w:rFonts w:ascii="Arial" w:hAnsi="Arial" w:cs="Arial"/>
              </w:rPr>
              <w:t xml:space="preserve">The five-point difference is too small to support a strong cultural contrast. Both markets display relatively low uncertainty avoidance, suggesting comparatively greater tolerance of ambiguity, product experimentation and creative advertising. Cadbury may therefore introduce new flavours, limited editions and unconventional campaigns in both countries. Market-specific differences in adoption should not be attributed to culture alone; price, distribution, product familiarity and income may be equally or more influential. This caution is reinforced by evidence that Hofstede’s uncertainty-avoidance construct has not consistently replicated across more recent international samples (Minkov and </w:t>
            </w:r>
            <w:proofErr w:type="spellStart"/>
            <w:r w:rsidRPr="009C0BB3">
              <w:rPr>
                <w:rFonts w:ascii="Arial" w:hAnsi="Arial" w:cs="Arial"/>
              </w:rPr>
              <w:t>Kaasa</w:t>
            </w:r>
            <w:proofErr w:type="spellEnd"/>
            <w:r w:rsidRPr="009C0BB3">
              <w:rPr>
                <w:rFonts w:ascii="Arial" w:hAnsi="Arial" w:cs="Arial"/>
              </w:rPr>
              <w:t xml:space="preserve">, 2021). </w:t>
            </w:r>
          </w:p>
        </w:tc>
      </w:tr>
      <w:tr w:rsidR="009F6635" w:rsidRPr="009C0BB3" w14:paraId="7DAB4477" w14:textId="77777777" w:rsidTr="009F6635">
        <w:tc>
          <w:tcPr>
            <w:tcW w:w="0" w:type="auto"/>
            <w:hideMark/>
          </w:tcPr>
          <w:p w14:paraId="212CBCE1"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Long-Term Orientation</w:t>
            </w:r>
          </w:p>
        </w:tc>
        <w:tc>
          <w:tcPr>
            <w:tcW w:w="0" w:type="auto"/>
            <w:hideMark/>
          </w:tcPr>
          <w:p w14:paraId="4C56C1DA"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60</w:t>
            </w:r>
          </w:p>
        </w:tc>
        <w:tc>
          <w:tcPr>
            <w:tcW w:w="0" w:type="auto"/>
            <w:hideMark/>
          </w:tcPr>
          <w:p w14:paraId="3757B84A"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51</w:t>
            </w:r>
          </w:p>
        </w:tc>
        <w:tc>
          <w:tcPr>
            <w:tcW w:w="0" w:type="auto"/>
            <w:hideMark/>
          </w:tcPr>
          <w:p w14:paraId="3B45BE88" w14:textId="77777777" w:rsidR="009F6635" w:rsidRPr="009C0BB3" w:rsidRDefault="009F6635" w:rsidP="00975391">
            <w:pPr>
              <w:spacing w:after="160" w:line="360" w:lineRule="auto"/>
              <w:jc w:val="both"/>
              <w:rPr>
                <w:rFonts w:ascii="Arial" w:hAnsi="Arial" w:cs="Arial"/>
              </w:rPr>
            </w:pPr>
            <w:r w:rsidRPr="009C0BB3">
              <w:rPr>
                <w:rFonts w:ascii="Arial" w:hAnsi="Arial" w:cs="Arial"/>
              </w:rPr>
              <w:t xml:space="preserve">Both markets occupy a relatively balanced position, although the UK’s updated score is moderately higher. </w:t>
            </w:r>
            <w:r w:rsidRPr="009C0BB3">
              <w:rPr>
                <w:rFonts w:ascii="Arial" w:hAnsi="Arial" w:cs="Arial"/>
              </w:rPr>
              <w:lastRenderedPageBreak/>
              <w:t>These results provide limited support for portraying India as inherently more long-term oriented than the UK. Cadbury should therefore combine long-term brand building with short-term occasion-based activation in both countries. In the UK, its continued emphasis on heritage and generosity reinforces accumulated brand equity, while festival and gifting communications in India can generate immediate purchases while gradually embedding chocolate within established social rituals.</w:t>
            </w:r>
          </w:p>
        </w:tc>
      </w:tr>
      <w:tr w:rsidR="009F6635" w:rsidRPr="009C0BB3" w14:paraId="7D1D2D81" w14:textId="77777777" w:rsidTr="009F6635">
        <w:tc>
          <w:tcPr>
            <w:tcW w:w="0" w:type="auto"/>
            <w:hideMark/>
          </w:tcPr>
          <w:p w14:paraId="2E6E7A00"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lastRenderedPageBreak/>
              <w:t>Indulgence</w:t>
            </w:r>
          </w:p>
        </w:tc>
        <w:tc>
          <w:tcPr>
            <w:tcW w:w="0" w:type="auto"/>
            <w:hideMark/>
          </w:tcPr>
          <w:p w14:paraId="5F4B13B6"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69</w:t>
            </w:r>
          </w:p>
        </w:tc>
        <w:tc>
          <w:tcPr>
            <w:tcW w:w="0" w:type="auto"/>
            <w:hideMark/>
          </w:tcPr>
          <w:p w14:paraId="5E40126B" w14:textId="77777777" w:rsidR="009F6635" w:rsidRPr="009C0BB3" w:rsidRDefault="009F6635" w:rsidP="00975391">
            <w:pPr>
              <w:spacing w:after="160" w:line="360" w:lineRule="auto"/>
              <w:jc w:val="both"/>
              <w:rPr>
                <w:rFonts w:ascii="Arial" w:hAnsi="Arial" w:cs="Arial"/>
              </w:rPr>
            </w:pPr>
            <w:r w:rsidRPr="009C0BB3">
              <w:rPr>
                <w:rFonts w:ascii="Arial" w:hAnsi="Arial" w:cs="Arial"/>
                <w:b/>
                <w:bCs/>
              </w:rPr>
              <w:t>26</w:t>
            </w:r>
          </w:p>
        </w:tc>
        <w:tc>
          <w:tcPr>
            <w:tcW w:w="0" w:type="auto"/>
            <w:hideMark/>
          </w:tcPr>
          <w:p w14:paraId="5B0F82E3" w14:textId="39EAFCC2" w:rsidR="009F6635" w:rsidRPr="009C0BB3" w:rsidRDefault="009F6635" w:rsidP="00975391">
            <w:pPr>
              <w:spacing w:after="160" w:line="360" w:lineRule="auto"/>
              <w:jc w:val="both"/>
              <w:rPr>
                <w:rFonts w:ascii="Arial" w:hAnsi="Arial" w:cs="Arial"/>
              </w:rPr>
            </w:pPr>
            <w:r w:rsidRPr="009C0BB3">
              <w:rPr>
                <w:rFonts w:ascii="Arial" w:hAnsi="Arial" w:cs="Arial"/>
              </w:rPr>
              <w:t xml:space="preserve">This is the second-largest difference. The UK’s high score suggests greater social acceptance of enjoyment, leisure and gratification, making everyday indulgence and self-reward credible consumption motives. India’s low score indicates comparatively stronger restraint and social regulation of gratification. Therefore, Cadbury may need to legitimise consumption in India by connecting chocolate with gifting, festivals, relationships or meaningful occasions rather than presenting it only as individual self-indulgence. Research based on 200 Indian advertisements similarly finds that rituals, festivity, religion, language and emotional appeals are important vehicles for cultural relevance </w:t>
            </w:r>
            <w:r w:rsidR="00542BE6" w:rsidRPr="00542BE6">
              <w:rPr>
                <w:rFonts w:ascii="Arial" w:hAnsi="Arial" w:cs="Arial"/>
              </w:rPr>
              <w:t>(Swaminathan and Bansal, 2014)</w:t>
            </w:r>
            <w:r w:rsidR="00542BE6">
              <w:rPr>
                <w:rFonts w:ascii="Arial" w:hAnsi="Arial" w:cs="Arial"/>
              </w:rPr>
              <w:t>.</w:t>
            </w:r>
          </w:p>
        </w:tc>
      </w:tr>
    </w:tbl>
    <w:p w14:paraId="6367B568" w14:textId="52C30FDD" w:rsidR="009F6635" w:rsidRDefault="009F6635" w:rsidP="00975391">
      <w:pPr>
        <w:spacing w:line="360" w:lineRule="auto"/>
        <w:jc w:val="both"/>
        <w:rPr>
          <w:rFonts w:ascii="Arial" w:hAnsi="Arial" w:cs="Arial"/>
        </w:rPr>
      </w:pPr>
      <w:r w:rsidRPr="009C0BB3">
        <w:rPr>
          <w:rFonts w:ascii="Arial" w:hAnsi="Arial" w:cs="Arial"/>
          <w:i/>
          <w:iCs/>
        </w:rPr>
        <w:t xml:space="preserve">Source: </w:t>
      </w:r>
      <w:r w:rsidR="00120F15" w:rsidRPr="00120F15">
        <w:rPr>
          <w:rFonts w:ascii="Arial" w:hAnsi="Arial" w:cs="Arial"/>
          <w:i/>
          <w:iCs/>
        </w:rPr>
        <w:t>(The Culture Factor Group, 2023</w:t>
      </w:r>
      <w:r w:rsidR="000D1CBC" w:rsidRPr="00492029">
        <w:rPr>
          <w:rFonts w:ascii="Arial" w:hAnsi="Arial" w:cs="Arial"/>
          <w:i/>
          <w:iCs/>
        </w:rPr>
        <w:t xml:space="preserve">). </w:t>
      </w:r>
      <w:r w:rsidR="00492029" w:rsidRPr="00492029">
        <w:rPr>
          <w:rFonts w:ascii="Arial" w:hAnsi="Arial" w:cs="Arial"/>
          <w:i/>
          <w:iCs/>
        </w:rPr>
        <w:t>Country Comparison: United Kingdom and India.</w:t>
      </w:r>
      <w:r w:rsidR="00492029">
        <w:rPr>
          <w:rFonts w:ascii="Arial" w:hAnsi="Arial" w:cs="Arial"/>
          <w:i/>
          <w:iCs/>
        </w:rPr>
        <w:t xml:space="preserve"> </w:t>
      </w:r>
      <w:r w:rsidRPr="009C0BB3">
        <w:rPr>
          <w:rFonts w:ascii="Arial" w:hAnsi="Arial" w:cs="Arial"/>
          <w:i/>
          <w:iCs/>
        </w:rPr>
        <w:t>Scores range comparatively across countries and should not be interpreted as percentages or individual personality measures.</w:t>
      </w:r>
      <w:r w:rsidRPr="009C0BB3">
        <w:rPr>
          <w:rFonts w:ascii="Arial" w:hAnsi="Arial" w:cs="Arial"/>
        </w:rPr>
        <w:t xml:space="preserve"> </w:t>
      </w:r>
    </w:p>
    <w:p w14:paraId="4191A5DE" w14:textId="77777777" w:rsidR="00EA17F0" w:rsidRDefault="00EA17F0" w:rsidP="00975391">
      <w:pPr>
        <w:spacing w:line="360" w:lineRule="auto"/>
        <w:jc w:val="both"/>
        <w:rPr>
          <w:rFonts w:ascii="Arial" w:hAnsi="Arial" w:cs="Arial"/>
        </w:rPr>
      </w:pPr>
    </w:p>
    <w:p w14:paraId="7066213E" w14:textId="77777777" w:rsidR="00EA17F0" w:rsidRDefault="00EA17F0" w:rsidP="00975391">
      <w:pPr>
        <w:spacing w:line="360" w:lineRule="auto"/>
        <w:jc w:val="both"/>
        <w:rPr>
          <w:rFonts w:ascii="Arial" w:hAnsi="Arial" w:cs="Arial"/>
        </w:rPr>
      </w:pPr>
    </w:p>
    <w:p w14:paraId="06885F38" w14:textId="77777777" w:rsidR="00EA17F0" w:rsidRDefault="00EA17F0" w:rsidP="00975391">
      <w:pPr>
        <w:spacing w:line="360" w:lineRule="auto"/>
        <w:jc w:val="both"/>
        <w:rPr>
          <w:rFonts w:ascii="Arial" w:hAnsi="Arial" w:cs="Arial"/>
        </w:rPr>
      </w:pPr>
    </w:p>
    <w:p w14:paraId="4618BD92" w14:textId="77777777" w:rsidR="00EA17F0" w:rsidRDefault="00EA17F0" w:rsidP="00975391">
      <w:pPr>
        <w:spacing w:line="360" w:lineRule="auto"/>
        <w:jc w:val="both"/>
        <w:rPr>
          <w:rFonts w:ascii="Arial" w:hAnsi="Arial" w:cs="Arial"/>
        </w:rPr>
      </w:pPr>
    </w:p>
    <w:p w14:paraId="66B08F91" w14:textId="77777777" w:rsidR="00EA17F0" w:rsidRDefault="00EA17F0" w:rsidP="00975391">
      <w:pPr>
        <w:spacing w:line="360" w:lineRule="auto"/>
        <w:jc w:val="both"/>
        <w:rPr>
          <w:rFonts w:ascii="Arial" w:hAnsi="Arial" w:cs="Arial"/>
        </w:rPr>
      </w:pPr>
    </w:p>
    <w:p w14:paraId="480054E7" w14:textId="77777777" w:rsidR="00EA17F0" w:rsidRDefault="00EA17F0" w:rsidP="00975391">
      <w:pPr>
        <w:spacing w:line="360" w:lineRule="auto"/>
        <w:jc w:val="both"/>
        <w:rPr>
          <w:rFonts w:ascii="Arial" w:hAnsi="Arial" w:cs="Arial"/>
        </w:rPr>
      </w:pPr>
    </w:p>
    <w:p w14:paraId="7B5A9BFF" w14:textId="4CC12355" w:rsidR="00EA17F0" w:rsidRPr="00EA17F0" w:rsidRDefault="00EA17F0" w:rsidP="00EA17F0">
      <w:pPr>
        <w:spacing w:line="360" w:lineRule="auto"/>
        <w:jc w:val="center"/>
        <w:rPr>
          <w:rFonts w:ascii="Arial" w:hAnsi="Arial" w:cs="Arial"/>
        </w:rPr>
      </w:pPr>
      <w:r w:rsidRPr="00EA17F0">
        <w:rPr>
          <w:rFonts w:ascii="Arial" w:hAnsi="Arial" w:cs="Arial"/>
        </w:rPr>
        <w:lastRenderedPageBreak/>
        <w:t>Figure 2. Hofstede Cultural Dimensions Comparison: United Kingdom and India</w:t>
      </w:r>
    </w:p>
    <w:p w14:paraId="1CA74740" w14:textId="02E52380" w:rsidR="009F6635" w:rsidRPr="009C0BB3" w:rsidRDefault="00C5112B" w:rsidP="00975391">
      <w:pPr>
        <w:spacing w:line="360" w:lineRule="auto"/>
        <w:jc w:val="both"/>
        <w:rPr>
          <w:rFonts w:ascii="Arial" w:hAnsi="Arial" w:cs="Arial"/>
        </w:rPr>
      </w:pPr>
      <w:r w:rsidRPr="009C0BB3">
        <w:rPr>
          <w:rFonts w:ascii="Arial" w:hAnsi="Arial" w:cs="Arial"/>
          <w:noProof/>
        </w:rPr>
        <w:drawing>
          <wp:inline distT="0" distB="0" distL="0" distR="0" wp14:anchorId="4D0FE729" wp14:editId="7A2D0267">
            <wp:extent cx="6614160" cy="3975859"/>
            <wp:effectExtent l="0" t="0" r="0" b="5715"/>
            <wp:docPr id="166164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84164" cy="4017939"/>
                    </a:xfrm>
                    <a:prstGeom prst="rect">
                      <a:avLst/>
                    </a:prstGeom>
                    <a:noFill/>
                  </pic:spPr>
                </pic:pic>
              </a:graphicData>
            </a:graphic>
          </wp:inline>
        </w:drawing>
      </w:r>
      <w:r w:rsidR="009F6635" w:rsidRPr="009C0BB3">
        <w:rPr>
          <w:rFonts w:ascii="Arial" w:hAnsi="Arial" w:cs="Arial"/>
          <w:b/>
          <w:bCs/>
        </w:rPr>
        <w:t>Evaluation</w:t>
      </w:r>
    </w:p>
    <w:p w14:paraId="58652E60" w14:textId="77777777" w:rsidR="009F6635" w:rsidRPr="009C0BB3" w:rsidRDefault="009F6635" w:rsidP="00975391">
      <w:pPr>
        <w:spacing w:line="360" w:lineRule="auto"/>
        <w:jc w:val="both"/>
        <w:rPr>
          <w:rFonts w:ascii="Arial" w:hAnsi="Arial" w:cs="Arial"/>
        </w:rPr>
      </w:pPr>
      <w:r w:rsidRPr="009C0BB3">
        <w:rPr>
          <w:rFonts w:ascii="Arial" w:hAnsi="Arial" w:cs="Arial"/>
        </w:rPr>
        <w:t xml:space="preserve">The comparison suggests that Cadbury should not employ identical marketing communications in the two countries. The greatest differences concern power distance, individualism and indulgence, providing a stronger empirical basis for adaptation than masculinity, uncertainty avoidance or long-term orientation, where the scores are comparatively close. Cadbury can consequently retain a globally consistent emotional promise while varying the cultural meaning through which it is expressed. In the UK, the brand’s official communications emphasise generosity through ordinary individual acts and personal gifting. In India, relationship-based and festival-oriented storytelling is more congruent with the country’s lower individualism and indulgence scores. </w:t>
      </w:r>
    </w:p>
    <w:p w14:paraId="3CB107B2" w14:textId="77777777" w:rsidR="009F6635" w:rsidRPr="009C0BB3" w:rsidRDefault="009F6635" w:rsidP="00975391">
      <w:pPr>
        <w:spacing w:line="360" w:lineRule="auto"/>
        <w:jc w:val="both"/>
        <w:rPr>
          <w:rFonts w:ascii="Arial" w:hAnsi="Arial" w:cs="Arial"/>
        </w:rPr>
      </w:pPr>
      <w:r w:rsidRPr="009C0BB3">
        <w:rPr>
          <w:rFonts w:ascii="Arial" w:hAnsi="Arial" w:cs="Arial"/>
        </w:rPr>
        <w:t xml:space="preserve">Nevertheless, Hofstede should be treated as an analytical starting point rather than a deterministic explanation of consumer behaviour. India contains substantial regional, linguistic, religious, generational and socioeconomic diversity, while the UK is also culturally heterogeneous. Applying national averages directly to individual consumers risks an ecological fallacy (Bearden, Money and Nevins, 2006). Moreover, Hofstede’s original model was derived substantially from IBM employee data, and subsequent research involving approximately 53,000 respondents across 56 countries challenged the independence or replicability of several dimensions, particularly masculinity and uncertainty avoidance (Minkov, 2018). </w:t>
      </w:r>
    </w:p>
    <w:p w14:paraId="6E8103F0" w14:textId="77777777" w:rsidR="009F6635" w:rsidRPr="009C0BB3" w:rsidRDefault="009F6635" w:rsidP="00975391">
      <w:pPr>
        <w:spacing w:line="360" w:lineRule="auto"/>
        <w:jc w:val="both"/>
        <w:rPr>
          <w:rFonts w:ascii="Arial" w:hAnsi="Arial" w:cs="Arial"/>
        </w:rPr>
      </w:pPr>
      <w:r w:rsidRPr="009C0BB3">
        <w:rPr>
          <w:rFonts w:ascii="Arial" w:hAnsi="Arial" w:cs="Arial"/>
        </w:rPr>
        <w:lastRenderedPageBreak/>
        <w:t>Accordingly, Cadbury should triangulate Hofstede’s scores with contemporary consumer research, regional sales data and campaign testing. This produces a more defensible transnational strategy: standardising core brand identity and product quality while adapting narratives, occasions and cultural symbols to local consumer contexts.</w:t>
      </w:r>
    </w:p>
    <w:p w14:paraId="2ABE45B5" w14:textId="77777777" w:rsidR="00C5112B" w:rsidRPr="009C0BB3" w:rsidRDefault="00C5112B" w:rsidP="00975391">
      <w:pPr>
        <w:pStyle w:val="Heading1"/>
        <w:spacing w:line="360" w:lineRule="auto"/>
        <w:jc w:val="both"/>
        <w:rPr>
          <w:rFonts w:ascii="Arial" w:hAnsi="Arial" w:cs="Arial"/>
          <w:sz w:val="24"/>
          <w:szCs w:val="24"/>
        </w:rPr>
      </w:pPr>
      <w:bookmarkStart w:id="3" w:name="_Toc236641013"/>
      <w:r w:rsidRPr="009C0BB3">
        <w:rPr>
          <w:rFonts w:ascii="Arial" w:hAnsi="Arial" w:cs="Arial"/>
          <w:sz w:val="24"/>
          <w:szCs w:val="24"/>
        </w:rPr>
        <w:t>4. Comparative STP Analysis</w:t>
      </w:r>
      <w:bookmarkEnd w:id="3"/>
    </w:p>
    <w:p w14:paraId="6B2DB84D" w14:textId="4CD89E6D" w:rsidR="00C5112B" w:rsidRPr="009C0BB3" w:rsidRDefault="00C5112B" w:rsidP="00975391">
      <w:pPr>
        <w:spacing w:line="360" w:lineRule="auto"/>
        <w:jc w:val="both"/>
        <w:rPr>
          <w:rFonts w:ascii="Arial" w:hAnsi="Arial" w:cs="Arial"/>
        </w:rPr>
      </w:pPr>
      <w:r w:rsidRPr="009C0BB3">
        <w:rPr>
          <w:rFonts w:ascii="Arial" w:hAnsi="Arial" w:cs="Arial"/>
        </w:rPr>
        <w:t xml:space="preserve">Segmentation, Targeting and Positioning (STP) is a strategic marketing framework that enables firms to identify attractive customer groups and develop differentiated value propositions that create sustainable competitive advantage </w:t>
      </w:r>
      <w:r w:rsidR="003913F5">
        <w:rPr>
          <w:rFonts w:ascii="Arial" w:hAnsi="Arial" w:cs="Arial"/>
        </w:rPr>
        <w:t>(</w:t>
      </w:r>
      <w:r w:rsidR="00C117D6" w:rsidRPr="00C117D6">
        <w:rPr>
          <w:rFonts w:ascii="Arial" w:hAnsi="Arial" w:cs="Arial"/>
        </w:rPr>
        <w:t>Kotler et al</w:t>
      </w:r>
      <w:r w:rsidR="00847B17">
        <w:rPr>
          <w:rFonts w:ascii="Arial" w:hAnsi="Arial" w:cs="Arial"/>
        </w:rPr>
        <w:t>.</w:t>
      </w:r>
      <w:r w:rsidR="008E6E22">
        <w:rPr>
          <w:rFonts w:ascii="Arial" w:hAnsi="Arial" w:cs="Arial"/>
        </w:rPr>
        <w:t>,</w:t>
      </w:r>
      <w:r w:rsidR="003B5AE1">
        <w:rPr>
          <w:rFonts w:ascii="Arial" w:hAnsi="Arial" w:cs="Arial"/>
        </w:rPr>
        <w:t xml:space="preserve"> </w:t>
      </w:r>
      <w:r w:rsidR="00C117D6" w:rsidRPr="00C117D6">
        <w:rPr>
          <w:rFonts w:ascii="Arial" w:hAnsi="Arial" w:cs="Arial"/>
        </w:rPr>
        <w:t>2022)</w:t>
      </w:r>
      <w:r w:rsidRPr="009C0BB3">
        <w:rPr>
          <w:rFonts w:ascii="Arial" w:hAnsi="Arial" w:cs="Arial"/>
        </w:rPr>
        <w:t>. For multinational firms, STP rarely follows a standardised approach because demographic profiles, purchasing power, cultural values and consumption occasions differ substantially across markets (Wedel and Kamakura, 2012). Consequently, Cadbury adapts its STP strategy between the United Kingdom and India while maintaining consistent global brand values centred on generosity, togetherness and emotional connection.</w:t>
      </w:r>
    </w:p>
    <w:p w14:paraId="54045C08" w14:textId="77777777" w:rsidR="00C5112B" w:rsidRPr="009C0BB3" w:rsidRDefault="00C5112B" w:rsidP="00EA17F0">
      <w:pPr>
        <w:spacing w:line="360" w:lineRule="auto"/>
        <w:jc w:val="center"/>
        <w:rPr>
          <w:rFonts w:ascii="Arial" w:hAnsi="Arial" w:cs="Arial"/>
          <w:b/>
          <w:bCs/>
        </w:rPr>
      </w:pPr>
      <w:r w:rsidRPr="009C0BB3">
        <w:rPr>
          <w:rFonts w:ascii="Arial" w:hAnsi="Arial" w:cs="Arial"/>
          <w:b/>
          <w:bCs/>
        </w:rPr>
        <w:t>Table 3. Comparative STP Analysis of Cadbury</w:t>
      </w:r>
    </w:p>
    <w:tbl>
      <w:tblPr>
        <w:tblStyle w:val="TableGrid"/>
        <w:tblW w:w="0" w:type="auto"/>
        <w:tblLook w:val="04A0" w:firstRow="1" w:lastRow="0" w:firstColumn="1" w:lastColumn="0" w:noHBand="0" w:noVBand="1"/>
      </w:tblPr>
      <w:tblGrid>
        <w:gridCol w:w="1803"/>
        <w:gridCol w:w="2895"/>
        <w:gridCol w:w="2882"/>
        <w:gridCol w:w="2876"/>
      </w:tblGrid>
      <w:tr w:rsidR="00C5112B" w:rsidRPr="009C0BB3" w14:paraId="5AF94DB4" w14:textId="77777777" w:rsidTr="00C5112B">
        <w:tc>
          <w:tcPr>
            <w:tcW w:w="0" w:type="auto"/>
            <w:hideMark/>
          </w:tcPr>
          <w:p w14:paraId="464B74B3" w14:textId="77777777" w:rsidR="00C5112B" w:rsidRPr="009C0BB3" w:rsidRDefault="00C5112B" w:rsidP="00975391">
            <w:pPr>
              <w:spacing w:after="160" w:line="360" w:lineRule="auto"/>
              <w:jc w:val="both"/>
              <w:rPr>
                <w:rFonts w:ascii="Arial" w:hAnsi="Arial" w:cs="Arial"/>
                <w:b/>
                <w:bCs/>
              </w:rPr>
            </w:pPr>
            <w:r w:rsidRPr="009C0BB3">
              <w:rPr>
                <w:rFonts w:ascii="Arial" w:hAnsi="Arial" w:cs="Arial"/>
                <w:b/>
                <w:bCs/>
              </w:rPr>
              <w:t>STP Element</w:t>
            </w:r>
          </w:p>
        </w:tc>
        <w:tc>
          <w:tcPr>
            <w:tcW w:w="0" w:type="auto"/>
            <w:hideMark/>
          </w:tcPr>
          <w:p w14:paraId="57C8D00B" w14:textId="77777777" w:rsidR="00C5112B" w:rsidRPr="009C0BB3" w:rsidRDefault="00C5112B" w:rsidP="00975391">
            <w:pPr>
              <w:spacing w:after="160" w:line="360" w:lineRule="auto"/>
              <w:jc w:val="both"/>
              <w:rPr>
                <w:rFonts w:ascii="Arial" w:hAnsi="Arial" w:cs="Arial"/>
                <w:b/>
                <w:bCs/>
              </w:rPr>
            </w:pPr>
            <w:r w:rsidRPr="009C0BB3">
              <w:rPr>
                <w:rFonts w:ascii="Arial" w:hAnsi="Arial" w:cs="Arial"/>
                <w:b/>
                <w:bCs/>
              </w:rPr>
              <w:t>United Kingdom</w:t>
            </w:r>
          </w:p>
        </w:tc>
        <w:tc>
          <w:tcPr>
            <w:tcW w:w="0" w:type="auto"/>
            <w:hideMark/>
          </w:tcPr>
          <w:p w14:paraId="4DE207BE" w14:textId="77777777" w:rsidR="00C5112B" w:rsidRPr="009C0BB3" w:rsidRDefault="00C5112B" w:rsidP="00975391">
            <w:pPr>
              <w:spacing w:after="160" w:line="360" w:lineRule="auto"/>
              <w:jc w:val="both"/>
              <w:rPr>
                <w:rFonts w:ascii="Arial" w:hAnsi="Arial" w:cs="Arial"/>
                <w:b/>
                <w:bCs/>
              </w:rPr>
            </w:pPr>
            <w:r w:rsidRPr="009C0BB3">
              <w:rPr>
                <w:rFonts w:ascii="Arial" w:hAnsi="Arial" w:cs="Arial"/>
                <w:b/>
                <w:bCs/>
              </w:rPr>
              <w:t>India</w:t>
            </w:r>
          </w:p>
        </w:tc>
        <w:tc>
          <w:tcPr>
            <w:tcW w:w="0" w:type="auto"/>
            <w:hideMark/>
          </w:tcPr>
          <w:p w14:paraId="734FE461" w14:textId="77777777" w:rsidR="00C5112B" w:rsidRPr="009C0BB3" w:rsidRDefault="00C5112B" w:rsidP="00975391">
            <w:pPr>
              <w:spacing w:after="160" w:line="360" w:lineRule="auto"/>
              <w:jc w:val="both"/>
              <w:rPr>
                <w:rFonts w:ascii="Arial" w:hAnsi="Arial" w:cs="Arial"/>
                <w:b/>
                <w:bCs/>
              </w:rPr>
            </w:pPr>
            <w:r w:rsidRPr="009C0BB3">
              <w:rPr>
                <w:rFonts w:ascii="Arial" w:hAnsi="Arial" w:cs="Arial"/>
                <w:b/>
                <w:bCs/>
              </w:rPr>
              <w:t>Strategic implication</w:t>
            </w:r>
          </w:p>
        </w:tc>
      </w:tr>
      <w:tr w:rsidR="00C5112B" w:rsidRPr="009C0BB3" w14:paraId="0D6267CA" w14:textId="77777777" w:rsidTr="00C5112B">
        <w:tc>
          <w:tcPr>
            <w:tcW w:w="0" w:type="auto"/>
            <w:hideMark/>
          </w:tcPr>
          <w:p w14:paraId="2926E4F5" w14:textId="77777777" w:rsidR="00C5112B" w:rsidRPr="009C0BB3" w:rsidRDefault="00C5112B" w:rsidP="00975391">
            <w:pPr>
              <w:spacing w:after="160" w:line="360" w:lineRule="auto"/>
              <w:jc w:val="both"/>
              <w:rPr>
                <w:rFonts w:ascii="Arial" w:hAnsi="Arial" w:cs="Arial"/>
              </w:rPr>
            </w:pPr>
            <w:r w:rsidRPr="009C0BB3">
              <w:rPr>
                <w:rFonts w:ascii="Arial" w:hAnsi="Arial" w:cs="Arial"/>
                <w:b/>
                <w:bCs/>
              </w:rPr>
              <w:t>Segmentation</w:t>
            </w:r>
          </w:p>
        </w:tc>
        <w:tc>
          <w:tcPr>
            <w:tcW w:w="0" w:type="auto"/>
            <w:hideMark/>
          </w:tcPr>
          <w:p w14:paraId="542A5A6D" w14:textId="77777777" w:rsidR="00C5112B" w:rsidRPr="009C0BB3" w:rsidRDefault="00C5112B" w:rsidP="00975391">
            <w:pPr>
              <w:spacing w:after="160" w:line="360" w:lineRule="auto"/>
              <w:jc w:val="both"/>
              <w:rPr>
                <w:rFonts w:ascii="Arial" w:hAnsi="Arial" w:cs="Arial"/>
              </w:rPr>
            </w:pPr>
            <w:r w:rsidRPr="009C0BB3">
              <w:rPr>
                <w:rFonts w:ascii="Arial" w:hAnsi="Arial" w:cs="Arial"/>
              </w:rPr>
              <w:t xml:space="preserve">Cadbury segments consumers primarily by </w:t>
            </w:r>
            <w:r w:rsidRPr="006F1EE4">
              <w:rPr>
                <w:rFonts w:ascii="Arial" w:hAnsi="Arial" w:cs="Arial"/>
              </w:rPr>
              <w:t xml:space="preserve">age, income, lifestyle, and purchase occasion. Premium chocolates (e.g., Dairy Milk Velvet, </w:t>
            </w:r>
            <w:proofErr w:type="spellStart"/>
            <w:r w:rsidRPr="006F1EE4">
              <w:rPr>
                <w:rFonts w:ascii="Arial" w:hAnsi="Arial" w:cs="Arial"/>
              </w:rPr>
              <w:t>Darkmilk</w:t>
            </w:r>
            <w:proofErr w:type="spellEnd"/>
            <w:r w:rsidRPr="006F1EE4">
              <w:rPr>
                <w:rFonts w:ascii="Arial" w:hAnsi="Arial" w:cs="Arial"/>
              </w:rPr>
              <w:t xml:space="preserve">) target higher-income consumers, while seasonal products dominate Easter and Christmas. Approximately 72% of UK consumers purchase chocolate at least once per week, reflecting habitual </w:t>
            </w:r>
            <w:r w:rsidRPr="009C0BB3">
              <w:rPr>
                <w:rFonts w:ascii="Arial" w:hAnsi="Arial" w:cs="Arial"/>
              </w:rPr>
              <w:t>consumption (Mintel, 2024).</w:t>
            </w:r>
          </w:p>
        </w:tc>
        <w:tc>
          <w:tcPr>
            <w:tcW w:w="0" w:type="auto"/>
            <w:hideMark/>
          </w:tcPr>
          <w:p w14:paraId="77DBF61D" w14:textId="77777777" w:rsidR="00C5112B" w:rsidRPr="009C0BB3" w:rsidRDefault="00C5112B" w:rsidP="00975391">
            <w:pPr>
              <w:spacing w:after="160" w:line="360" w:lineRule="auto"/>
              <w:jc w:val="both"/>
              <w:rPr>
                <w:rFonts w:ascii="Arial" w:hAnsi="Arial" w:cs="Arial"/>
              </w:rPr>
            </w:pPr>
            <w:r w:rsidRPr="009C0BB3">
              <w:rPr>
                <w:rFonts w:ascii="Arial" w:hAnsi="Arial" w:cs="Arial"/>
              </w:rPr>
              <w:t xml:space="preserve">Segmentation is considerably broader because of India's socio-economic diversity. Cadbury combines demographic, geographic, income and behavioural segmentation. Products range from ₹10 Dairy Milk bars to premium Silk gift boxes, allowing penetration across urban and rural markets. India's confectionery market exceeded </w:t>
            </w:r>
            <w:r w:rsidRPr="006F1EE4">
              <w:rPr>
                <w:rFonts w:ascii="Arial" w:hAnsi="Arial" w:cs="Arial"/>
              </w:rPr>
              <w:t>US$13 billion in 2024, driven</w:t>
            </w:r>
            <w:r w:rsidRPr="009C0BB3">
              <w:rPr>
                <w:rFonts w:ascii="Arial" w:hAnsi="Arial" w:cs="Arial"/>
              </w:rPr>
              <w:t xml:space="preserve"> by expanding middle-</w:t>
            </w:r>
            <w:r w:rsidRPr="009C0BB3">
              <w:rPr>
                <w:rFonts w:ascii="Arial" w:hAnsi="Arial" w:cs="Arial"/>
              </w:rPr>
              <w:lastRenderedPageBreak/>
              <w:t>income households (Euromonitor, 2024).</w:t>
            </w:r>
          </w:p>
        </w:tc>
        <w:tc>
          <w:tcPr>
            <w:tcW w:w="0" w:type="auto"/>
            <w:hideMark/>
          </w:tcPr>
          <w:p w14:paraId="4C7DB3AA" w14:textId="77777777" w:rsidR="00C5112B" w:rsidRPr="009C0BB3" w:rsidRDefault="00C5112B" w:rsidP="00975391">
            <w:pPr>
              <w:spacing w:after="160" w:line="360" w:lineRule="auto"/>
              <w:jc w:val="both"/>
              <w:rPr>
                <w:rFonts w:ascii="Arial" w:hAnsi="Arial" w:cs="Arial"/>
              </w:rPr>
            </w:pPr>
            <w:r w:rsidRPr="009C0BB3">
              <w:rPr>
                <w:rFonts w:ascii="Arial" w:hAnsi="Arial" w:cs="Arial"/>
              </w:rPr>
              <w:lastRenderedPageBreak/>
              <w:t>Cadbury adopts finer segmentation in India because income inequality and regional diversity generate greater variation in consumer needs than in the relatively mature UK market.</w:t>
            </w:r>
          </w:p>
        </w:tc>
      </w:tr>
      <w:tr w:rsidR="00C5112B" w:rsidRPr="009C0BB3" w14:paraId="2F3E302F" w14:textId="77777777" w:rsidTr="00C5112B">
        <w:tc>
          <w:tcPr>
            <w:tcW w:w="0" w:type="auto"/>
            <w:hideMark/>
          </w:tcPr>
          <w:p w14:paraId="13345A7F" w14:textId="77777777" w:rsidR="00C5112B" w:rsidRPr="009C0BB3" w:rsidRDefault="00C5112B" w:rsidP="00975391">
            <w:pPr>
              <w:spacing w:after="160" w:line="360" w:lineRule="auto"/>
              <w:jc w:val="both"/>
              <w:rPr>
                <w:rFonts w:ascii="Arial" w:hAnsi="Arial" w:cs="Arial"/>
              </w:rPr>
            </w:pPr>
            <w:r w:rsidRPr="009C0BB3">
              <w:rPr>
                <w:rFonts w:ascii="Arial" w:hAnsi="Arial" w:cs="Arial"/>
                <w:b/>
                <w:bCs/>
              </w:rPr>
              <w:t>Targeting</w:t>
            </w:r>
          </w:p>
        </w:tc>
        <w:tc>
          <w:tcPr>
            <w:tcW w:w="0" w:type="auto"/>
            <w:hideMark/>
          </w:tcPr>
          <w:p w14:paraId="5A8070C2" w14:textId="77777777" w:rsidR="00C5112B" w:rsidRPr="009C0BB3" w:rsidRDefault="00C5112B" w:rsidP="00975391">
            <w:pPr>
              <w:spacing w:after="160" w:line="360" w:lineRule="auto"/>
              <w:jc w:val="both"/>
              <w:rPr>
                <w:rFonts w:ascii="Arial" w:hAnsi="Arial" w:cs="Arial"/>
              </w:rPr>
            </w:pPr>
            <w:r w:rsidRPr="009C0BB3">
              <w:rPr>
                <w:rFonts w:ascii="Arial" w:hAnsi="Arial" w:cs="Arial"/>
              </w:rPr>
              <w:t>Cadbury primarily targets families, young adults and everyday chocolate consumers seeking affordable indulgence. Premium products target affluent consumers willing to pay higher prices for quality and innovation.</w:t>
            </w:r>
          </w:p>
        </w:tc>
        <w:tc>
          <w:tcPr>
            <w:tcW w:w="0" w:type="auto"/>
            <w:hideMark/>
          </w:tcPr>
          <w:p w14:paraId="0C72AC47" w14:textId="77777777" w:rsidR="00C5112B" w:rsidRPr="009C0BB3" w:rsidRDefault="00C5112B" w:rsidP="00975391">
            <w:pPr>
              <w:spacing w:after="160" w:line="360" w:lineRule="auto"/>
              <w:jc w:val="both"/>
              <w:rPr>
                <w:rFonts w:ascii="Arial" w:hAnsi="Arial" w:cs="Arial"/>
              </w:rPr>
            </w:pPr>
            <w:r w:rsidRPr="009C0BB3">
              <w:rPr>
                <w:rFonts w:ascii="Arial" w:hAnsi="Arial" w:cs="Arial"/>
              </w:rPr>
              <w:t>Cadbury employs a differentiated targeting strategy by serving children, families, urban millennials and festival shoppers. Premium ranges such as Dairy Milk Silk target affluent consumers, while lower-priced packs maximise accessibility. During Diwali, gifting demand significantly increases confectionery sales.</w:t>
            </w:r>
          </w:p>
        </w:tc>
        <w:tc>
          <w:tcPr>
            <w:tcW w:w="0" w:type="auto"/>
            <w:hideMark/>
          </w:tcPr>
          <w:p w14:paraId="2647E58E" w14:textId="77777777" w:rsidR="00C5112B" w:rsidRPr="009C0BB3" w:rsidRDefault="00C5112B" w:rsidP="00975391">
            <w:pPr>
              <w:spacing w:after="160" w:line="360" w:lineRule="auto"/>
              <w:jc w:val="both"/>
              <w:rPr>
                <w:rFonts w:ascii="Arial" w:hAnsi="Arial" w:cs="Arial"/>
              </w:rPr>
            </w:pPr>
            <w:r w:rsidRPr="009C0BB3">
              <w:rPr>
                <w:rFonts w:ascii="Arial" w:hAnsi="Arial" w:cs="Arial"/>
              </w:rPr>
              <w:t>India requires multiple target segments simultaneously, whereas the UK relies more heavily on relationship marketing and customer retention within established consumer groups.</w:t>
            </w:r>
          </w:p>
        </w:tc>
      </w:tr>
      <w:tr w:rsidR="00C5112B" w:rsidRPr="009C0BB3" w14:paraId="531EDFAC" w14:textId="77777777" w:rsidTr="00C5112B">
        <w:tc>
          <w:tcPr>
            <w:tcW w:w="0" w:type="auto"/>
            <w:hideMark/>
          </w:tcPr>
          <w:p w14:paraId="7FCB4C5E" w14:textId="77777777" w:rsidR="00C5112B" w:rsidRPr="009C0BB3" w:rsidRDefault="00C5112B" w:rsidP="00975391">
            <w:pPr>
              <w:spacing w:after="160" w:line="360" w:lineRule="auto"/>
              <w:jc w:val="both"/>
              <w:rPr>
                <w:rFonts w:ascii="Arial" w:hAnsi="Arial" w:cs="Arial"/>
              </w:rPr>
            </w:pPr>
            <w:r w:rsidRPr="009C0BB3">
              <w:rPr>
                <w:rFonts w:ascii="Arial" w:hAnsi="Arial" w:cs="Arial"/>
                <w:b/>
                <w:bCs/>
              </w:rPr>
              <w:t>Positioning</w:t>
            </w:r>
          </w:p>
        </w:tc>
        <w:tc>
          <w:tcPr>
            <w:tcW w:w="0" w:type="auto"/>
            <w:hideMark/>
          </w:tcPr>
          <w:p w14:paraId="353DB56C" w14:textId="77777777" w:rsidR="00C5112B" w:rsidRPr="009C0BB3" w:rsidRDefault="00C5112B" w:rsidP="00975391">
            <w:pPr>
              <w:spacing w:after="160" w:line="360" w:lineRule="auto"/>
              <w:jc w:val="both"/>
              <w:rPr>
                <w:rFonts w:ascii="Arial" w:hAnsi="Arial" w:cs="Arial"/>
              </w:rPr>
            </w:pPr>
            <w:r w:rsidRPr="009C0BB3">
              <w:rPr>
                <w:rFonts w:ascii="Arial" w:hAnsi="Arial" w:cs="Arial"/>
              </w:rPr>
              <w:t xml:space="preserve">Cadbury positions itself as Britain's heritage chocolate brand associated with generosity, nostalgia and everyday happiness. Campaigns such as </w:t>
            </w:r>
            <w:r w:rsidRPr="006F1EE4">
              <w:rPr>
                <w:rFonts w:ascii="Arial" w:hAnsi="Arial" w:cs="Arial"/>
              </w:rPr>
              <w:t>"There's a Glass and a Half in Everyone"</w:t>
            </w:r>
            <w:r w:rsidRPr="009C0BB3">
              <w:rPr>
                <w:rFonts w:ascii="Arial" w:hAnsi="Arial" w:cs="Arial"/>
              </w:rPr>
              <w:t xml:space="preserve"> reinforce emotional brand equity rather than functional product benefits.</w:t>
            </w:r>
          </w:p>
        </w:tc>
        <w:tc>
          <w:tcPr>
            <w:tcW w:w="0" w:type="auto"/>
            <w:hideMark/>
          </w:tcPr>
          <w:p w14:paraId="1B65D311" w14:textId="2AC178F3" w:rsidR="003511BF" w:rsidRPr="009C0BB3" w:rsidRDefault="00C5112B" w:rsidP="00975391">
            <w:pPr>
              <w:spacing w:after="160" w:line="360" w:lineRule="auto"/>
              <w:jc w:val="both"/>
              <w:rPr>
                <w:rFonts w:ascii="Arial" w:hAnsi="Arial" w:cs="Arial"/>
              </w:rPr>
            </w:pPr>
            <w:r w:rsidRPr="009C0BB3">
              <w:rPr>
                <w:rFonts w:ascii="Arial" w:hAnsi="Arial" w:cs="Arial"/>
              </w:rPr>
              <w:t xml:space="preserve">Cadbury positions chocolate as an essential element of celebration and gifting rather than merely confectionery. Campaigns such as </w:t>
            </w:r>
            <w:r w:rsidRPr="006F1EE4">
              <w:rPr>
                <w:rFonts w:ascii="Arial" w:hAnsi="Arial" w:cs="Arial"/>
              </w:rPr>
              <w:t>"</w:t>
            </w:r>
            <w:proofErr w:type="spellStart"/>
            <w:r w:rsidRPr="006F1EE4">
              <w:rPr>
                <w:rFonts w:ascii="Arial" w:hAnsi="Arial" w:cs="Arial"/>
              </w:rPr>
              <w:t>Kuch</w:t>
            </w:r>
            <w:proofErr w:type="spellEnd"/>
            <w:r w:rsidRPr="006F1EE4">
              <w:rPr>
                <w:rFonts w:ascii="Arial" w:hAnsi="Arial" w:cs="Arial"/>
              </w:rPr>
              <w:t xml:space="preserve"> </w:t>
            </w:r>
            <w:proofErr w:type="spellStart"/>
            <w:r w:rsidRPr="006F1EE4">
              <w:rPr>
                <w:rFonts w:ascii="Arial" w:hAnsi="Arial" w:cs="Arial"/>
              </w:rPr>
              <w:t>Meetha</w:t>
            </w:r>
            <w:proofErr w:type="spellEnd"/>
            <w:r w:rsidRPr="006F1EE4">
              <w:rPr>
                <w:rFonts w:ascii="Arial" w:hAnsi="Arial" w:cs="Arial"/>
              </w:rPr>
              <w:t xml:space="preserve"> Ho </w:t>
            </w:r>
            <w:proofErr w:type="spellStart"/>
            <w:r w:rsidRPr="006F1EE4">
              <w:rPr>
                <w:rFonts w:ascii="Arial" w:hAnsi="Arial" w:cs="Arial"/>
              </w:rPr>
              <w:t>Jaaye</w:t>
            </w:r>
            <w:proofErr w:type="spellEnd"/>
            <w:r w:rsidRPr="006F1EE4">
              <w:rPr>
                <w:rFonts w:ascii="Arial" w:hAnsi="Arial" w:cs="Arial"/>
              </w:rPr>
              <w:t>" successfully</w:t>
            </w:r>
            <w:r w:rsidRPr="009C0BB3">
              <w:rPr>
                <w:rFonts w:ascii="Arial" w:hAnsi="Arial" w:cs="Arial"/>
              </w:rPr>
              <w:t xml:space="preserve"> repositioned chocolate as an alternative to traditional Indian sweets during festivals (De </w:t>
            </w:r>
            <w:proofErr w:type="spellStart"/>
            <w:r w:rsidRPr="009C0BB3">
              <w:rPr>
                <w:rFonts w:ascii="Arial" w:hAnsi="Arial" w:cs="Arial"/>
              </w:rPr>
              <w:t>Mooij</w:t>
            </w:r>
            <w:proofErr w:type="spellEnd"/>
            <w:r w:rsidRPr="009C0BB3">
              <w:rPr>
                <w:rFonts w:ascii="Arial" w:hAnsi="Arial" w:cs="Arial"/>
              </w:rPr>
              <w:t>, 2021).</w:t>
            </w:r>
          </w:p>
        </w:tc>
        <w:tc>
          <w:tcPr>
            <w:tcW w:w="0" w:type="auto"/>
            <w:hideMark/>
          </w:tcPr>
          <w:p w14:paraId="2C5EFD0E" w14:textId="77777777" w:rsidR="00C5112B" w:rsidRPr="009C0BB3" w:rsidRDefault="00C5112B" w:rsidP="00975391">
            <w:pPr>
              <w:spacing w:after="160" w:line="360" w:lineRule="auto"/>
              <w:jc w:val="both"/>
              <w:rPr>
                <w:rFonts w:ascii="Arial" w:hAnsi="Arial" w:cs="Arial"/>
              </w:rPr>
            </w:pPr>
            <w:r w:rsidRPr="009C0BB3">
              <w:rPr>
                <w:rFonts w:ascii="Arial" w:hAnsi="Arial" w:cs="Arial"/>
              </w:rPr>
              <w:t>While the emotional promise remains globally consistent, positioning is culturally adapted. The UK emphasises nostalgia, whereas India focuses on celebrations, gifting and family relationships, demonstrating effective localisation without diluting global brand identity.</w:t>
            </w:r>
          </w:p>
        </w:tc>
      </w:tr>
    </w:tbl>
    <w:p w14:paraId="3A77691E" w14:textId="77777777" w:rsidR="003511BF" w:rsidRDefault="003511BF" w:rsidP="00C92B31">
      <w:pPr>
        <w:spacing w:line="360" w:lineRule="auto"/>
        <w:jc w:val="center"/>
        <w:rPr>
          <w:rFonts w:ascii="Arial" w:hAnsi="Arial" w:cs="Arial"/>
          <w:noProof/>
        </w:rPr>
      </w:pPr>
    </w:p>
    <w:p w14:paraId="2D12308E" w14:textId="77777777" w:rsidR="003511BF" w:rsidRDefault="003511BF" w:rsidP="00C92B31">
      <w:pPr>
        <w:spacing w:line="360" w:lineRule="auto"/>
        <w:jc w:val="center"/>
        <w:rPr>
          <w:rFonts w:ascii="Arial" w:hAnsi="Arial" w:cs="Arial"/>
          <w:noProof/>
        </w:rPr>
      </w:pPr>
    </w:p>
    <w:p w14:paraId="5A53B658" w14:textId="77777777" w:rsidR="003511BF" w:rsidRDefault="003511BF" w:rsidP="00725048">
      <w:pPr>
        <w:spacing w:line="360" w:lineRule="auto"/>
        <w:rPr>
          <w:rFonts w:ascii="Arial" w:hAnsi="Arial" w:cs="Arial"/>
          <w:noProof/>
        </w:rPr>
      </w:pPr>
    </w:p>
    <w:p w14:paraId="54A19B46" w14:textId="77777777" w:rsidR="003511BF" w:rsidRDefault="003511BF" w:rsidP="00C92B31">
      <w:pPr>
        <w:spacing w:line="360" w:lineRule="auto"/>
        <w:jc w:val="center"/>
        <w:rPr>
          <w:rFonts w:ascii="Arial" w:hAnsi="Arial" w:cs="Arial"/>
          <w:noProof/>
        </w:rPr>
      </w:pPr>
    </w:p>
    <w:p w14:paraId="53BBB4FC" w14:textId="57B34142" w:rsidR="003511BF" w:rsidRDefault="003511BF" w:rsidP="003511BF">
      <w:pPr>
        <w:spacing w:after="0" w:line="360" w:lineRule="auto"/>
        <w:jc w:val="center"/>
        <w:rPr>
          <w:rFonts w:ascii="Arial" w:hAnsi="Arial" w:cs="Arial"/>
          <w:noProof/>
        </w:rPr>
      </w:pPr>
      <w:r>
        <w:rPr>
          <w:rFonts w:ascii="Arial" w:hAnsi="Arial" w:cs="Arial"/>
          <w:noProof/>
        </w:rPr>
        <w:lastRenderedPageBreak/>
        <w:t>Figure 3. Cadbury Positioning Map</w:t>
      </w:r>
    </w:p>
    <w:p w14:paraId="7BDDC776" w14:textId="5B49D4D9" w:rsidR="00C5112B" w:rsidRPr="009C0BB3" w:rsidRDefault="00C5112B" w:rsidP="003511BF">
      <w:pPr>
        <w:spacing w:after="0" w:line="360" w:lineRule="auto"/>
        <w:jc w:val="center"/>
        <w:rPr>
          <w:rFonts w:ascii="Arial" w:hAnsi="Arial" w:cs="Arial"/>
        </w:rPr>
      </w:pPr>
      <w:r w:rsidRPr="009C0BB3">
        <w:rPr>
          <w:rFonts w:ascii="Arial" w:hAnsi="Arial" w:cs="Arial"/>
          <w:noProof/>
        </w:rPr>
        <w:drawing>
          <wp:inline distT="0" distB="0" distL="0" distR="0" wp14:anchorId="5931EF72" wp14:editId="0DFADE98">
            <wp:extent cx="5273040" cy="3271520"/>
            <wp:effectExtent l="0" t="0" r="3810" b="5080"/>
            <wp:docPr id="424368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937"/>
                    <a:stretch>
                      <a:fillRect/>
                    </a:stretch>
                  </pic:blipFill>
                  <pic:spPr bwMode="auto">
                    <a:xfrm>
                      <a:off x="0" y="0"/>
                      <a:ext cx="5273040" cy="3271520"/>
                    </a:xfrm>
                    <a:prstGeom prst="rect">
                      <a:avLst/>
                    </a:prstGeom>
                    <a:noFill/>
                    <a:ln>
                      <a:noFill/>
                    </a:ln>
                    <a:extLst>
                      <a:ext uri="{53640926-AAD7-44D8-BBD7-CCE9431645EC}">
                        <a14:shadowObscured xmlns:a14="http://schemas.microsoft.com/office/drawing/2010/main"/>
                      </a:ext>
                    </a:extLst>
                  </pic:spPr>
                </pic:pic>
              </a:graphicData>
            </a:graphic>
          </wp:inline>
        </w:drawing>
      </w:r>
    </w:p>
    <w:p w14:paraId="57740240" w14:textId="77777777" w:rsidR="007250E7" w:rsidRDefault="007250E7" w:rsidP="007250E7">
      <w:pPr>
        <w:spacing w:line="360" w:lineRule="auto"/>
        <w:jc w:val="center"/>
        <w:rPr>
          <w:rFonts w:ascii="Arial" w:hAnsi="Arial" w:cs="Arial"/>
        </w:rPr>
      </w:pPr>
    </w:p>
    <w:p w14:paraId="3D1CF8F1" w14:textId="20DCF371" w:rsidR="00C5112B" w:rsidRPr="009C0BB3" w:rsidRDefault="007250E7" w:rsidP="007250E7">
      <w:pPr>
        <w:spacing w:line="360" w:lineRule="auto"/>
        <w:jc w:val="center"/>
        <w:rPr>
          <w:rFonts w:ascii="Arial" w:hAnsi="Arial" w:cs="Arial"/>
        </w:rPr>
      </w:pPr>
      <w:r>
        <w:rPr>
          <w:rFonts w:ascii="Arial" w:hAnsi="Arial" w:cs="Arial"/>
        </w:rPr>
        <w:t>Figure 4. Cadbury Target Segments</w:t>
      </w:r>
    </w:p>
    <w:p w14:paraId="50A0E6AE" w14:textId="142A3672" w:rsidR="007250E7" w:rsidRPr="00725048" w:rsidRDefault="00560E3C" w:rsidP="00975391">
      <w:pPr>
        <w:spacing w:line="360" w:lineRule="auto"/>
        <w:jc w:val="both"/>
        <w:rPr>
          <w:rFonts w:ascii="Arial" w:hAnsi="Arial" w:cs="Arial"/>
          <w:b/>
          <w:bCs/>
        </w:rPr>
      </w:pPr>
      <w:r w:rsidRPr="009C0BB3">
        <w:rPr>
          <w:rFonts w:ascii="Arial" w:hAnsi="Arial" w:cs="Arial"/>
          <w:b/>
          <w:bCs/>
          <w:noProof/>
        </w:rPr>
        <w:drawing>
          <wp:inline distT="0" distB="0" distL="0" distR="0" wp14:anchorId="39943BCC" wp14:editId="1DA6BE3D">
            <wp:extent cx="6492148" cy="4867910"/>
            <wp:effectExtent l="0" t="0" r="4445" b="8890"/>
            <wp:docPr id="6302772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t="6307"/>
                    <a:stretch>
                      <a:fillRect/>
                    </a:stretch>
                  </pic:blipFill>
                  <pic:spPr bwMode="auto">
                    <a:xfrm>
                      <a:off x="0" y="0"/>
                      <a:ext cx="6516849" cy="4886431"/>
                    </a:xfrm>
                    <a:prstGeom prst="rect">
                      <a:avLst/>
                    </a:prstGeom>
                    <a:noFill/>
                    <a:ln>
                      <a:noFill/>
                    </a:ln>
                    <a:extLst>
                      <a:ext uri="{53640926-AAD7-44D8-BBD7-CCE9431645EC}">
                        <a14:shadowObscured xmlns:a14="http://schemas.microsoft.com/office/drawing/2010/main"/>
                      </a:ext>
                    </a:extLst>
                  </pic:spPr>
                </pic:pic>
              </a:graphicData>
            </a:graphic>
          </wp:inline>
        </w:drawing>
      </w:r>
    </w:p>
    <w:p w14:paraId="4D595D62" w14:textId="2886A627" w:rsidR="00C5112B" w:rsidRPr="009C0BB3" w:rsidRDefault="00C5112B" w:rsidP="00975391">
      <w:pPr>
        <w:spacing w:line="360" w:lineRule="auto"/>
        <w:jc w:val="both"/>
        <w:rPr>
          <w:rFonts w:ascii="Arial" w:hAnsi="Arial" w:cs="Arial"/>
          <w:b/>
          <w:bCs/>
        </w:rPr>
      </w:pPr>
      <w:r w:rsidRPr="009C0BB3">
        <w:rPr>
          <w:rFonts w:ascii="Arial" w:hAnsi="Arial" w:cs="Arial"/>
          <w:b/>
          <w:bCs/>
        </w:rPr>
        <w:lastRenderedPageBreak/>
        <w:t>Evaluation</w:t>
      </w:r>
    </w:p>
    <w:p w14:paraId="78606266" w14:textId="77777777" w:rsidR="00C5112B" w:rsidRPr="009C0BB3" w:rsidRDefault="00C5112B" w:rsidP="00975391">
      <w:pPr>
        <w:spacing w:line="360" w:lineRule="auto"/>
        <w:jc w:val="both"/>
        <w:rPr>
          <w:rFonts w:ascii="Arial" w:hAnsi="Arial" w:cs="Arial"/>
        </w:rPr>
      </w:pPr>
      <w:r w:rsidRPr="009C0BB3">
        <w:rPr>
          <w:rFonts w:ascii="Arial" w:hAnsi="Arial" w:cs="Arial"/>
        </w:rPr>
        <w:t>Cadbury's STP strategy illustrates that international competitive advantage is derived not from offering identical products worldwide but from aligning customer value propositions with local market characteristics. In the United Kingdom, where chocolate consumption is mature and highly competitive, the firm's strategy prioritises customer retention through emotional branding, heritage and product innovation. Conversely, in India, Cadbury has adopted a market-development strategy by expanding consumption occasions rather than competing solely for existing market share. The success of the "</w:t>
      </w:r>
      <w:proofErr w:type="spellStart"/>
      <w:r w:rsidRPr="009C0BB3">
        <w:rPr>
          <w:rFonts w:ascii="Arial" w:hAnsi="Arial" w:cs="Arial"/>
        </w:rPr>
        <w:t>Kuch</w:t>
      </w:r>
      <w:proofErr w:type="spellEnd"/>
      <w:r w:rsidRPr="009C0BB3">
        <w:rPr>
          <w:rFonts w:ascii="Arial" w:hAnsi="Arial" w:cs="Arial"/>
        </w:rPr>
        <w:t xml:space="preserve"> </w:t>
      </w:r>
      <w:proofErr w:type="spellStart"/>
      <w:r w:rsidRPr="009C0BB3">
        <w:rPr>
          <w:rFonts w:ascii="Arial" w:hAnsi="Arial" w:cs="Arial"/>
        </w:rPr>
        <w:t>Meetha</w:t>
      </w:r>
      <w:proofErr w:type="spellEnd"/>
      <w:r w:rsidRPr="009C0BB3">
        <w:rPr>
          <w:rFonts w:ascii="Arial" w:hAnsi="Arial" w:cs="Arial"/>
        </w:rPr>
        <w:t xml:space="preserve"> Ho </w:t>
      </w:r>
      <w:proofErr w:type="spellStart"/>
      <w:r w:rsidRPr="009C0BB3">
        <w:rPr>
          <w:rFonts w:ascii="Arial" w:hAnsi="Arial" w:cs="Arial"/>
        </w:rPr>
        <w:t>Jaaye</w:t>
      </w:r>
      <w:proofErr w:type="spellEnd"/>
      <w:r w:rsidRPr="009C0BB3">
        <w:rPr>
          <w:rFonts w:ascii="Arial" w:hAnsi="Arial" w:cs="Arial"/>
        </w:rPr>
        <w:t xml:space="preserve">" campaign demonstrates how repositioning can reshape consumer behaviour by embedding chocolate within culturally significant festivals and gifting traditions (De </w:t>
      </w:r>
      <w:proofErr w:type="spellStart"/>
      <w:r w:rsidRPr="009C0BB3">
        <w:rPr>
          <w:rFonts w:ascii="Arial" w:hAnsi="Arial" w:cs="Arial"/>
        </w:rPr>
        <w:t>Mooij</w:t>
      </w:r>
      <w:proofErr w:type="spellEnd"/>
      <w:r w:rsidRPr="009C0BB3">
        <w:rPr>
          <w:rFonts w:ascii="Arial" w:hAnsi="Arial" w:cs="Arial"/>
        </w:rPr>
        <w:t>, 2021).</w:t>
      </w:r>
    </w:p>
    <w:p w14:paraId="24ABCF2E" w14:textId="77777777" w:rsidR="00C5112B" w:rsidRDefault="00C5112B" w:rsidP="00975391">
      <w:pPr>
        <w:spacing w:line="360" w:lineRule="auto"/>
        <w:jc w:val="both"/>
        <w:rPr>
          <w:rFonts w:ascii="Arial" w:hAnsi="Arial" w:cs="Arial"/>
        </w:rPr>
      </w:pPr>
      <w:r w:rsidRPr="009C0BB3">
        <w:rPr>
          <w:rFonts w:ascii="Arial" w:hAnsi="Arial" w:cs="Arial"/>
        </w:rPr>
        <w:t>From a theoretical perspective, Cadbury's approach reflects Bartlett and Ghoshal's (1989) Transnational Strategy, combining globally standardised brand equity with locally responsive segmentation and positioning decisions. Furthermore, Keller's (2013) Customer-Based Brand Equity model suggests that Cadbury's emphasis on emotional associations strengthens brand resonance and long-term loyalty beyond functional product attributes. Nevertheless, maintaining differentiated product portfolios, promotional campaigns and pricing structures across markets increases operational complexity and marketing expenditure. Consequently, Cadbury must continuously evaluate whether the additional returns generated through localisation outweigh the associated coordination costs.</w:t>
      </w:r>
    </w:p>
    <w:p w14:paraId="2288F784" w14:textId="77777777" w:rsidR="00560E3C" w:rsidRPr="009C0BB3" w:rsidRDefault="00560E3C" w:rsidP="00975391">
      <w:pPr>
        <w:pStyle w:val="Heading1"/>
        <w:spacing w:line="360" w:lineRule="auto"/>
        <w:jc w:val="both"/>
        <w:rPr>
          <w:rFonts w:ascii="Arial" w:hAnsi="Arial" w:cs="Arial"/>
          <w:sz w:val="24"/>
          <w:szCs w:val="24"/>
        </w:rPr>
      </w:pPr>
      <w:bookmarkStart w:id="4" w:name="_Toc236641014"/>
      <w:r w:rsidRPr="009C0BB3">
        <w:rPr>
          <w:rFonts w:ascii="Arial" w:hAnsi="Arial" w:cs="Arial"/>
          <w:sz w:val="24"/>
          <w:szCs w:val="24"/>
        </w:rPr>
        <w:t>5. Comparative International Marketing Mix (7Ps)</w:t>
      </w:r>
      <w:bookmarkEnd w:id="4"/>
    </w:p>
    <w:p w14:paraId="7B8C3C7F" w14:textId="77777777" w:rsidR="00560E3C" w:rsidRPr="006F1EE4" w:rsidRDefault="00560E3C" w:rsidP="00975391">
      <w:pPr>
        <w:spacing w:line="360" w:lineRule="auto"/>
        <w:jc w:val="both"/>
        <w:rPr>
          <w:rFonts w:ascii="Arial" w:hAnsi="Arial" w:cs="Arial"/>
        </w:rPr>
      </w:pPr>
      <w:r w:rsidRPr="006F1EE4">
        <w:rPr>
          <w:rFonts w:ascii="Arial" w:hAnsi="Arial" w:cs="Arial"/>
        </w:rPr>
        <w:t>The marketing mix provides a tactical framework through which organisations translate their international marketing strategy into customer value (Booms and Bitner, 1981; Kotler et al., 2022). While Cadbury maintains globally consistent brand values, its implementation of the 7Ps differs across the United Kingdom and India in response to variations in market maturity, retail structure, purchasing behaviour and competitive dynamics. The following comparison evaluates how Cadbury adapts each element of the marketing mix while preserving a coherent international brand identity.</w:t>
      </w:r>
    </w:p>
    <w:p w14:paraId="199AC5AE" w14:textId="531CC2D0" w:rsidR="00451F16" w:rsidRPr="00725048" w:rsidRDefault="0092090C" w:rsidP="00725048">
      <w:pPr>
        <w:spacing w:line="360" w:lineRule="auto"/>
        <w:jc w:val="both"/>
        <w:rPr>
          <w:rFonts w:ascii="Arial" w:hAnsi="Arial" w:cs="Arial"/>
          <w:b/>
          <w:bCs/>
          <w:noProof/>
        </w:rPr>
      </w:pPr>
      <w:r>
        <w:rPr>
          <w:rFonts w:ascii="Arial" w:hAnsi="Arial" w:cs="Arial"/>
          <w:b/>
          <w:bCs/>
          <w:noProof/>
        </w:rPr>
        <w:lastRenderedPageBreak/>
        <w:drawing>
          <wp:inline distT="0" distB="0" distL="0" distR="0" wp14:anchorId="22B69795" wp14:editId="51E1E992">
            <wp:extent cx="6795724" cy="3729018"/>
            <wp:effectExtent l="0" t="0" r="5715" b="5080"/>
            <wp:docPr id="1556201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23492" cy="3744255"/>
                    </a:xfrm>
                    <a:prstGeom prst="rect">
                      <a:avLst/>
                    </a:prstGeom>
                    <a:noFill/>
                  </pic:spPr>
                </pic:pic>
              </a:graphicData>
            </a:graphic>
          </wp:inline>
        </w:drawing>
      </w:r>
    </w:p>
    <w:p w14:paraId="01740077" w14:textId="77777777" w:rsidR="00560E3C" w:rsidRPr="009C0BB3" w:rsidRDefault="00560E3C" w:rsidP="007250E7">
      <w:pPr>
        <w:spacing w:line="360" w:lineRule="auto"/>
        <w:jc w:val="center"/>
        <w:rPr>
          <w:rFonts w:ascii="Arial" w:hAnsi="Arial" w:cs="Arial"/>
          <w:b/>
          <w:bCs/>
        </w:rPr>
      </w:pPr>
      <w:r w:rsidRPr="009C0BB3">
        <w:rPr>
          <w:rFonts w:ascii="Arial" w:hAnsi="Arial" w:cs="Arial"/>
          <w:b/>
          <w:bCs/>
        </w:rPr>
        <w:t>Table 4. Comparative International Marketing Mix</w:t>
      </w:r>
    </w:p>
    <w:tbl>
      <w:tblPr>
        <w:tblStyle w:val="TableGrid"/>
        <w:tblW w:w="0" w:type="auto"/>
        <w:tblLook w:val="04A0" w:firstRow="1" w:lastRow="0" w:firstColumn="1" w:lastColumn="0" w:noHBand="0" w:noVBand="1"/>
      </w:tblPr>
      <w:tblGrid>
        <w:gridCol w:w="1449"/>
        <w:gridCol w:w="3045"/>
        <w:gridCol w:w="2917"/>
        <w:gridCol w:w="3045"/>
      </w:tblGrid>
      <w:tr w:rsidR="00184C74" w:rsidRPr="00184C74" w14:paraId="35CE902E" w14:textId="77777777" w:rsidTr="00184C74">
        <w:tc>
          <w:tcPr>
            <w:tcW w:w="0" w:type="auto"/>
            <w:hideMark/>
          </w:tcPr>
          <w:p w14:paraId="0A5BEDFE"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Marketing Mix</w:t>
            </w:r>
          </w:p>
        </w:tc>
        <w:tc>
          <w:tcPr>
            <w:tcW w:w="0" w:type="auto"/>
            <w:hideMark/>
          </w:tcPr>
          <w:p w14:paraId="03C5D2B6"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United Kingdom</w:t>
            </w:r>
          </w:p>
        </w:tc>
        <w:tc>
          <w:tcPr>
            <w:tcW w:w="0" w:type="auto"/>
            <w:hideMark/>
          </w:tcPr>
          <w:p w14:paraId="573154C0"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India</w:t>
            </w:r>
          </w:p>
        </w:tc>
        <w:tc>
          <w:tcPr>
            <w:tcW w:w="0" w:type="auto"/>
            <w:hideMark/>
          </w:tcPr>
          <w:p w14:paraId="1A8D3247"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Strategic Evaluation</w:t>
            </w:r>
          </w:p>
        </w:tc>
      </w:tr>
      <w:tr w:rsidR="00184C74" w:rsidRPr="00184C74" w14:paraId="7DDC5043" w14:textId="77777777" w:rsidTr="00184C74">
        <w:tc>
          <w:tcPr>
            <w:tcW w:w="0" w:type="auto"/>
            <w:hideMark/>
          </w:tcPr>
          <w:p w14:paraId="507E0C00"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Product</w:t>
            </w:r>
          </w:p>
        </w:tc>
        <w:tc>
          <w:tcPr>
            <w:tcW w:w="0" w:type="auto"/>
            <w:hideMark/>
          </w:tcPr>
          <w:p w14:paraId="0E9F4D4B" w14:textId="77777777" w:rsidR="00184C74" w:rsidRPr="008B47D5" w:rsidRDefault="00184C74" w:rsidP="00184C74">
            <w:pPr>
              <w:spacing w:after="160" w:line="360" w:lineRule="auto"/>
              <w:jc w:val="both"/>
              <w:rPr>
                <w:rFonts w:ascii="Arial" w:hAnsi="Arial" w:cs="Arial"/>
              </w:rPr>
            </w:pPr>
            <w:r w:rsidRPr="008B47D5">
              <w:rPr>
                <w:rFonts w:ascii="Arial" w:hAnsi="Arial" w:cs="Arial"/>
              </w:rPr>
              <w:t>Cadbury combines its core Dairy Milk identity with extensive variants, seasonal products and premium formats. The brand is available in more than 23 Dairy Milk varieties internationally, while UK packaging for core tablets now uses 80% ISCC-certified recycled plastic, covering approximately 300 million bars annually (Mondelēz International, 2025a).</w:t>
            </w:r>
          </w:p>
        </w:tc>
        <w:tc>
          <w:tcPr>
            <w:tcW w:w="0" w:type="auto"/>
            <w:hideMark/>
          </w:tcPr>
          <w:p w14:paraId="1065024D" w14:textId="77777777" w:rsidR="00184C74" w:rsidRPr="008B47D5" w:rsidRDefault="00184C74" w:rsidP="00184C74">
            <w:pPr>
              <w:spacing w:after="160" w:line="360" w:lineRule="auto"/>
              <w:jc w:val="both"/>
              <w:rPr>
                <w:rFonts w:ascii="Arial" w:hAnsi="Arial" w:cs="Arial"/>
              </w:rPr>
            </w:pPr>
            <w:r w:rsidRPr="008B47D5">
              <w:rPr>
                <w:rFonts w:ascii="Arial" w:hAnsi="Arial" w:cs="Arial"/>
              </w:rPr>
              <w:t>Mondelēz India explicitly operates a portfolio spanning value products to premium indulgence, while Cadbury Silk, Celebrations and limited-edition variants provide differentiated offerings for gifting and premium consumption (Mondelēz International, 2026a; 2026b).</w:t>
            </w:r>
          </w:p>
        </w:tc>
        <w:tc>
          <w:tcPr>
            <w:tcW w:w="0" w:type="auto"/>
            <w:hideMark/>
          </w:tcPr>
          <w:p w14:paraId="0E160577" w14:textId="77777777" w:rsidR="00184C74" w:rsidRPr="008B47D5" w:rsidRDefault="00184C74" w:rsidP="00184C74">
            <w:pPr>
              <w:spacing w:after="160" w:line="360" w:lineRule="auto"/>
              <w:jc w:val="both"/>
              <w:rPr>
                <w:rFonts w:ascii="Arial" w:hAnsi="Arial" w:cs="Arial"/>
              </w:rPr>
            </w:pPr>
            <w:r w:rsidRPr="008B47D5">
              <w:rPr>
                <w:rFonts w:ascii="Arial" w:hAnsi="Arial" w:cs="Arial"/>
              </w:rPr>
              <w:t xml:space="preserve">Cadbury follows selective product adaptation rather than complete localisation: core brand identity and quality remain consistent, while formats, packaging and premium variants respond to local consumption occasions. This is consistent with international marketing evidence favouring adaptation where consumer conditions materially differ </w:t>
            </w:r>
            <w:r w:rsidRPr="008B47D5">
              <w:rPr>
                <w:rFonts w:ascii="Arial" w:hAnsi="Arial" w:cs="Arial"/>
              </w:rPr>
              <w:lastRenderedPageBreak/>
              <w:t>(</w:t>
            </w:r>
            <w:proofErr w:type="spellStart"/>
            <w:r w:rsidRPr="008B47D5">
              <w:rPr>
                <w:rFonts w:ascii="Arial" w:hAnsi="Arial" w:cs="Arial"/>
              </w:rPr>
              <w:t>Theodosiou</w:t>
            </w:r>
            <w:proofErr w:type="spellEnd"/>
            <w:r w:rsidRPr="008B47D5">
              <w:rPr>
                <w:rFonts w:ascii="Arial" w:hAnsi="Arial" w:cs="Arial"/>
              </w:rPr>
              <w:t xml:space="preserve"> and </w:t>
            </w:r>
            <w:proofErr w:type="spellStart"/>
            <w:r w:rsidRPr="008B47D5">
              <w:rPr>
                <w:rFonts w:ascii="Arial" w:hAnsi="Arial" w:cs="Arial"/>
              </w:rPr>
              <w:t>Leonidou</w:t>
            </w:r>
            <w:proofErr w:type="spellEnd"/>
            <w:r w:rsidRPr="008B47D5">
              <w:rPr>
                <w:rFonts w:ascii="Arial" w:hAnsi="Arial" w:cs="Arial"/>
              </w:rPr>
              <w:t>, 2003).</w:t>
            </w:r>
          </w:p>
        </w:tc>
      </w:tr>
      <w:tr w:rsidR="00184C74" w:rsidRPr="00184C74" w14:paraId="7FECFF5B" w14:textId="77777777" w:rsidTr="00184C74">
        <w:tc>
          <w:tcPr>
            <w:tcW w:w="0" w:type="auto"/>
            <w:hideMark/>
          </w:tcPr>
          <w:p w14:paraId="080016B9"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lastRenderedPageBreak/>
              <w:t>Price</w:t>
            </w:r>
          </w:p>
        </w:tc>
        <w:tc>
          <w:tcPr>
            <w:tcW w:w="0" w:type="auto"/>
            <w:hideMark/>
          </w:tcPr>
          <w:p w14:paraId="06747EC4" w14:textId="77777777" w:rsidR="00184C74" w:rsidRPr="008B47D5" w:rsidRDefault="00184C74" w:rsidP="00184C74">
            <w:pPr>
              <w:spacing w:after="160" w:line="360" w:lineRule="auto"/>
              <w:jc w:val="both"/>
              <w:rPr>
                <w:rFonts w:ascii="Arial" w:hAnsi="Arial" w:cs="Arial"/>
              </w:rPr>
            </w:pPr>
            <w:r w:rsidRPr="008B47D5">
              <w:rPr>
                <w:rFonts w:ascii="Arial" w:hAnsi="Arial" w:cs="Arial"/>
              </w:rPr>
              <w:t>Current UK retail evidence demonstrates value-based pricing combined with promotions. In August 2026, Tesco listed Cadbury Dairy Milk 110g at £1.85, while a 180g variant retailed around £3.00, with selected products discounted through Clubcard pricing (Tesco, 2026).</w:t>
            </w:r>
          </w:p>
        </w:tc>
        <w:tc>
          <w:tcPr>
            <w:tcW w:w="0" w:type="auto"/>
            <w:hideMark/>
          </w:tcPr>
          <w:p w14:paraId="3E2FEA96" w14:textId="77777777" w:rsidR="00184C74" w:rsidRPr="008B47D5" w:rsidRDefault="00184C74" w:rsidP="00184C74">
            <w:pPr>
              <w:spacing w:after="160" w:line="360" w:lineRule="auto"/>
              <w:jc w:val="both"/>
              <w:rPr>
                <w:rFonts w:ascii="Arial" w:hAnsi="Arial" w:cs="Arial"/>
              </w:rPr>
            </w:pPr>
            <w:r w:rsidRPr="008B47D5">
              <w:rPr>
                <w:rFonts w:ascii="Arial" w:hAnsi="Arial" w:cs="Arial"/>
              </w:rPr>
              <w:t>Indian strategy places greater emphasis on affordability and multiple consumption tiers. Mondelēz describes its Indian portfolio as ranging from “value delights to premium indulgences”, allowing the business to address substantially different purchasing-power segments (Mondelēz International, 2026a).</w:t>
            </w:r>
          </w:p>
        </w:tc>
        <w:tc>
          <w:tcPr>
            <w:tcW w:w="0" w:type="auto"/>
            <w:hideMark/>
          </w:tcPr>
          <w:p w14:paraId="4F475DF9" w14:textId="77777777" w:rsidR="00184C74" w:rsidRPr="008B47D5" w:rsidRDefault="00184C74" w:rsidP="00184C74">
            <w:pPr>
              <w:spacing w:after="160" w:line="360" w:lineRule="auto"/>
              <w:jc w:val="both"/>
              <w:rPr>
                <w:rFonts w:ascii="Arial" w:hAnsi="Arial" w:cs="Arial"/>
              </w:rPr>
            </w:pPr>
            <w:r w:rsidRPr="008B47D5">
              <w:rPr>
                <w:rFonts w:ascii="Arial" w:hAnsi="Arial" w:cs="Arial"/>
              </w:rPr>
              <w:t>Pricing is more strongly adapted than the core product. UK pricing supports brand value and promotional retailing, whereas India's broader affordability requirements justify multiple pack and price tiers. This enables penetration without abandoning premium positioning.</w:t>
            </w:r>
          </w:p>
        </w:tc>
      </w:tr>
      <w:tr w:rsidR="00184C74" w:rsidRPr="00184C74" w14:paraId="03A96682" w14:textId="77777777" w:rsidTr="00184C74">
        <w:tc>
          <w:tcPr>
            <w:tcW w:w="0" w:type="auto"/>
            <w:hideMark/>
          </w:tcPr>
          <w:p w14:paraId="420D4776"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Place</w:t>
            </w:r>
          </w:p>
        </w:tc>
        <w:tc>
          <w:tcPr>
            <w:tcW w:w="0" w:type="auto"/>
            <w:hideMark/>
          </w:tcPr>
          <w:p w14:paraId="127B4805" w14:textId="77777777" w:rsidR="00184C74" w:rsidRPr="008B47D5" w:rsidRDefault="00184C74" w:rsidP="00184C74">
            <w:pPr>
              <w:spacing w:after="160" w:line="360" w:lineRule="auto"/>
              <w:jc w:val="both"/>
              <w:rPr>
                <w:rFonts w:ascii="Arial" w:hAnsi="Arial" w:cs="Arial"/>
              </w:rPr>
            </w:pPr>
            <w:r w:rsidRPr="008B47D5">
              <w:rPr>
                <w:rFonts w:ascii="Arial" w:hAnsi="Arial" w:cs="Arial"/>
              </w:rPr>
              <w:t>Distribution is concentrated through organised supermarkets, convenience retailers and digital grocery channels, enabling relatively integrated omnichannel availability.</w:t>
            </w:r>
          </w:p>
        </w:tc>
        <w:tc>
          <w:tcPr>
            <w:tcW w:w="0" w:type="auto"/>
            <w:hideMark/>
          </w:tcPr>
          <w:p w14:paraId="1E86AC9A" w14:textId="77777777" w:rsidR="00184C74" w:rsidRPr="008B47D5" w:rsidRDefault="00184C74" w:rsidP="00184C74">
            <w:pPr>
              <w:spacing w:after="160" w:line="360" w:lineRule="auto"/>
              <w:jc w:val="both"/>
              <w:rPr>
                <w:rFonts w:ascii="Arial" w:hAnsi="Arial" w:cs="Arial"/>
              </w:rPr>
            </w:pPr>
            <w:r w:rsidRPr="008B47D5">
              <w:rPr>
                <w:rFonts w:ascii="Arial" w:hAnsi="Arial" w:cs="Arial"/>
              </w:rPr>
              <w:t>India requires a substantially broader channel architecture. Mondelēz reports supporting approximately 3 million traditional mom-and-pop stores, while 20% of Indian sales are generated through modern trade and e-commerce (Mondelēz International, 2026a).</w:t>
            </w:r>
          </w:p>
        </w:tc>
        <w:tc>
          <w:tcPr>
            <w:tcW w:w="0" w:type="auto"/>
            <w:hideMark/>
          </w:tcPr>
          <w:p w14:paraId="2F98600C" w14:textId="77777777" w:rsidR="00184C74" w:rsidRPr="008B47D5" w:rsidRDefault="00184C74" w:rsidP="00184C74">
            <w:pPr>
              <w:spacing w:after="160" w:line="360" w:lineRule="auto"/>
              <w:jc w:val="both"/>
              <w:rPr>
                <w:rFonts w:ascii="Arial" w:hAnsi="Arial" w:cs="Arial"/>
              </w:rPr>
            </w:pPr>
            <w:r w:rsidRPr="008B47D5">
              <w:rPr>
                <w:rFonts w:ascii="Arial" w:hAnsi="Arial" w:cs="Arial"/>
              </w:rPr>
              <w:t>Place represents high adaptation. The UK's concentrated retail structure permits efficient national distribution, whereas India requires integration of traditional trade, modern retail and e-commerce. This supports the principle that omnichannel effectiveness depends on coordinating different consumer touchpoints rather than imposing a single channel model (Verhoef, Kannan and Inman, 2015).</w:t>
            </w:r>
          </w:p>
        </w:tc>
      </w:tr>
      <w:tr w:rsidR="00184C74" w:rsidRPr="00184C74" w14:paraId="488C18CB" w14:textId="77777777" w:rsidTr="00184C74">
        <w:tc>
          <w:tcPr>
            <w:tcW w:w="0" w:type="auto"/>
            <w:hideMark/>
          </w:tcPr>
          <w:p w14:paraId="14CE3AE8"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lastRenderedPageBreak/>
              <w:t>Promotion</w:t>
            </w:r>
          </w:p>
        </w:tc>
        <w:tc>
          <w:tcPr>
            <w:tcW w:w="0" w:type="auto"/>
            <w:hideMark/>
          </w:tcPr>
          <w:p w14:paraId="46B69A2B" w14:textId="77777777" w:rsidR="00184C74" w:rsidRPr="008B47D5" w:rsidRDefault="00184C74" w:rsidP="00184C74">
            <w:pPr>
              <w:spacing w:after="160" w:line="360" w:lineRule="auto"/>
              <w:jc w:val="both"/>
              <w:rPr>
                <w:rFonts w:ascii="Arial" w:hAnsi="Arial" w:cs="Arial"/>
              </w:rPr>
            </w:pPr>
            <w:r w:rsidRPr="008B47D5">
              <w:rPr>
                <w:rFonts w:ascii="Arial" w:hAnsi="Arial" w:cs="Arial"/>
              </w:rPr>
              <w:t>UK communications retain the long-running “There’s a Glass and a Half in Everyone” generosity platform. Cadbury also operates the Secret Santa Postal Service, connecting Christmas gifting with the brand's generosity positioning (Cadbury, 2026a).</w:t>
            </w:r>
          </w:p>
        </w:tc>
        <w:tc>
          <w:tcPr>
            <w:tcW w:w="0" w:type="auto"/>
            <w:hideMark/>
          </w:tcPr>
          <w:p w14:paraId="66452CD3" w14:textId="77777777" w:rsidR="00184C74" w:rsidRPr="008B47D5" w:rsidRDefault="00184C74" w:rsidP="00184C74">
            <w:pPr>
              <w:spacing w:after="160" w:line="360" w:lineRule="auto"/>
              <w:jc w:val="both"/>
              <w:rPr>
                <w:rFonts w:ascii="Arial" w:hAnsi="Arial" w:cs="Arial"/>
              </w:rPr>
            </w:pPr>
            <w:r w:rsidRPr="008B47D5">
              <w:rPr>
                <w:rFonts w:ascii="Arial" w:hAnsi="Arial" w:cs="Arial"/>
              </w:rPr>
              <w:t>Promotion is more culturally contextualised. Mondelēz identifies Indian Cadbury campaigns such as “</w:t>
            </w:r>
            <w:proofErr w:type="spellStart"/>
            <w:r w:rsidRPr="008B47D5">
              <w:rPr>
                <w:rFonts w:ascii="Arial" w:hAnsi="Arial" w:cs="Arial"/>
              </w:rPr>
              <w:t>Kuch</w:t>
            </w:r>
            <w:proofErr w:type="spellEnd"/>
            <w:r w:rsidRPr="008B47D5">
              <w:rPr>
                <w:rFonts w:ascii="Arial" w:hAnsi="Arial" w:cs="Arial"/>
              </w:rPr>
              <w:t xml:space="preserve"> </w:t>
            </w:r>
            <w:proofErr w:type="spellStart"/>
            <w:r w:rsidRPr="008B47D5">
              <w:rPr>
                <w:rFonts w:ascii="Arial" w:hAnsi="Arial" w:cs="Arial"/>
              </w:rPr>
              <w:t>Accha</w:t>
            </w:r>
            <w:proofErr w:type="spellEnd"/>
            <w:r w:rsidRPr="008B47D5">
              <w:rPr>
                <w:rFonts w:ascii="Arial" w:hAnsi="Arial" w:cs="Arial"/>
              </w:rPr>
              <w:t xml:space="preserve"> Ho </w:t>
            </w:r>
            <w:proofErr w:type="spellStart"/>
            <w:r w:rsidRPr="008B47D5">
              <w:rPr>
                <w:rFonts w:ascii="Arial" w:hAnsi="Arial" w:cs="Arial"/>
              </w:rPr>
              <w:t>Jaaye</w:t>
            </w:r>
            <w:proofErr w:type="spellEnd"/>
            <w:r w:rsidRPr="008B47D5">
              <w:rPr>
                <w:rFonts w:ascii="Arial" w:hAnsi="Arial" w:cs="Arial"/>
              </w:rPr>
              <w:t xml:space="preserve">, </w:t>
            </w:r>
            <w:proofErr w:type="spellStart"/>
            <w:r w:rsidRPr="008B47D5">
              <w:rPr>
                <w:rFonts w:ascii="Arial" w:hAnsi="Arial" w:cs="Arial"/>
              </w:rPr>
              <w:t>Kuch</w:t>
            </w:r>
            <w:proofErr w:type="spellEnd"/>
            <w:r w:rsidRPr="008B47D5">
              <w:rPr>
                <w:rFonts w:ascii="Arial" w:hAnsi="Arial" w:cs="Arial"/>
              </w:rPr>
              <w:t xml:space="preserve"> </w:t>
            </w:r>
            <w:proofErr w:type="spellStart"/>
            <w:r w:rsidRPr="008B47D5">
              <w:rPr>
                <w:rFonts w:ascii="Arial" w:hAnsi="Arial" w:cs="Arial"/>
              </w:rPr>
              <w:t>Meetha</w:t>
            </w:r>
            <w:proofErr w:type="spellEnd"/>
            <w:r w:rsidRPr="008B47D5">
              <w:rPr>
                <w:rFonts w:ascii="Arial" w:hAnsi="Arial" w:cs="Arial"/>
              </w:rPr>
              <w:t xml:space="preserve"> Ho </w:t>
            </w:r>
            <w:proofErr w:type="spellStart"/>
            <w:r w:rsidRPr="008B47D5">
              <w:rPr>
                <w:rFonts w:ascii="Arial" w:hAnsi="Arial" w:cs="Arial"/>
              </w:rPr>
              <w:t>Jaaye</w:t>
            </w:r>
            <w:proofErr w:type="spellEnd"/>
            <w:r w:rsidRPr="008B47D5">
              <w:rPr>
                <w:rFonts w:ascii="Arial" w:hAnsi="Arial" w:cs="Arial"/>
              </w:rPr>
              <w:t>”, while recent campaigns include Cadbury Dairy Milk's 2026 IPL “</w:t>
            </w:r>
            <w:proofErr w:type="spellStart"/>
            <w:r w:rsidRPr="008B47D5">
              <w:rPr>
                <w:rFonts w:ascii="Arial" w:hAnsi="Arial" w:cs="Arial"/>
              </w:rPr>
              <w:t>Pehla</w:t>
            </w:r>
            <w:proofErr w:type="spellEnd"/>
            <w:r w:rsidRPr="008B47D5">
              <w:rPr>
                <w:rFonts w:ascii="Arial" w:hAnsi="Arial" w:cs="Arial"/>
              </w:rPr>
              <w:t xml:space="preserve"> Match” campaign and Cadbury Silk's continued Valentine's “Say It With Silk” platform (Mondelēz International, 2026a; 2026c).</w:t>
            </w:r>
          </w:p>
        </w:tc>
        <w:tc>
          <w:tcPr>
            <w:tcW w:w="0" w:type="auto"/>
            <w:hideMark/>
          </w:tcPr>
          <w:p w14:paraId="06D58641" w14:textId="77777777" w:rsidR="00184C74" w:rsidRPr="008B47D5" w:rsidRDefault="00184C74" w:rsidP="00184C74">
            <w:pPr>
              <w:spacing w:after="160" w:line="360" w:lineRule="auto"/>
              <w:jc w:val="both"/>
              <w:rPr>
                <w:rFonts w:ascii="Arial" w:hAnsi="Arial" w:cs="Arial"/>
              </w:rPr>
            </w:pPr>
            <w:r w:rsidRPr="008B47D5">
              <w:rPr>
                <w:rFonts w:ascii="Arial" w:hAnsi="Arial" w:cs="Arial"/>
              </w:rPr>
              <w:t xml:space="preserve">Promotion shows high localisation while preserving a common emotional positioning. UK execution centres on generosity and seasonal gifting, whereas Indian campaigns connect the brand with cricket, festivals, relationships and culturally relevant occasions. This supports De </w:t>
            </w:r>
            <w:proofErr w:type="spellStart"/>
            <w:r w:rsidRPr="008B47D5">
              <w:rPr>
                <w:rFonts w:ascii="Arial" w:hAnsi="Arial" w:cs="Arial"/>
              </w:rPr>
              <w:t>Mooij's</w:t>
            </w:r>
            <w:proofErr w:type="spellEnd"/>
            <w:r w:rsidRPr="008B47D5">
              <w:rPr>
                <w:rFonts w:ascii="Arial" w:hAnsi="Arial" w:cs="Arial"/>
              </w:rPr>
              <w:t xml:space="preserve"> (2021) argument that advertising meaning requires cultural adaptation.</w:t>
            </w:r>
          </w:p>
        </w:tc>
      </w:tr>
      <w:tr w:rsidR="00184C74" w:rsidRPr="00184C74" w14:paraId="24FDAD29" w14:textId="77777777" w:rsidTr="00184C74">
        <w:tc>
          <w:tcPr>
            <w:tcW w:w="0" w:type="auto"/>
            <w:hideMark/>
          </w:tcPr>
          <w:p w14:paraId="41A011E4"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People</w:t>
            </w:r>
          </w:p>
        </w:tc>
        <w:tc>
          <w:tcPr>
            <w:tcW w:w="0" w:type="auto"/>
            <w:hideMark/>
          </w:tcPr>
          <w:p w14:paraId="34DB321E" w14:textId="77777777" w:rsidR="00184C74" w:rsidRPr="008B47D5" w:rsidRDefault="00184C74" w:rsidP="00184C74">
            <w:pPr>
              <w:spacing w:after="160" w:line="360" w:lineRule="auto"/>
              <w:jc w:val="both"/>
              <w:rPr>
                <w:rFonts w:ascii="Arial" w:hAnsi="Arial" w:cs="Arial"/>
              </w:rPr>
            </w:pPr>
            <w:r w:rsidRPr="008B47D5">
              <w:rPr>
                <w:rFonts w:ascii="Arial" w:hAnsi="Arial" w:cs="Arial"/>
              </w:rPr>
              <w:t>Consumer interaction occurs primarily through retailers, digital service channels and branded experiences rather than direct Cadbury employees.</w:t>
            </w:r>
          </w:p>
        </w:tc>
        <w:tc>
          <w:tcPr>
            <w:tcW w:w="0" w:type="auto"/>
            <w:hideMark/>
          </w:tcPr>
          <w:p w14:paraId="581E7E04" w14:textId="77777777" w:rsidR="00184C74" w:rsidRPr="008B47D5" w:rsidRDefault="00184C74" w:rsidP="00184C74">
            <w:pPr>
              <w:spacing w:after="160" w:line="360" w:lineRule="auto"/>
              <w:jc w:val="both"/>
              <w:rPr>
                <w:rFonts w:ascii="Arial" w:hAnsi="Arial" w:cs="Arial"/>
              </w:rPr>
            </w:pPr>
            <w:r w:rsidRPr="008B47D5">
              <w:rPr>
                <w:rFonts w:ascii="Arial" w:hAnsi="Arial" w:cs="Arial"/>
              </w:rPr>
              <w:t>Retail relationships have greater operational significance because Cadbury's reach depends on millions of small retailers and merchandising partners across heterogeneous markets (Mondelēz International, 2026a).</w:t>
            </w:r>
          </w:p>
        </w:tc>
        <w:tc>
          <w:tcPr>
            <w:tcW w:w="0" w:type="auto"/>
            <w:hideMark/>
          </w:tcPr>
          <w:p w14:paraId="24D5467B" w14:textId="77777777" w:rsidR="00184C74" w:rsidRPr="008B47D5" w:rsidRDefault="00184C74" w:rsidP="00184C74">
            <w:pPr>
              <w:spacing w:after="160" w:line="360" w:lineRule="auto"/>
              <w:jc w:val="both"/>
              <w:rPr>
                <w:rFonts w:ascii="Arial" w:hAnsi="Arial" w:cs="Arial"/>
              </w:rPr>
            </w:pPr>
            <w:r w:rsidRPr="008B47D5">
              <w:rPr>
                <w:rFonts w:ascii="Arial" w:hAnsi="Arial" w:cs="Arial"/>
              </w:rPr>
              <w:t>Core organisational standards can remain relatively standardised, but India's greater retailer dependence requires stronger trade relationships and local execution capabilities. People therefore demonstrate moderate rather than complete adaptation.</w:t>
            </w:r>
          </w:p>
        </w:tc>
      </w:tr>
      <w:tr w:rsidR="00184C74" w:rsidRPr="00184C74" w14:paraId="296DABC2" w14:textId="77777777" w:rsidTr="00184C74">
        <w:tc>
          <w:tcPr>
            <w:tcW w:w="0" w:type="auto"/>
            <w:hideMark/>
          </w:tcPr>
          <w:p w14:paraId="32E8B485"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t>Process</w:t>
            </w:r>
          </w:p>
        </w:tc>
        <w:tc>
          <w:tcPr>
            <w:tcW w:w="0" w:type="auto"/>
            <w:hideMark/>
          </w:tcPr>
          <w:p w14:paraId="246215C1" w14:textId="77777777" w:rsidR="00184C74" w:rsidRPr="008B47D5" w:rsidRDefault="00184C74" w:rsidP="00184C74">
            <w:pPr>
              <w:spacing w:after="160" w:line="360" w:lineRule="auto"/>
              <w:jc w:val="both"/>
              <w:rPr>
                <w:rFonts w:ascii="Arial" w:hAnsi="Arial" w:cs="Arial"/>
              </w:rPr>
            </w:pPr>
            <w:r w:rsidRPr="008B47D5">
              <w:rPr>
                <w:rFonts w:ascii="Arial" w:hAnsi="Arial" w:cs="Arial"/>
              </w:rPr>
              <w:t xml:space="preserve">Highly developed organised retail and digital channels enable comparatively standardised inventory, </w:t>
            </w:r>
            <w:r w:rsidRPr="008B47D5">
              <w:rPr>
                <w:rFonts w:ascii="Arial" w:hAnsi="Arial" w:cs="Arial"/>
              </w:rPr>
              <w:lastRenderedPageBreak/>
              <w:t>fulfilment and product-availability processes.</w:t>
            </w:r>
          </w:p>
        </w:tc>
        <w:tc>
          <w:tcPr>
            <w:tcW w:w="0" w:type="auto"/>
            <w:hideMark/>
          </w:tcPr>
          <w:p w14:paraId="61E952DF" w14:textId="77777777" w:rsidR="00184C74" w:rsidRPr="008B47D5" w:rsidRDefault="00184C74" w:rsidP="00184C74">
            <w:pPr>
              <w:spacing w:after="160" w:line="360" w:lineRule="auto"/>
              <w:jc w:val="both"/>
              <w:rPr>
                <w:rFonts w:ascii="Arial" w:hAnsi="Arial" w:cs="Arial"/>
              </w:rPr>
            </w:pPr>
            <w:r w:rsidRPr="008B47D5">
              <w:rPr>
                <w:rFonts w:ascii="Arial" w:hAnsi="Arial" w:cs="Arial"/>
              </w:rPr>
              <w:lastRenderedPageBreak/>
              <w:t>India requires additional operational adaptation. Mondelēz reports using end-to-end cold-chain systems, digitised sales functions and Cadbury-</w:t>
            </w:r>
            <w:r w:rsidRPr="008B47D5">
              <w:rPr>
                <w:rFonts w:ascii="Arial" w:hAnsi="Arial" w:cs="Arial"/>
              </w:rPr>
              <w:lastRenderedPageBreak/>
              <w:t xml:space="preserve">branded </w:t>
            </w:r>
            <w:proofErr w:type="spellStart"/>
            <w:r w:rsidRPr="008B47D5">
              <w:rPr>
                <w:rFonts w:ascii="Arial" w:hAnsi="Arial" w:cs="Arial"/>
              </w:rPr>
              <w:t>Visi</w:t>
            </w:r>
            <w:proofErr w:type="spellEnd"/>
            <w:r w:rsidRPr="008B47D5">
              <w:rPr>
                <w:rFonts w:ascii="Arial" w:hAnsi="Arial" w:cs="Arial"/>
              </w:rPr>
              <w:t>-Coolers to maintain chocolate quality despite extreme climatic conditions (Mondelēz International, 2026a).</w:t>
            </w:r>
          </w:p>
        </w:tc>
        <w:tc>
          <w:tcPr>
            <w:tcW w:w="0" w:type="auto"/>
            <w:hideMark/>
          </w:tcPr>
          <w:p w14:paraId="4F1D12F9" w14:textId="77777777" w:rsidR="00184C74" w:rsidRPr="008B47D5" w:rsidRDefault="00184C74" w:rsidP="00184C74">
            <w:pPr>
              <w:spacing w:after="160" w:line="360" w:lineRule="auto"/>
              <w:jc w:val="both"/>
              <w:rPr>
                <w:rFonts w:ascii="Arial" w:hAnsi="Arial" w:cs="Arial"/>
              </w:rPr>
            </w:pPr>
            <w:r w:rsidRPr="008B47D5">
              <w:rPr>
                <w:rFonts w:ascii="Arial" w:hAnsi="Arial" w:cs="Arial"/>
              </w:rPr>
              <w:lastRenderedPageBreak/>
              <w:t xml:space="preserve">Process adaptation is strategically necessary because environmental and channel conditions differ. Cadbury can standardise quality </w:t>
            </w:r>
            <w:r w:rsidRPr="008B47D5">
              <w:rPr>
                <w:rFonts w:ascii="Arial" w:hAnsi="Arial" w:cs="Arial"/>
              </w:rPr>
              <w:lastRenderedPageBreak/>
              <w:t>outcomes while adapting the operational system used to achieve them, demonstrating effective international supply-chain responsiveness.</w:t>
            </w:r>
          </w:p>
        </w:tc>
      </w:tr>
      <w:tr w:rsidR="00184C74" w:rsidRPr="00184C74" w14:paraId="50B84DEB" w14:textId="77777777" w:rsidTr="00184C74">
        <w:tc>
          <w:tcPr>
            <w:tcW w:w="0" w:type="auto"/>
            <w:hideMark/>
          </w:tcPr>
          <w:p w14:paraId="6F62E806" w14:textId="77777777" w:rsidR="00184C74" w:rsidRPr="00184C74" w:rsidRDefault="00184C74" w:rsidP="00184C74">
            <w:pPr>
              <w:spacing w:after="160" w:line="360" w:lineRule="auto"/>
              <w:jc w:val="both"/>
              <w:rPr>
                <w:rFonts w:ascii="Arial" w:hAnsi="Arial" w:cs="Arial"/>
                <w:b/>
                <w:bCs/>
              </w:rPr>
            </w:pPr>
            <w:r w:rsidRPr="00184C74">
              <w:rPr>
                <w:rFonts w:ascii="Arial" w:hAnsi="Arial" w:cs="Arial"/>
                <w:b/>
                <w:bCs/>
              </w:rPr>
              <w:lastRenderedPageBreak/>
              <w:t>Physical Evidence</w:t>
            </w:r>
          </w:p>
        </w:tc>
        <w:tc>
          <w:tcPr>
            <w:tcW w:w="0" w:type="auto"/>
            <w:hideMark/>
          </w:tcPr>
          <w:p w14:paraId="406C1103" w14:textId="77777777" w:rsidR="00184C74" w:rsidRPr="008B47D5" w:rsidRDefault="00184C74" w:rsidP="00184C74">
            <w:pPr>
              <w:spacing w:after="160" w:line="360" w:lineRule="auto"/>
              <w:jc w:val="both"/>
              <w:rPr>
                <w:rFonts w:ascii="Arial" w:hAnsi="Arial" w:cs="Arial"/>
              </w:rPr>
            </w:pPr>
            <w:r w:rsidRPr="008B47D5">
              <w:rPr>
                <w:rFonts w:ascii="Arial" w:hAnsi="Arial" w:cs="Arial"/>
              </w:rPr>
              <w:t>Cadbury's distinctive purple identity, branded retail displays and increasingly recycled packaging reinforce heritage and sustainability. Core UK tablets now use packaging allocated with 80% certified recycled plastic (Cadbury, 2026b).</w:t>
            </w:r>
          </w:p>
        </w:tc>
        <w:tc>
          <w:tcPr>
            <w:tcW w:w="0" w:type="auto"/>
            <w:hideMark/>
          </w:tcPr>
          <w:p w14:paraId="0CD56A0C" w14:textId="77777777" w:rsidR="00184C74" w:rsidRPr="008B47D5" w:rsidRDefault="00184C74" w:rsidP="00184C74">
            <w:pPr>
              <w:spacing w:after="160" w:line="360" w:lineRule="auto"/>
              <w:jc w:val="both"/>
              <w:rPr>
                <w:rFonts w:ascii="Arial" w:hAnsi="Arial" w:cs="Arial"/>
              </w:rPr>
            </w:pPr>
            <w:r w:rsidRPr="008B47D5">
              <w:rPr>
                <w:rFonts w:ascii="Arial" w:hAnsi="Arial" w:cs="Arial"/>
              </w:rPr>
              <w:t>Physical evidence is adapted through premium Silk packaging, Cadbury Celebrations gift formats and branded refrigerated displays designed for Indian climatic and retail conditions (Mondelēz International, 2026a).</w:t>
            </w:r>
          </w:p>
        </w:tc>
        <w:tc>
          <w:tcPr>
            <w:tcW w:w="0" w:type="auto"/>
            <w:hideMark/>
          </w:tcPr>
          <w:p w14:paraId="72520C8C" w14:textId="77777777" w:rsidR="00184C74" w:rsidRPr="008B47D5" w:rsidRDefault="00184C74" w:rsidP="00184C74">
            <w:pPr>
              <w:spacing w:after="160" w:line="360" w:lineRule="auto"/>
              <w:jc w:val="both"/>
              <w:rPr>
                <w:rFonts w:ascii="Arial" w:hAnsi="Arial" w:cs="Arial"/>
              </w:rPr>
            </w:pPr>
            <w:r w:rsidRPr="008B47D5">
              <w:rPr>
                <w:rFonts w:ascii="Arial" w:hAnsi="Arial" w:cs="Arial"/>
              </w:rPr>
              <w:t>Physical evidence combines global recognition with selective local adaptation. Purple brand assets remain standardised, while packaging formats, gifting presentation and in-store infrastructure are adapted to local usage conditions.</w:t>
            </w:r>
          </w:p>
        </w:tc>
      </w:tr>
    </w:tbl>
    <w:p w14:paraId="1281D8FF" w14:textId="77777777" w:rsidR="006621BC" w:rsidRPr="000471B5" w:rsidRDefault="006621BC" w:rsidP="00975391">
      <w:pPr>
        <w:spacing w:line="360" w:lineRule="auto"/>
        <w:jc w:val="both"/>
        <w:rPr>
          <w:rFonts w:ascii="Arial" w:hAnsi="Arial" w:cs="Arial"/>
        </w:rPr>
      </w:pPr>
    </w:p>
    <w:p w14:paraId="36DF9A31" w14:textId="2F4C05A8" w:rsidR="00560E3C" w:rsidRPr="000471B5" w:rsidRDefault="00560E3C" w:rsidP="00975391">
      <w:pPr>
        <w:spacing w:line="360" w:lineRule="auto"/>
        <w:jc w:val="both"/>
        <w:rPr>
          <w:rFonts w:ascii="Arial" w:hAnsi="Arial" w:cs="Arial"/>
          <w:b/>
          <w:bCs/>
        </w:rPr>
      </w:pPr>
      <w:r w:rsidRPr="000471B5">
        <w:rPr>
          <w:rFonts w:ascii="Arial" w:hAnsi="Arial" w:cs="Arial"/>
          <w:b/>
          <w:bCs/>
        </w:rPr>
        <w:t>Evaluation</w:t>
      </w:r>
    </w:p>
    <w:p w14:paraId="1231B29E" w14:textId="77777777" w:rsidR="000471B5" w:rsidRPr="000471B5" w:rsidRDefault="000471B5" w:rsidP="000471B5">
      <w:pPr>
        <w:spacing w:line="360" w:lineRule="auto"/>
        <w:jc w:val="both"/>
        <w:rPr>
          <w:rFonts w:ascii="Arial" w:hAnsi="Arial" w:cs="Arial"/>
        </w:rPr>
      </w:pPr>
      <w:r w:rsidRPr="000471B5">
        <w:rPr>
          <w:rFonts w:ascii="Arial" w:hAnsi="Arial" w:cs="Arial"/>
        </w:rPr>
        <w:t>The 7Ps comparison demonstrates that Cadbury follows selective adaptation rather than either complete standardisation or full localisation. Product identity, quality principles and distinctive brand assets remain comparatively standardised, enabling global brand recognition and operating efficiencies. However, price, place and promotion exhibit substantially greater adaptation because purchasing power, distribution structures and consumption occasions differ significantly between the UK and India.</w:t>
      </w:r>
    </w:p>
    <w:p w14:paraId="179E0316" w14:textId="77777777" w:rsidR="000471B5" w:rsidRPr="000471B5" w:rsidRDefault="000471B5" w:rsidP="000471B5">
      <w:pPr>
        <w:spacing w:line="360" w:lineRule="auto"/>
        <w:jc w:val="both"/>
        <w:rPr>
          <w:rFonts w:ascii="Arial" w:hAnsi="Arial" w:cs="Arial"/>
        </w:rPr>
      </w:pPr>
      <w:r w:rsidRPr="000471B5">
        <w:rPr>
          <w:rFonts w:ascii="Arial" w:hAnsi="Arial" w:cs="Arial"/>
        </w:rPr>
        <w:t>The contrast is particularly evident in distribution. Whereas the UK's organised retail environment supports integrated supermarket and digital channels, Mondelēz reaches approximately three million traditional retailers in India while simultaneously developing modern trade and e-commerce channels (Mondelēz International, 2026a). Promotional execution is similarly differentiated: UK communication maintains generosity and seasonal gifting, while Indian campaigns connect Cadbury with culturally relevant occasions including cricket, festivals and romantic relationships.</w:t>
      </w:r>
    </w:p>
    <w:p w14:paraId="57FE7EB8" w14:textId="3C41F7FF" w:rsidR="000471B5" w:rsidRPr="003200A9" w:rsidRDefault="000471B5" w:rsidP="00975391">
      <w:pPr>
        <w:spacing w:line="360" w:lineRule="auto"/>
        <w:jc w:val="both"/>
        <w:rPr>
          <w:rFonts w:ascii="Arial" w:hAnsi="Arial" w:cs="Arial"/>
        </w:rPr>
      </w:pPr>
      <w:r w:rsidRPr="000471B5">
        <w:rPr>
          <w:rFonts w:ascii="Arial" w:hAnsi="Arial" w:cs="Arial"/>
        </w:rPr>
        <w:t xml:space="preserve">Consequently, Cadbury's competitive advantage derives not from replicating an identical marketing mix internationally, but from standardising elements that create brand equity while adapting those that determine local accessibility and cultural relevance. This reflects the contingency perspective </w:t>
      </w:r>
      <w:r w:rsidRPr="000471B5">
        <w:rPr>
          <w:rFonts w:ascii="Arial" w:hAnsi="Arial" w:cs="Arial"/>
        </w:rPr>
        <w:lastRenderedPageBreak/>
        <w:t>of international marketing, whereby the effectiveness of standardisation depends upon differences between host-market environments (</w:t>
      </w:r>
      <w:proofErr w:type="spellStart"/>
      <w:r w:rsidRPr="000471B5">
        <w:rPr>
          <w:rFonts w:ascii="Arial" w:hAnsi="Arial" w:cs="Arial"/>
        </w:rPr>
        <w:t>Theodosiou</w:t>
      </w:r>
      <w:proofErr w:type="spellEnd"/>
      <w:r w:rsidRPr="000471B5">
        <w:rPr>
          <w:rFonts w:ascii="Arial" w:hAnsi="Arial" w:cs="Arial"/>
        </w:rPr>
        <w:t xml:space="preserve"> and </w:t>
      </w:r>
      <w:proofErr w:type="spellStart"/>
      <w:r w:rsidRPr="000471B5">
        <w:rPr>
          <w:rFonts w:ascii="Arial" w:hAnsi="Arial" w:cs="Arial"/>
        </w:rPr>
        <w:t>Leonidou</w:t>
      </w:r>
      <w:proofErr w:type="spellEnd"/>
      <w:r w:rsidRPr="000471B5">
        <w:rPr>
          <w:rFonts w:ascii="Arial" w:hAnsi="Arial" w:cs="Arial"/>
        </w:rPr>
        <w:t>, 2003).</w:t>
      </w:r>
    </w:p>
    <w:p w14:paraId="39CCD055" w14:textId="77777777" w:rsidR="007E472C" w:rsidRPr="009C0BB3" w:rsidRDefault="007E472C" w:rsidP="00975391">
      <w:pPr>
        <w:pStyle w:val="Heading1"/>
        <w:spacing w:line="360" w:lineRule="auto"/>
        <w:jc w:val="both"/>
        <w:rPr>
          <w:rFonts w:ascii="Arial" w:hAnsi="Arial" w:cs="Arial"/>
          <w:sz w:val="24"/>
          <w:szCs w:val="24"/>
        </w:rPr>
      </w:pPr>
      <w:bookmarkStart w:id="5" w:name="_Toc236641015"/>
      <w:r w:rsidRPr="009C0BB3">
        <w:rPr>
          <w:rFonts w:ascii="Arial" w:hAnsi="Arial" w:cs="Arial"/>
          <w:sz w:val="24"/>
          <w:szCs w:val="24"/>
        </w:rPr>
        <w:t>6. Market Entry Strategy</w:t>
      </w:r>
      <w:bookmarkEnd w:id="5"/>
    </w:p>
    <w:p w14:paraId="01611BC8" w14:textId="77777777" w:rsidR="007E472C" w:rsidRPr="009C0BB3" w:rsidRDefault="007E472C" w:rsidP="00975391">
      <w:pPr>
        <w:spacing w:line="360" w:lineRule="auto"/>
        <w:jc w:val="both"/>
        <w:rPr>
          <w:rFonts w:ascii="Arial" w:hAnsi="Arial" w:cs="Arial"/>
        </w:rPr>
      </w:pPr>
      <w:r w:rsidRPr="009C0BB3">
        <w:rPr>
          <w:rFonts w:ascii="Arial" w:hAnsi="Arial" w:cs="Arial"/>
        </w:rPr>
        <w:t>Cadbury entered the Indian market in 1948 through the establishment of Cadbury Fry (India) Private Limited, a wholly owned subsidiary. Unlike licensing or joint ventures, this entry mode enabled the company to retain complete ownership and managerial control over manufacturing, distribution and brand management (Mondelēz International, 2024). Although this strategy required substantial capital investment, it provided Cadbury with greater strategic flexibility to develop long-term operations within one of the world's fastest-growing confectionery markets.</w:t>
      </w:r>
    </w:p>
    <w:p w14:paraId="05738567" w14:textId="77777777" w:rsidR="007E472C" w:rsidRPr="009C0BB3" w:rsidRDefault="007E472C" w:rsidP="00975391">
      <w:pPr>
        <w:spacing w:line="360" w:lineRule="auto"/>
        <w:jc w:val="both"/>
        <w:rPr>
          <w:rFonts w:ascii="Arial" w:hAnsi="Arial" w:cs="Arial"/>
        </w:rPr>
      </w:pPr>
      <w:r w:rsidRPr="009C0BB3">
        <w:rPr>
          <w:rFonts w:ascii="Arial" w:hAnsi="Arial" w:cs="Arial"/>
        </w:rPr>
        <w:t>The suitability of Cadbury's entry strategy can be explained using Dunning's Eclectic (OLI) Paradigm, which argues that firms undertake foreign direct investment when they possess ownership, location and internalisation advantages (Dunning, 1988).</w:t>
      </w:r>
    </w:p>
    <w:p w14:paraId="1AD026A4" w14:textId="77777777" w:rsidR="006621BC" w:rsidRDefault="006621BC" w:rsidP="00975391">
      <w:pPr>
        <w:spacing w:line="360" w:lineRule="auto"/>
        <w:jc w:val="both"/>
        <w:rPr>
          <w:rFonts w:ascii="Arial" w:hAnsi="Arial" w:cs="Arial"/>
          <w:b/>
          <w:bCs/>
        </w:rPr>
      </w:pPr>
    </w:p>
    <w:p w14:paraId="3BD1674F" w14:textId="7C9FD58B" w:rsidR="007E472C" w:rsidRPr="009C0BB3" w:rsidRDefault="007E472C" w:rsidP="00F15750">
      <w:pPr>
        <w:spacing w:line="360" w:lineRule="auto"/>
        <w:jc w:val="center"/>
        <w:rPr>
          <w:rFonts w:ascii="Arial" w:hAnsi="Arial" w:cs="Arial"/>
          <w:b/>
          <w:bCs/>
        </w:rPr>
      </w:pPr>
      <w:r w:rsidRPr="009C0BB3">
        <w:rPr>
          <w:rFonts w:ascii="Arial" w:hAnsi="Arial" w:cs="Arial"/>
          <w:b/>
          <w:bCs/>
        </w:rPr>
        <w:t>Table 5. Application of Dunning's OLI Paradigm to Cadbury's Entry into India</w:t>
      </w:r>
    </w:p>
    <w:tbl>
      <w:tblPr>
        <w:tblStyle w:val="TableGrid"/>
        <w:tblW w:w="0" w:type="auto"/>
        <w:tblLook w:val="04A0" w:firstRow="1" w:lastRow="0" w:firstColumn="1" w:lastColumn="0" w:noHBand="0" w:noVBand="1"/>
      </w:tblPr>
      <w:tblGrid>
        <w:gridCol w:w="1929"/>
        <w:gridCol w:w="4408"/>
        <w:gridCol w:w="4119"/>
      </w:tblGrid>
      <w:tr w:rsidR="007E472C" w:rsidRPr="009C0BB3" w14:paraId="3E0DECBD" w14:textId="77777777" w:rsidTr="007E472C">
        <w:tc>
          <w:tcPr>
            <w:tcW w:w="0" w:type="auto"/>
            <w:hideMark/>
          </w:tcPr>
          <w:p w14:paraId="6B750B16"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OLI Dimension</w:t>
            </w:r>
          </w:p>
        </w:tc>
        <w:tc>
          <w:tcPr>
            <w:tcW w:w="0" w:type="auto"/>
            <w:hideMark/>
          </w:tcPr>
          <w:p w14:paraId="04372D3A"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Application to Cadbury</w:t>
            </w:r>
          </w:p>
        </w:tc>
        <w:tc>
          <w:tcPr>
            <w:tcW w:w="0" w:type="auto"/>
            <w:hideMark/>
          </w:tcPr>
          <w:p w14:paraId="53CEC2A4"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Strategic Implication</w:t>
            </w:r>
          </w:p>
        </w:tc>
      </w:tr>
      <w:tr w:rsidR="007E472C" w:rsidRPr="009C0BB3" w14:paraId="63460540" w14:textId="77777777" w:rsidTr="007E472C">
        <w:tc>
          <w:tcPr>
            <w:tcW w:w="0" w:type="auto"/>
            <w:hideMark/>
          </w:tcPr>
          <w:p w14:paraId="373FDC5D"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Ownership (O)</w:t>
            </w:r>
          </w:p>
        </w:tc>
        <w:tc>
          <w:tcPr>
            <w:tcW w:w="0" w:type="auto"/>
            <w:hideMark/>
          </w:tcPr>
          <w:p w14:paraId="27F59D20" w14:textId="77777777" w:rsidR="007E472C" w:rsidRPr="009C0BB3" w:rsidRDefault="007E472C" w:rsidP="00975391">
            <w:pPr>
              <w:spacing w:after="160" w:line="360" w:lineRule="auto"/>
              <w:jc w:val="both"/>
              <w:rPr>
                <w:rFonts w:ascii="Arial" w:hAnsi="Arial" w:cs="Arial"/>
              </w:rPr>
            </w:pPr>
            <w:r w:rsidRPr="009C0BB3">
              <w:rPr>
                <w:rFonts w:ascii="Arial" w:hAnsi="Arial" w:cs="Arial"/>
              </w:rPr>
              <w:t>Strong global brand portfolio, proprietary manufacturing expertise and established marketing capabilities.</w:t>
            </w:r>
          </w:p>
        </w:tc>
        <w:tc>
          <w:tcPr>
            <w:tcW w:w="0" w:type="auto"/>
            <w:hideMark/>
          </w:tcPr>
          <w:p w14:paraId="14999717" w14:textId="77777777" w:rsidR="007E472C" w:rsidRPr="009C0BB3" w:rsidRDefault="007E472C" w:rsidP="00975391">
            <w:pPr>
              <w:spacing w:after="160" w:line="360" w:lineRule="auto"/>
              <w:jc w:val="both"/>
              <w:rPr>
                <w:rFonts w:ascii="Arial" w:hAnsi="Arial" w:cs="Arial"/>
              </w:rPr>
            </w:pPr>
            <w:r w:rsidRPr="009C0BB3">
              <w:rPr>
                <w:rFonts w:ascii="Arial" w:hAnsi="Arial" w:cs="Arial"/>
              </w:rPr>
              <w:t>Enabled Cadbury to transfer valuable intangible assets while differentiating itself from domestic competitors.</w:t>
            </w:r>
          </w:p>
        </w:tc>
      </w:tr>
      <w:tr w:rsidR="007E472C" w:rsidRPr="009C0BB3" w14:paraId="5B02525D" w14:textId="77777777" w:rsidTr="007E472C">
        <w:tc>
          <w:tcPr>
            <w:tcW w:w="0" w:type="auto"/>
            <w:hideMark/>
          </w:tcPr>
          <w:p w14:paraId="1044556C"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Location (L)</w:t>
            </w:r>
          </w:p>
        </w:tc>
        <w:tc>
          <w:tcPr>
            <w:tcW w:w="0" w:type="auto"/>
            <w:hideMark/>
          </w:tcPr>
          <w:p w14:paraId="288DDCAA" w14:textId="77777777" w:rsidR="007E472C" w:rsidRPr="009C0BB3" w:rsidRDefault="007E472C" w:rsidP="00975391">
            <w:pPr>
              <w:spacing w:after="160" w:line="360" w:lineRule="auto"/>
              <w:jc w:val="both"/>
              <w:rPr>
                <w:rFonts w:ascii="Arial" w:hAnsi="Arial" w:cs="Arial"/>
              </w:rPr>
            </w:pPr>
            <w:r w:rsidRPr="009C0BB3">
              <w:rPr>
                <w:rFonts w:ascii="Arial" w:hAnsi="Arial" w:cs="Arial"/>
              </w:rPr>
              <w:t>Large consumer market, expanding middle class, rising disposable income and growing retail infrastructure.</w:t>
            </w:r>
          </w:p>
        </w:tc>
        <w:tc>
          <w:tcPr>
            <w:tcW w:w="0" w:type="auto"/>
            <w:hideMark/>
          </w:tcPr>
          <w:p w14:paraId="655723B9" w14:textId="77777777" w:rsidR="007E472C" w:rsidRPr="009C0BB3" w:rsidRDefault="007E472C" w:rsidP="00975391">
            <w:pPr>
              <w:spacing w:after="160" w:line="360" w:lineRule="auto"/>
              <w:jc w:val="both"/>
              <w:rPr>
                <w:rFonts w:ascii="Arial" w:hAnsi="Arial" w:cs="Arial"/>
              </w:rPr>
            </w:pPr>
            <w:r w:rsidRPr="009C0BB3">
              <w:rPr>
                <w:rFonts w:ascii="Arial" w:hAnsi="Arial" w:cs="Arial"/>
              </w:rPr>
              <w:t>Justified long-term investment through local production rather than reliance on exports.</w:t>
            </w:r>
          </w:p>
        </w:tc>
      </w:tr>
      <w:tr w:rsidR="007E472C" w:rsidRPr="009C0BB3" w14:paraId="203B0F75" w14:textId="77777777" w:rsidTr="007E472C">
        <w:tc>
          <w:tcPr>
            <w:tcW w:w="0" w:type="auto"/>
            <w:hideMark/>
          </w:tcPr>
          <w:p w14:paraId="031E91AE"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Internalisation (I)</w:t>
            </w:r>
          </w:p>
        </w:tc>
        <w:tc>
          <w:tcPr>
            <w:tcW w:w="0" w:type="auto"/>
            <w:hideMark/>
          </w:tcPr>
          <w:p w14:paraId="46C77629" w14:textId="77777777" w:rsidR="007E472C" w:rsidRPr="009C0BB3" w:rsidRDefault="007E472C" w:rsidP="00975391">
            <w:pPr>
              <w:spacing w:after="160" w:line="360" w:lineRule="auto"/>
              <w:jc w:val="both"/>
              <w:rPr>
                <w:rFonts w:ascii="Arial" w:hAnsi="Arial" w:cs="Arial"/>
              </w:rPr>
            </w:pPr>
            <w:r w:rsidRPr="009C0BB3">
              <w:rPr>
                <w:rFonts w:ascii="Arial" w:hAnsi="Arial" w:cs="Arial"/>
              </w:rPr>
              <w:t>Wholly owned subsidiary provided full control over manufacturing, quality standards and strategic decision-making.</w:t>
            </w:r>
          </w:p>
        </w:tc>
        <w:tc>
          <w:tcPr>
            <w:tcW w:w="0" w:type="auto"/>
            <w:hideMark/>
          </w:tcPr>
          <w:p w14:paraId="6D0CD457" w14:textId="77777777" w:rsidR="007E472C" w:rsidRPr="009C0BB3" w:rsidRDefault="007E472C" w:rsidP="00975391">
            <w:pPr>
              <w:spacing w:after="160" w:line="360" w:lineRule="auto"/>
              <w:jc w:val="both"/>
              <w:rPr>
                <w:rFonts w:ascii="Arial" w:hAnsi="Arial" w:cs="Arial"/>
              </w:rPr>
            </w:pPr>
            <w:r w:rsidRPr="009C0BB3">
              <w:rPr>
                <w:rFonts w:ascii="Arial" w:hAnsi="Arial" w:cs="Arial"/>
              </w:rPr>
              <w:t>Reduced the risks associated with licensing, including quality inconsistency and knowledge leakage.</w:t>
            </w:r>
          </w:p>
        </w:tc>
      </w:tr>
    </w:tbl>
    <w:p w14:paraId="14CCCD1B" w14:textId="77777777" w:rsidR="007E472C" w:rsidRPr="009C0BB3" w:rsidRDefault="007E472C" w:rsidP="003200A9">
      <w:pPr>
        <w:spacing w:line="360" w:lineRule="auto"/>
        <w:jc w:val="center"/>
        <w:rPr>
          <w:rFonts w:ascii="Arial" w:hAnsi="Arial" w:cs="Arial"/>
        </w:rPr>
      </w:pPr>
      <w:r w:rsidRPr="009C0BB3">
        <w:rPr>
          <w:rFonts w:ascii="Arial" w:hAnsi="Arial" w:cs="Arial"/>
          <w:i/>
          <w:iCs/>
        </w:rPr>
        <w:t>Source: Adapted from Dunning (1988).</w:t>
      </w:r>
    </w:p>
    <w:p w14:paraId="0FE530DF" w14:textId="77777777" w:rsidR="007E472C" w:rsidRPr="009C0BB3" w:rsidRDefault="007E472C" w:rsidP="00975391">
      <w:pPr>
        <w:spacing w:line="360" w:lineRule="auto"/>
        <w:jc w:val="both"/>
        <w:rPr>
          <w:rFonts w:ascii="Arial" w:hAnsi="Arial" w:cs="Arial"/>
        </w:rPr>
      </w:pPr>
      <w:r w:rsidRPr="009C0BB3">
        <w:rPr>
          <w:rFonts w:ascii="Arial" w:hAnsi="Arial" w:cs="Arial"/>
        </w:rPr>
        <w:t xml:space="preserve">The OLI framework suggests that Cadbury's investment was driven by the combined benefits of ownership-specific assets and India's favourable market conditions. However, the framework provides limited insight into how firms gradually strengthen their foreign market presence over time. This limitation is addressed by the Uppsala Internationalisation Model, which proposes that firms increase commitment as experiential knowledge accumulates (Johanson and Vahlne, 2009). </w:t>
      </w:r>
      <w:r w:rsidRPr="009C0BB3">
        <w:rPr>
          <w:rFonts w:ascii="Arial" w:hAnsi="Arial" w:cs="Arial"/>
        </w:rPr>
        <w:lastRenderedPageBreak/>
        <w:t>Cadbury's continued investment in manufacturing facilities, supply chains and product development reflects this incremental learning process rather than a one-off market entry decision.</w:t>
      </w:r>
    </w:p>
    <w:p w14:paraId="669086FE" w14:textId="77777777" w:rsidR="007E472C" w:rsidRPr="009C0BB3" w:rsidRDefault="007E472C" w:rsidP="00975391">
      <w:pPr>
        <w:spacing w:line="360" w:lineRule="auto"/>
        <w:jc w:val="both"/>
        <w:rPr>
          <w:rFonts w:ascii="Arial" w:hAnsi="Arial" w:cs="Arial"/>
        </w:rPr>
      </w:pPr>
      <w:r w:rsidRPr="009C0BB3">
        <w:rPr>
          <w:rFonts w:ascii="Arial" w:hAnsi="Arial" w:cs="Arial"/>
        </w:rPr>
        <w:t>Despite its strategic benefits, a wholly owned subsidiary also involves disadvantages, including high capital requirements and full exposure to operational and regulatory risks. Unlike joint ventures, Cadbury could not share investment costs or benefit directly from a local partner's market knowledge. Nevertheless, maintaining complete ownership enabled the company to preserve global quality standards and exercise consistent strategic control. Consequently, Cadbury's market entry demonstrates an effective alignment between ownership advantages, location-specific opportunities and long-term internationalisation strategy, supporting sustainable competitive advantage in the Indian market.</w:t>
      </w:r>
    </w:p>
    <w:p w14:paraId="714A78D3" w14:textId="5DC6E7A7" w:rsidR="003D0536" w:rsidRPr="009C0BB3" w:rsidRDefault="007E472C" w:rsidP="00863881">
      <w:pPr>
        <w:spacing w:line="360" w:lineRule="auto"/>
        <w:jc w:val="center"/>
        <w:rPr>
          <w:rFonts w:ascii="Arial" w:hAnsi="Arial" w:cs="Arial"/>
        </w:rPr>
      </w:pPr>
      <w:r w:rsidRPr="009C0BB3">
        <w:rPr>
          <w:rFonts w:ascii="Arial" w:hAnsi="Arial" w:cs="Arial"/>
          <w:noProof/>
        </w:rPr>
        <w:lastRenderedPageBreak/>
        <w:drawing>
          <wp:inline distT="0" distB="0" distL="0" distR="0" wp14:anchorId="3FA31998" wp14:editId="1F01120B">
            <wp:extent cx="5090160" cy="6786880"/>
            <wp:effectExtent l="0" t="0" r="0" b="0"/>
            <wp:docPr id="8130447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0160" cy="6786880"/>
                    </a:xfrm>
                    <a:prstGeom prst="rect">
                      <a:avLst/>
                    </a:prstGeom>
                    <a:noFill/>
                  </pic:spPr>
                </pic:pic>
              </a:graphicData>
            </a:graphic>
          </wp:inline>
        </w:drawing>
      </w:r>
    </w:p>
    <w:p w14:paraId="2E7E2E7B" w14:textId="77777777" w:rsidR="007E472C" w:rsidRPr="006F1EE4" w:rsidRDefault="007E472C" w:rsidP="00975391">
      <w:pPr>
        <w:pStyle w:val="Heading1"/>
        <w:jc w:val="both"/>
        <w:rPr>
          <w:rFonts w:ascii="Arial" w:hAnsi="Arial" w:cs="Arial"/>
          <w:sz w:val="24"/>
          <w:szCs w:val="24"/>
        </w:rPr>
      </w:pPr>
      <w:bookmarkStart w:id="6" w:name="_Toc236641016"/>
      <w:r w:rsidRPr="006F1EE4">
        <w:rPr>
          <w:rFonts w:ascii="Arial" w:hAnsi="Arial" w:cs="Arial"/>
          <w:sz w:val="24"/>
          <w:szCs w:val="24"/>
        </w:rPr>
        <w:t>7. Ethical Evaluation of the Marketing Mix</w:t>
      </w:r>
      <w:bookmarkEnd w:id="6"/>
    </w:p>
    <w:p w14:paraId="39C9E80B" w14:textId="77777777" w:rsidR="007E472C" w:rsidRPr="009C0BB3" w:rsidRDefault="007E472C" w:rsidP="00975391">
      <w:pPr>
        <w:spacing w:line="360" w:lineRule="auto"/>
        <w:jc w:val="both"/>
        <w:rPr>
          <w:rFonts w:ascii="Arial" w:hAnsi="Arial" w:cs="Arial"/>
        </w:rPr>
      </w:pPr>
      <w:r w:rsidRPr="009C0BB3">
        <w:rPr>
          <w:rFonts w:ascii="Arial" w:hAnsi="Arial" w:cs="Arial"/>
        </w:rPr>
        <w:t>Ethical considerations have become an integral component of international marketing as consumers, investors and regulators increasingly expect multinational organisations to demonstrate responsible business practices throughout their value chains (Crane and Matten, 2023). For Cadbury, ethical performance extends beyond product quality and promotional activities to include responsible cocoa sourcing, environmental sustainability and transparent stakeholder engagement. Consequently, evaluating the ethical dimensions of the marketing mix requires consideration of both the company's sustainability commitments and the criticisms associated with global cocoa supply chains.</w:t>
      </w:r>
    </w:p>
    <w:p w14:paraId="6805964A" w14:textId="77777777" w:rsidR="002F4D26" w:rsidRDefault="002F4D26" w:rsidP="00975391">
      <w:pPr>
        <w:spacing w:line="360" w:lineRule="auto"/>
        <w:jc w:val="both"/>
        <w:rPr>
          <w:rFonts w:ascii="Arial" w:hAnsi="Arial" w:cs="Arial"/>
          <w:b/>
          <w:bCs/>
        </w:rPr>
      </w:pPr>
    </w:p>
    <w:p w14:paraId="11D7D327" w14:textId="4A1A24E1" w:rsidR="007E472C" w:rsidRPr="009C0BB3" w:rsidRDefault="007E472C" w:rsidP="00975391">
      <w:pPr>
        <w:spacing w:line="360" w:lineRule="auto"/>
        <w:jc w:val="both"/>
        <w:rPr>
          <w:rFonts w:ascii="Arial" w:hAnsi="Arial" w:cs="Arial"/>
          <w:b/>
          <w:bCs/>
        </w:rPr>
      </w:pPr>
      <w:r w:rsidRPr="009C0BB3">
        <w:rPr>
          <w:rFonts w:ascii="Arial" w:hAnsi="Arial" w:cs="Arial"/>
          <w:b/>
          <w:bCs/>
        </w:rPr>
        <w:t>Table 6. Ethical Evaluation of Cadbury's International Marketing Mix</w:t>
      </w:r>
    </w:p>
    <w:tbl>
      <w:tblPr>
        <w:tblStyle w:val="TableGrid"/>
        <w:tblW w:w="0" w:type="auto"/>
        <w:tblLook w:val="04A0" w:firstRow="1" w:lastRow="0" w:firstColumn="1" w:lastColumn="0" w:noHBand="0" w:noVBand="1"/>
      </w:tblPr>
      <w:tblGrid>
        <w:gridCol w:w="1752"/>
        <w:gridCol w:w="3835"/>
        <w:gridCol w:w="4869"/>
      </w:tblGrid>
      <w:tr w:rsidR="007E472C" w:rsidRPr="009C0BB3" w14:paraId="61849733" w14:textId="77777777" w:rsidTr="007E472C">
        <w:tc>
          <w:tcPr>
            <w:tcW w:w="0" w:type="auto"/>
            <w:hideMark/>
          </w:tcPr>
          <w:p w14:paraId="1FCC3AE3"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Marketing Mix Element</w:t>
            </w:r>
          </w:p>
        </w:tc>
        <w:tc>
          <w:tcPr>
            <w:tcW w:w="0" w:type="auto"/>
            <w:hideMark/>
          </w:tcPr>
          <w:p w14:paraId="78FBE762"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Ethical Practice</w:t>
            </w:r>
          </w:p>
        </w:tc>
        <w:tc>
          <w:tcPr>
            <w:tcW w:w="0" w:type="auto"/>
            <w:hideMark/>
          </w:tcPr>
          <w:p w14:paraId="72E8A165"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Critical Evaluation</w:t>
            </w:r>
          </w:p>
        </w:tc>
      </w:tr>
      <w:tr w:rsidR="007E472C" w:rsidRPr="009C0BB3" w14:paraId="037AB50F" w14:textId="77777777" w:rsidTr="007E472C">
        <w:tc>
          <w:tcPr>
            <w:tcW w:w="0" w:type="auto"/>
            <w:hideMark/>
          </w:tcPr>
          <w:p w14:paraId="36A974F1"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Product</w:t>
            </w:r>
          </w:p>
        </w:tc>
        <w:tc>
          <w:tcPr>
            <w:tcW w:w="0" w:type="auto"/>
            <w:hideMark/>
          </w:tcPr>
          <w:p w14:paraId="1DF80D3B" w14:textId="77777777" w:rsidR="007E472C" w:rsidRPr="009C0BB3" w:rsidRDefault="007E472C" w:rsidP="00975391">
            <w:pPr>
              <w:spacing w:after="160" w:line="360" w:lineRule="auto"/>
              <w:jc w:val="both"/>
              <w:rPr>
                <w:rFonts w:ascii="Arial" w:hAnsi="Arial" w:cs="Arial"/>
              </w:rPr>
            </w:pPr>
            <w:r w:rsidRPr="009C0BB3">
              <w:rPr>
                <w:rFonts w:ascii="Arial" w:hAnsi="Arial" w:cs="Arial"/>
              </w:rPr>
              <w:t>Cadbury sources cocoa through the Cocoa Life programme, which aims to improve farmer livelihoods, promote sustainable agricultural practices and strengthen cocoa-producing communities.</w:t>
            </w:r>
          </w:p>
        </w:tc>
        <w:tc>
          <w:tcPr>
            <w:tcW w:w="0" w:type="auto"/>
            <w:hideMark/>
          </w:tcPr>
          <w:p w14:paraId="50205571" w14:textId="77777777" w:rsidR="007E472C" w:rsidRPr="009C0BB3" w:rsidRDefault="007E472C" w:rsidP="00975391">
            <w:pPr>
              <w:spacing w:after="160" w:line="360" w:lineRule="auto"/>
              <w:jc w:val="both"/>
              <w:rPr>
                <w:rFonts w:ascii="Arial" w:hAnsi="Arial" w:cs="Arial"/>
              </w:rPr>
            </w:pPr>
            <w:r w:rsidRPr="009C0BB3">
              <w:rPr>
                <w:rFonts w:ascii="Arial" w:hAnsi="Arial" w:cs="Arial"/>
              </w:rPr>
              <w:t xml:space="preserve">Cocoa Life demonstrates long-term investment in responsible sourcing; however, independent studies continue to identify risks relating to child labour and low farmer incomes across the West African cocoa sector, indicating that certification alone cannot eliminate systemic challenges (Fountain and </w:t>
            </w:r>
            <w:proofErr w:type="spellStart"/>
            <w:r w:rsidRPr="009C0BB3">
              <w:rPr>
                <w:rFonts w:ascii="Arial" w:hAnsi="Arial" w:cs="Arial"/>
              </w:rPr>
              <w:t>Huetz</w:t>
            </w:r>
            <w:proofErr w:type="spellEnd"/>
            <w:r w:rsidRPr="009C0BB3">
              <w:rPr>
                <w:rFonts w:ascii="Arial" w:hAnsi="Arial" w:cs="Arial"/>
              </w:rPr>
              <w:t>-Adams, 2020).</w:t>
            </w:r>
          </w:p>
        </w:tc>
      </w:tr>
      <w:tr w:rsidR="007E472C" w:rsidRPr="009C0BB3" w14:paraId="3BF117D2" w14:textId="77777777" w:rsidTr="007E472C">
        <w:tc>
          <w:tcPr>
            <w:tcW w:w="0" w:type="auto"/>
            <w:hideMark/>
          </w:tcPr>
          <w:p w14:paraId="1580AE3C"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Price</w:t>
            </w:r>
          </w:p>
        </w:tc>
        <w:tc>
          <w:tcPr>
            <w:tcW w:w="0" w:type="auto"/>
            <w:hideMark/>
          </w:tcPr>
          <w:p w14:paraId="04A8E69A" w14:textId="77777777" w:rsidR="007E472C" w:rsidRPr="009C0BB3" w:rsidRDefault="007E472C" w:rsidP="00975391">
            <w:pPr>
              <w:spacing w:after="160" w:line="360" w:lineRule="auto"/>
              <w:jc w:val="both"/>
              <w:rPr>
                <w:rFonts w:ascii="Arial" w:hAnsi="Arial" w:cs="Arial"/>
              </w:rPr>
            </w:pPr>
            <w:r w:rsidRPr="009C0BB3">
              <w:rPr>
                <w:rFonts w:ascii="Arial" w:hAnsi="Arial" w:cs="Arial"/>
              </w:rPr>
              <w:t>Cadbury seeks to balance affordability with sustainable sourcing investments.</w:t>
            </w:r>
          </w:p>
        </w:tc>
        <w:tc>
          <w:tcPr>
            <w:tcW w:w="0" w:type="auto"/>
            <w:hideMark/>
          </w:tcPr>
          <w:p w14:paraId="5EA35B44" w14:textId="77777777" w:rsidR="007E472C" w:rsidRPr="009C0BB3" w:rsidRDefault="007E472C" w:rsidP="00975391">
            <w:pPr>
              <w:spacing w:after="160" w:line="360" w:lineRule="auto"/>
              <w:jc w:val="both"/>
              <w:rPr>
                <w:rFonts w:ascii="Arial" w:hAnsi="Arial" w:cs="Arial"/>
              </w:rPr>
            </w:pPr>
            <w:r w:rsidRPr="009C0BB3">
              <w:rPr>
                <w:rFonts w:ascii="Arial" w:hAnsi="Arial" w:cs="Arial"/>
              </w:rPr>
              <w:t>Although sustainability initiatives increase production costs, criticism remains that cocoa farmers continue to receive a relatively small proportion of the final retail price, raising concerns regarding equitable value distribution within global supply chains (Neilson, 2020).</w:t>
            </w:r>
          </w:p>
        </w:tc>
      </w:tr>
      <w:tr w:rsidR="007E472C" w:rsidRPr="009C0BB3" w14:paraId="77DDBCB0" w14:textId="77777777" w:rsidTr="007E472C">
        <w:tc>
          <w:tcPr>
            <w:tcW w:w="0" w:type="auto"/>
            <w:hideMark/>
          </w:tcPr>
          <w:p w14:paraId="2B2B9E25"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Place</w:t>
            </w:r>
          </w:p>
        </w:tc>
        <w:tc>
          <w:tcPr>
            <w:tcW w:w="0" w:type="auto"/>
            <w:hideMark/>
          </w:tcPr>
          <w:p w14:paraId="435EB687" w14:textId="77777777" w:rsidR="007E472C" w:rsidRPr="009C0BB3" w:rsidRDefault="007E472C" w:rsidP="00975391">
            <w:pPr>
              <w:spacing w:after="160" w:line="360" w:lineRule="auto"/>
              <w:jc w:val="both"/>
              <w:rPr>
                <w:rFonts w:ascii="Arial" w:hAnsi="Arial" w:cs="Arial"/>
              </w:rPr>
            </w:pPr>
            <w:r w:rsidRPr="009C0BB3">
              <w:rPr>
                <w:rFonts w:ascii="Arial" w:hAnsi="Arial" w:cs="Arial"/>
              </w:rPr>
              <w:t>Mondelēz has committed to increasing supply chain transparency and responsible sourcing through supplier monitoring and traceability programmes.</w:t>
            </w:r>
          </w:p>
        </w:tc>
        <w:tc>
          <w:tcPr>
            <w:tcW w:w="0" w:type="auto"/>
            <w:hideMark/>
          </w:tcPr>
          <w:p w14:paraId="238D1EA7" w14:textId="77777777" w:rsidR="007E472C" w:rsidRPr="009C0BB3" w:rsidRDefault="007E472C" w:rsidP="00975391">
            <w:pPr>
              <w:spacing w:after="160" w:line="360" w:lineRule="auto"/>
              <w:jc w:val="both"/>
              <w:rPr>
                <w:rFonts w:ascii="Arial" w:hAnsi="Arial" w:cs="Arial"/>
              </w:rPr>
            </w:pPr>
            <w:r w:rsidRPr="009C0BB3">
              <w:rPr>
                <w:rFonts w:ascii="Arial" w:hAnsi="Arial" w:cs="Arial"/>
              </w:rPr>
              <w:t>Greater traceability improves accountability; however, achieving full visibility across complex international supply chains remains challenging, particularly where multiple intermediaries operate.</w:t>
            </w:r>
          </w:p>
        </w:tc>
      </w:tr>
      <w:tr w:rsidR="007E472C" w:rsidRPr="009C0BB3" w14:paraId="0279E163" w14:textId="77777777" w:rsidTr="007E472C">
        <w:tc>
          <w:tcPr>
            <w:tcW w:w="0" w:type="auto"/>
            <w:hideMark/>
          </w:tcPr>
          <w:p w14:paraId="109CABD8"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Promotion</w:t>
            </w:r>
          </w:p>
        </w:tc>
        <w:tc>
          <w:tcPr>
            <w:tcW w:w="0" w:type="auto"/>
            <w:hideMark/>
          </w:tcPr>
          <w:p w14:paraId="65793357" w14:textId="77777777" w:rsidR="007E472C" w:rsidRPr="009C0BB3" w:rsidRDefault="007E472C" w:rsidP="00975391">
            <w:pPr>
              <w:spacing w:after="160" w:line="360" w:lineRule="auto"/>
              <w:jc w:val="both"/>
              <w:rPr>
                <w:rFonts w:ascii="Arial" w:hAnsi="Arial" w:cs="Arial"/>
              </w:rPr>
            </w:pPr>
            <w:r w:rsidRPr="009C0BB3">
              <w:rPr>
                <w:rFonts w:ascii="Arial" w:hAnsi="Arial" w:cs="Arial"/>
              </w:rPr>
              <w:t>Marketing communications increasingly highlight sustainability commitments, responsible sourcing and community development initiatives.</w:t>
            </w:r>
          </w:p>
        </w:tc>
        <w:tc>
          <w:tcPr>
            <w:tcW w:w="0" w:type="auto"/>
            <w:hideMark/>
          </w:tcPr>
          <w:p w14:paraId="75B38172" w14:textId="77777777" w:rsidR="007E472C" w:rsidRPr="009C0BB3" w:rsidRDefault="007E472C" w:rsidP="00975391">
            <w:pPr>
              <w:spacing w:after="160" w:line="360" w:lineRule="auto"/>
              <w:jc w:val="both"/>
              <w:rPr>
                <w:rFonts w:ascii="Arial" w:hAnsi="Arial" w:cs="Arial"/>
              </w:rPr>
            </w:pPr>
            <w:r w:rsidRPr="009C0BB3">
              <w:rPr>
                <w:rFonts w:ascii="Arial" w:hAnsi="Arial" w:cs="Arial"/>
              </w:rPr>
              <w:t xml:space="preserve">Ethical marketing can strengthen stakeholder trust, but unsupported environmental or social claims may expose firms to accusations of </w:t>
            </w:r>
            <w:r w:rsidRPr="009C0BB3">
              <w:rPr>
                <w:rFonts w:ascii="Arial" w:hAnsi="Arial" w:cs="Arial"/>
                <w:b/>
                <w:bCs/>
              </w:rPr>
              <w:t>greenwashing</w:t>
            </w:r>
            <w:r w:rsidRPr="009C0BB3">
              <w:rPr>
                <w:rFonts w:ascii="Arial" w:hAnsi="Arial" w:cs="Arial"/>
              </w:rPr>
              <w:t xml:space="preserve"> if measurable outcomes are not transparently reported (Delmas and </w:t>
            </w:r>
            <w:proofErr w:type="spellStart"/>
            <w:r w:rsidRPr="009C0BB3">
              <w:rPr>
                <w:rFonts w:ascii="Arial" w:hAnsi="Arial" w:cs="Arial"/>
              </w:rPr>
              <w:t>Burbano</w:t>
            </w:r>
            <w:proofErr w:type="spellEnd"/>
            <w:r w:rsidRPr="009C0BB3">
              <w:rPr>
                <w:rFonts w:ascii="Arial" w:hAnsi="Arial" w:cs="Arial"/>
              </w:rPr>
              <w:t>, 2011).</w:t>
            </w:r>
          </w:p>
        </w:tc>
      </w:tr>
      <w:tr w:rsidR="007E472C" w:rsidRPr="009C0BB3" w14:paraId="3B7E3D52" w14:textId="77777777" w:rsidTr="007E472C">
        <w:tc>
          <w:tcPr>
            <w:tcW w:w="0" w:type="auto"/>
            <w:hideMark/>
          </w:tcPr>
          <w:p w14:paraId="18C846E5"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lastRenderedPageBreak/>
              <w:t>People, Process and Physical Evidence</w:t>
            </w:r>
          </w:p>
        </w:tc>
        <w:tc>
          <w:tcPr>
            <w:tcW w:w="0" w:type="auto"/>
            <w:hideMark/>
          </w:tcPr>
          <w:p w14:paraId="56546DF3" w14:textId="77777777" w:rsidR="007E472C" w:rsidRPr="009C0BB3" w:rsidRDefault="007E472C" w:rsidP="00975391">
            <w:pPr>
              <w:spacing w:after="160" w:line="360" w:lineRule="auto"/>
              <w:jc w:val="both"/>
              <w:rPr>
                <w:rFonts w:ascii="Arial" w:hAnsi="Arial" w:cs="Arial"/>
              </w:rPr>
            </w:pPr>
            <w:r w:rsidRPr="009C0BB3">
              <w:rPr>
                <w:rFonts w:ascii="Arial" w:hAnsi="Arial" w:cs="Arial"/>
              </w:rPr>
              <w:t>Employee wellbeing, supplier engagement, responsible manufacturing and recyclable packaging form part of Mondelēz's wider Environmental, Social and Governance (ESG) strategy.</w:t>
            </w:r>
          </w:p>
        </w:tc>
        <w:tc>
          <w:tcPr>
            <w:tcW w:w="0" w:type="auto"/>
            <w:hideMark/>
          </w:tcPr>
          <w:p w14:paraId="000ADAF3" w14:textId="77777777" w:rsidR="007E472C" w:rsidRPr="009C0BB3" w:rsidRDefault="007E472C" w:rsidP="00975391">
            <w:pPr>
              <w:spacing w:after="160" w:line="360" w:lineRule="auto"/>
              <w:jc w:val="both"/>
              <w:rPr>
                <w:rFonts w:ascii="Arial" w:hAnsi="Arial" w:cs="Arial"/>
              </w:rPr>
            </w:pPr>
            <w:r w:rsidRPr="009C0BB3">
              <w:rPr>
                <w:rFonts w:ascii="Arial" w:hAnsi="Arial" w:cs="Arial"/>
              </w:rPr>
              <w:t>These initiatives support corporate reputation; however, sustained ethical performance depends upon measurable implementation rather than corporate commitments alone, requiring continuous monitoring and independent verification.</w:t>
            </w:r>
          </w:p>
        </w:tc>
      </w:tr>
    </w:tbl>
    <w:p w14:paraId="10F16893" w14:textId="77777777" w:rsidR="007E472C" w:rsidRPr="009C0BB3" w:rsidRDefault="007E472C" w:rsidP="00975391">
      <w:pPr>
        <w:spacing w:line="360" w:lineRule="auto"/>
        <w:jc w:val="both"/>
        <w:rPr>
          <w:rFonts w:ascii="Arial" w:hAnsi="Arial" w:cs="Arial"/>
        </w:rPr>
      </w:pPr>
    </w:p>
    <w:p w14:paraId="1B37F4F2" w14:textId="1FB57FB8" w:rsidR="007E472C" w:rsidRPr="009C0BB3" w:rsidRDefault="007E472C" w:rsidP="00975391">
      <w:pPr>
        <w:spacing w:line="360" w:lineRule="auto"/>
        <w:jc w:val="both"/>
        <w:rPr>
          <w:rFonts w:ascii="Arial" w:hAnsi="Arial" w:cs="Arial"/>
          <w:b/>
          <w:bCs/>
        </w:rPr>
      </w:pPr>
      <w:r w:rsidRPr="009C0BB3">
        <w:rPr>
          <w:rFonts w:ascii="Arial" w:hAnsi="Arial" w:cs="Arial"/>
          <w:b/>
          <w:bCs/>
        </w:rPr>
        <w:t>Evaluation</w:t>
      </w:r>
    </w:p>
    <w:p w14:paraId="4CBCA907" w14:textId="77777777" w:rsidR="007E472C" w:rsidRPr="009C0BB3" w:rsidRDefault="007E472C" w:rsidP="00975391">
      <w:pPr>
        <w:spacing w:line="360" w:lineRule="auto"/>
        <w:jc w:val="both"/>
        <w:rPr>
          <w:rFonts w:ascii="Arial" w:hAnsi="Arial" w:cs="Arial"/>
        </w:rPr>
      </w:pPr>
      <w:r w:rsidRPr="009C0BB3">
        <w:rPr>
          <w:rFonts w:ascii="Arial" w:hAnsi="Arial" w:cs="Arial"/>
        </w:rPr>
        <w:t>Cadbury's ethical marketing strategy reflects a transition from traditional corporate social responsibility towards shared value creation, whereby social and commercial objectives are pursued simultaneously (Porter and Kramer, 2011). The Cocoa Life programme demonstrates a proactive approach to improving agricultural productivity, community resilience and environmental sustainability, while recyclable packaging and greenhouse gas reduction targets align with increasing stakeholder expectations regarding ESG performance (Mondelēz International, 2024).</w:t>
      </w:r>
    </w:p>
    <w:p w14:paraId="7CAD4576" w14:textId="025D8DE0" w:rsidR="007E472C" w:rsidRPr="009C0BB3" w:rsidRDefault="007E472C" w:rsidP="00975391">
      <w:pPr>
        <w:spacing w:line="360" w:lineRule="auto"/>
        <w:jc w:val="both"/>
        <w:rPr>
          <w:rFonts w:ascii="Arial" w:hAnsi="Arial" w:cs="Arial"/>
        </w:rPr>
      </w:pPr>
      <w:r w:rsidRPr="009C0BB3">
        <w:rPr>
          <w:rFonts w:ascii="Arial" w:hAnsi="Arial" w:cs="Arial"/>
        </w:rPr>
        <w:t>Nevertheless, ethical performance should be evaluated based on outcomes rather than organisational commitments. Despite significant investment in sustainability programmes, academic research indicates that persistent challenges</w:t>
      </w:r>
      <w:r w:rsidR="00726513">
        <w:rPr>
          <w:rFonts w:ascii="Arial" w:hAnsi="Arial" w:cs="Arial"/>
        </w:rPr>
        <w:t xml:space="preserve"> </w:t>
      </w:r>
      <w:r w:rsidRPr="009C0BB3">
        <w:rPr>
          <w:rFonts w:ascii="Arial" w:hAnsi="Arial" w:cs="Arial"/>
        </w:rPr>
        <w:t>including child labour, farmer poverty and income inequality within global cocoa supply chains</w:t>
      </w:r>
      <w:r w:rsidR="00726513">
        <w:rPr>
          <w:rFonts w:ascii="Arial" w:hAnsi="Arial" w:cs="Arial"/>
        </w:rPr>
        <w:t xml:space="preserve"> </w:t>
      </w:r>
      <w:r w:rsidRPr="009C0BB3">
        <w:rPr>
          <w:rFonts w:ascii="Arial" w:hAnsi="Arial" w:cs="Arial"/>
        </w:rPr>
        <w:t xml:space="preserve">remain unresolved (Fountain and </w:t>
      </w:r>
      <w:proofErr w:type="spellStart"/>
      <w:r w:rsidRPr="009C0BB3">
        <w:rPr>
          <w:rFonts w:ascii="Arial" w:hAnsi="Arial" w:cs="Arial"/>
        </w:rPr>
        <w:t>Huetz</w:t>
      </w:r>
      <w:proofErr w:type="spellEnd"/>
      <w:r w:rsidRPr="009C0BB3">
        <w:rPr>
          <w:rFonts w:ascii="Arial" w:hAnsi="Arial" w:cs="Arial"/>
        </w:rPr>
        <w:t>-Adams, 2020). Consequently, Cadbury's ethical reputation depends not only on communicating sustainability initiatives but also on demonstrating measurable improvements through transparent reporting and independent assessment.</w:t>
      </w:r>
    </w:p>
    <w:p w14:paraId="1E4EAA7E" w14:textId="77777777" w:rsidR="007E472C" w:rsidRPr="009C0BB3" w:rsidRDefault="007E472C" w:rsidP="00975391">
      <w:pPr>
        <w:spacing w:line="360" w:lineRule="auto"/>
        <w:jc w:val="both"/>
        <w:rPr>
          <w:rFonts w:ascii="Arial" w:hAnsi="Arial" w:cs="Arial"/>
        </w:rPr>
      </w:pPr>
      <w:r w:rsidRPr="009C0BB3">
        <w:rPr>
          <w:rFonts w:ascii="Arial" w:hAnsi="Arial" w:cs="Arial"/>
        </w:rPr>
        <w:t>Overall, Cadbury has integrated ethical considerations into its international marketing strategy more comprehensively than many competitors. However, sustaining stakeholder trust requires continuous improvement in supply chain governance, fair value distribution and impact measurement. This suggests that ethical marketing should be viewed as a dynamic strategic capability rather than a completed corporate initiative.</w:t>
      </w:r>
    </w:p>
    <w:p w14:paraId="4AEF6988" w14:textId="184581C2" w:rsidR="007E472C" w:rsidRPr="009C0BB3" w:rsidRDefault="007E472C" w:rsidP="00975391">
      <w:pPr>
        <w:spacing w:line="360" w:lineRule="auto"/>
        <w:jc w:val="both"/>
        <w:rPr>
          <w:rFonts w:ascii="Arial" w:hAnsi="Arial" w:cs="Arial"/>
        </w:rPr>
      </w:pPr>
    </w:p>
    <w:p w14:paraId="563EC7C6" w14:textId="0C71239B" w:rsidR="007E472C" w:rsidRPr="009C0BB3" w:rsidRDefault="007E472C" w:rsidP="00975391">
      <w:pPr>
        <w:spacing w:line="360" w:lineRule="auto"/>
        <w:jc w:val="both"/>
        <w:rPr>
          <w:rFonts w:ascii="Arial" w:hAnsi="Arial" w:cs="Arial"/>
        </w:rPr>
      </w:pPr>
      <w:r w:rsidRPr="009C0BB3">
        <w:rPr>
          <w:rFonts w:ascii="Arial" w:hAnsi="Arial" w:cs="Arial"/>
          <w:noProof/>
        </w:rPr>
        <w:lastRenderedPageBreak/>
        <w:drawing>
          <wp:inline distT="0" distB="0" distL="0" distR="0" wp14:anchorId="7FA681C0" wp14:editId="0129A479">
            <wp:extent cx="6736080" cy="4490720"/>
            <wp:effectExtent l="0" t="0" r="7620" b="5080"/>
            <wp:docPr id="1581577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36080" cy="4490720"/>
                    </a:xfrm>
                    <a:prstGeom prst="rect">
                      <a:avLst/>
                    </a:prstGeom>
                    <a:noFill/>
                  </pic:spPr>
                </pic:pic>
              </a:graphicData>
            </a:graphic>
          </wp:inline>
        </w:drawing>
      </w:r>
    </w:p>
    <w:p w14:paraId="797698D9" w14:textId="77777777" w:rsidR="007E472C" w:rsidRPr="009C0BB3" w:rsidRDefault="007E472C" w:rsidP="00975391">
      <w:pPr>
        <w:pStyle w:val="Heading1"/>
        <w:spacing w:line="360" w:lineRule="auto"/>
        <w:jc w:val="both"/>
        <w:rPr>
          <w:rFonts w:ascii="Arial" w:hAnsi="Arial" w:cs="Arial"/>
          <w:sz w:val="24"/>
          <w:szCs w:val="24"/>
        </w:rPr>
      </w:pPr>
      <w:bookmarkStart w:id="7" w:name="_Toc236641017"/>
      <w:r w:rsidRPr="009C0BB3">
        <w:rPr>
          <w:rFonts w:ascii="Arial" w:hAnsi="Arial" w:cs="Arial"/>
          <w:sz w:val="24"/>
          <w:szCs w:val="24"/>
        </w:rPr>
        <w:t>8. Strategic Recommendations</w:t>
      </w:r>
      <w:bookmarkEnd w:id="7"/>
    </w:p>
    <w:p w14:paraId="55D2AD4C" w14:textId="77777777" w:rsidR="007E472C" w:rsidRPr="009C0BB3" w:rsidRDefault="007E472C" w:rsidP="00975391">
      <w:pPr>
        <w:spacing w:line="360" w:lineRule="auto"/>
        <w:jc w:val="both"/>
        <w:rPr>
          <w:rFonts w:ascii="Arial" w:hAnsi="Arial" w:cs="Arial"/>
        </w:rPr>
      </w:pPr>
      <w:r w:rsidRPr="009C0BB3">
        <w:rPr>
          <w:rFonts w:ascii="Arial" w:hAnsi="Arial" w:cs="Arial"/>
          <w:i/>
          <w:iCs/>
        </w:rPr>
        <w:t>The preceding analysis suggests that Cadbury has established a strong international presence through selective adaptation of its marketing strategy. However, evolving consumer expectations, technological developments and sustainability pressures require continuous strategic improvement. The following recommendations are prioritised according to their expected strategic impact and implementation feasibility.</w:t>
      </w:r>
    </w:p>
    <w:p w14:paraId="0E4F2F2E" w14:textId="77777777" w:rsidR="007E472C" w:rsidRPr="009C0BB3" w:rsidRDefault="007E472C" w:rsidP="00975391">
      <w:pPr>
        <w:spacing w:line="360" w:lineRule="auto"/>
        <w:jc w:val="both"/>
        <w:rPr>
          <w:rFonts w:ascii="Arial" w:hAnsi="Arial" w:cs="Arial"/>
          <w:b/>
          <w:bCs/>
        </w:rPr>
      </w:pPr>
      <w:r w:rsidRPr="009C0BB3">
        <w:rPr>
          <w:rFonts w:ascii="Arial" w:hAnsi="Arial" w:cs="Arial"/>
          <w:b/>
          <w:bCs/>
        </w:rPr>
        <w:t>Table 7. Strategic Recommendations for Cadbury</w:t>
      </w:r>
    </w:p>
    <w:tbl>
      <w:tblPr>
        <w:tblStyle w:val="TableGrid"/>
        <w:tblW w:w="0" w:type="auto"/>
        <w:tblLook w:val="04A0" w:firstRow="1" w:lastRow="0" w:firstColumn="1" w:lastColumn="0" w:noHBand="0" w:noVBand="1"/>
      </w:tblPr>
      <w:tblGrid>
        <w:gridCol w:w="3072"/>
        <w:gridCol w:w="4369"/>
        <w:gridCol w:w="3015"/>
      </w:tblGrid>
      <w:tr w:rsidR="007E472C" w:rsidRPr="009C0BB3" w14:paraId="7C23875A" w14:textId="77777777" w:rsidTr="007E472C">
        <w:tc>
          <w:tcPr>
            <w:tcW w:w="0" w:type="auto"/>
            <w:hideMark/>
          </w:tcPr>
          <w:p w14:paraId="0ED1A0C6"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Recommendation</w:t>
            </w:r>
          </w:p>
        </w:tc>
        <w:tc>
          <w:tcPr>
            <w:tcW w:w="0" w:type="auto"/>
            <w:hideMark/>
          </w:tcPr>
          <w:p w14:paraId="1B119417"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Strategic Justification</w:t>
            </w:r>
          </w:p>
        </w:tc>
        <w:tc>
          <w:tcPr>
            <w:tcW w:w="0" w:type="auto"/>
            <w:hideMark/>
          </w:tcPr>
          <w:p w14:paraId="0C6AE6C3" w14:textId="77777777" w:rsidR="007E472C" w:rsidRPr="009C0BB3" w:rsidRDefault="007E472C" w:rsidP="00975391">
            <w:pPr>
              <w:spacing w:after="160" w:line="360" w:lineRule="auto"/>
              <w:jc w:val="both"/>
              <w:rPr>
                <w:rFonts w:ascii="Arial" w:hAnsi="Arial" w:cs="Arial"/>
                <w:b/>
                <w:bCs/>
              </w:rPr>
            </w:pPr>
            <w:r w:rsidRPr="009C0BB3">
              <w:rPr>
                <w:rFonts w:ascii="Arial" w:hAnsi="Arial" w:cs="Arial"/>
                <w:b/>
                <w:bCs/>
              </w:rPr>
              <w:t>Expected Impact</w:t>
            </w:r>
          </w:p>
        </w:tc>
      </w:tr>
      <w:tr w:rsidR="007E472C" w:rsidRPr="009C0BB3" w14:paraId="4B7703E7" w14:textId="77777777" w:rsidTr="007E472C">
        <w:tc>
          <w:tcPr>
            <w:tcW w:w="0" w:type="auto"/>
            <w:hideMark/>
          </w:tcPr>
          <w:p w14:paraId="7A0C7097"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1. Accelerate AI-driven consumer personalisation</w:t>
            </w:r>
          </w:p>
        </w:tc>
        <w:tc>
          <w:tcPr>
            <w:tcW w:w="0" w:type="auto"/>
            <w:hideMark/>
          </w:tcPr>
          <w:p w14:paraId="4A485C72" w14:textId="77777777" w:rsidR="007E472C" w:rsidRPr="009C0BB3" w:rsidRDefault="007E472C" w:rsidP="00975391">
            <w:pPr>
              <w:spacing w:after="160" w:line="360" w:lineRule="auto"/>
              <w:jc w:val="both"/>
              <w:rPr>
                <w:rFonts w:ascii="Arial" w:hAnsi="Arial" w:cs="Arial"/>
              </w:rPr>
            </w:pPr>
            <w:r w:rsidRPr="009C0BB3">
              <w:rPr>
                <w:rFonts w:ascii="Arial" w:hAnsi="Arial" w:cs="Arial"/>
              </w:rPr>
              <w:t>AI-powered analytics can improve customer segmentation, demand forecasting and personalised digital engagement, strengthening customer loyalty and marketing efficiency (Wedel and Kannan, 2016).</w:t>
            </w:r>
          </w:p>
        </w:tc>
        <w:tc>
          <w:tcPr>
            <w:tcW w:w="0" w:type="auto"/>
            <w:hideMark/>
          </w:tcPr>
          <w:p w14:paraId="550F6A8A" w14:textId="77777777" w:rsidR="007E472C" w:rsidRPr="009C0BB3" w:rsidRDefault="007E472C" w:rsidP="00975391">
            <w:pPr>
              <w:spacing w:after="160" w:line="360" w:lineRule="auto"/>
              <w:jc w:val="both"/>
              <w:rPr>
                <w:rFonts w:ascii="Arial" w:hAnsi="Arial" w:cs="Arial"/>
              </w:rPr>
            </w:pPr>
            <w:r w:rsidRPr="009C0BB3">
              <w:rPr>
                <w:rFonts w:ascii="Arial" w:hAnsi="Arial" w:cs="Arial"/>
              </w:rPr>
              <w:t>Higher customer retention, improved campaign effectiveness and increased marketing ROI.</w:t>
            </w:r>
          </w:p>
        </w:tc>
      </w:tr>
      <w:tr w:rsidR="007E472C" w:rsidRPr="009C0BB3" w14:paraId="1C427D19" w14:textId="77777777" w:rsidTr="007E472C">
        <w:tc>
          <w:tcPr>
            <w:tcW w:w="0" w:type="auto"/>
            <w:hideMark/>
          </w:tcPr>
          <w:p w14:paraId="2FDD919B"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lastRenderedPageBreak/>
              <w:t>2. Strengthen sustainable cocoa sourcing through measurable impact reporting</w:t>
            </w:r>
          </w:p>
        </w:tc>
        <w:tc>
          <w:tcPr>
            <w:tcW w:w="0" w:type="auto"/>
            <w:hideMark/>
          </w:tcPr>
          <w:p w14:paraId="6227B53B" w14:textId="77777777" w:rsidR="007E472C" w:rsidRPr="009C0BB3" w:rsidRDefault="007E472C" w:rsidP="00975391">
            <w:pPr>
              <w:spacing w:after="160" w:line="360" w:lineRule="auto"/>
              <w:jc w:val="both"/>
              <w:rPr>
                <w:rFonts w:ascii="Arial" w:hAnsi="Arial" w:cs="Arial"/>
              </w:rPr>
            </w:pPr>
            <w:r w:rsidRPr="009C0BB3">
              <w:rPr>
                <w:rFonts w:ascii="Arial" w:hAnsi="Arial" w:cs="Arial"/>
              </w:rPr>
              <w:t>Moving beyond sustainability commitments towards independently verified impact reporting would improve stakeholder trust and reduce reputational risk associated with ethical sourcing (Porter and Kramer, 2011).</w:t>
            </w:r>
          </w:p>
        </w:tc>
        <w:tc>
          <w:tcPr>
            <w:tcW w:w="0" w:type="auto"/>
            <w:hideMark/>
          </w:tcPr>
          <w:p w14:paraId="2860950B" w14:textId="77777777" w:rsidR="007E472C" w:rsidRPr="009C0BB3" w:rsidRDefault="007E472C" w:rsidP="00975391">
            <w:pPr>
              <w:spacing w:after="160" w:line="360" w:lineRule="auto"/>
              <w:jc w:val="both"/>
              <w:rPr>
                <w:rFonts w:ascii="Arial" w:hAnsi="Arial" w:cs="Arial"/>
              </w:rPr>
            </w:pPr>
            <w:r w:rsidRPr="009C0BB3">
              <w:rPr>
                <w:rFonts w:ascii="Arial" w:hAnsi="Arial" w:cs="Arial"/>
              </w:rPr>
              <w:t>Enhanced corporate reputation, stronger ESG performance and increased consumer confidence.</w:t>
            </w:r>
          </w:p>
        </w:tc>
      </w:tr>
      <w:tr w:rsidR="007E472C" w:rsidRPr="009C0BB3" w14:paraId="3D7E6C79" w14:textId="77777777" w:rsidTr="007E472C">
        <w:tc>
          <w:tcPr>
            <w:tcW w:w="0" w:type="auto"/>
            <w:hideMark/>
          </w:tcPr>
          <w:p w14:paraId="3DC5E11A"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3. Expand premium product innovation within emerging urban markets</w:t>
            </w:r>
          </w:p>
        </w:tc>
        <w:tc>
          <w:tcPr>
            <w:tcW w:w="0" w:type="auto"/>
            <w:hideMark/>
          </w:tcPr>
          <w:p w14:paraId="6B59850C" w14:textId="383B8414" w:rsidR="007E472C" w:rsidRPr="009C0BB3" w:rsidRDefault="007E472C" w:rsidP="00975391">
            <w:pPr>
              <w:spacing w:after="160" w:line="360" w:lineRule="auto"/>
              <w:jc w:val="both"/>
              <w:rPr>
                <w:rFonts w:ascii="Arial" w:hAnsi="Arial" w:cs="Arial"/>
              </w:rPr>
            </w:pPr>
            <w:r w:rsidRPr="009C0BB3">
              <w:rPr>
                <w:rFonts w:ascii="Arial" w:hAnsi="Arial" w:cs="Arial"/>
              </w:rPr>
              <w:t xml:space="preserve">Growing disposable incomes and premiumisation trends present opportunities to increase value creation without relying solely on volume growth </w:t>
            </w:r>
            <w:r w:rsidR="005B0D8A" w:rsidRPr="005B0D8A">
              <w:rPr>
                <w:rFonts w:ascii="Arial" w:hAnsi="Arial" w:cs="Arial"/>
              </w:rPr>
              <w:t>(Euromonitor International, 2024a)</w:t>
            </w:r>
          </w:p>
        </w:tc>
        <w:tc>
          <w:tcPr>
            <w:tcW w:w="0" w:type="auto"/>
            <w:hideMark/>
          </w:tcPr>
          <w:p w14:paraId="64521F0F" w14:textId="77777777" w:rsidR="007E472C" w:rsidRPr="009C0BB3" w:rsidRDefault="007E472C" w:rsidP="00975391">
            <w:pPr>
              <w:spacing w:after="160" w:line="360" w:lineRule="auto"/>
              <w:jc w:val="both"/>
              <w:rPr>
                <w:rFonts w:ascii="Arial" w:hAnsi="Arial" w:cs="Arial"/>
              </w:rPr>
            </w:pPr>
            <w:r w:rsidRPr="009C0BB3">
              <w:rPr>
                <w:rFonts w:ascii="Arial" w:hAnsi="Arial" w:cs="Arial"/>
              </w:rPr>
              <w:t>Higher profit margins and stronger competitive differentiation.</w:t>
            </w:r>
          </w:p>
        </w:tc>
      </w:tr>
      <w:tr w:rsidR="007E472C" w:rsidRPr="009C0BB3" w14:paraId="619524D0" w14:textId="77777777" w:rsidTr="007E472C">
        <w:tc>
          <w:tcPr>
            <w:tcW w:w="0" w:type="auto"/>
            <w:hideMark/>
          </w:tcPr>
          <w:p w14:paraId="3614389F" w14:textId="77777777" w:rsidR="007E472C" w:rsidRPr="009C0BB3" w:rsidRDefault="007E472C" w:rsidP="00975391">
            <w:pPr>
              <w:spacing w:after="160" w:line="360" w:lineRule="auto"/>
              <w:jc w:val="both"/>
              <w:rPr>
                <w:rFonts w:ascii="Arial" w:hAnsi="Arial" w:cs="Arial"/>
              </w:rPr>
            </w:pPr>
            <w:r w:rsidRPr="009C0BB3">
              <w:rPr>
                <w:rFonts w:ascii="Arial" w:hAnsi="Arial" w:cs="Arial"/>
                <w:b/>
                <w:bCs/>
              </w:rPr>
              <w:t>4. Develop an integrated omnichannel retail strategy</w:t>
            </w:r>
          </w:p>
        </w:tc>
        <w:tc>
          <w:tcPr>
            <w:tcW w:w="0" w:type="auto"/>
            <w:hideMark/>
          </w:tcPr>
          <w:p w14:paraId="40CCFD5C" w14:textId="77777777" w:rsidR="007E472C" w:rsidRPr="009C0BB3" w:rsidRDefault="007E472C" w:rsidP="00975391">
            <w:pPr>
              <w:spacing w:after="160" w:line="360" w:lineRule="auto"/>
              <w:jc w:val="both"/>
              <w:rPr>
                <w:rFonts w:ascii="Arial" w:hAnsi="Arial" w:cs="Arial"/>
              </w:rPr>
            </w:pPr>
            <w:r w:rsidRPr="009C0BB3">
              <w:rPr>
                <w:rFonts w:ascii="Arial" w:hAnsi="Arial" w:cs="Arial"/>
              </w:rPr>
              <w:t>Integrating physical retail with e-commerce platforms and data-driven customer engagement improves convenience and creates a consistent customer experience across markets (Verhoef, Kannan and Inman, 2015).</w:t>
            </w:r>
          </w:p>
        </w:tc>
        <w:tc>
          <w:tcPr>
            <w:tcW w:w="0" w:type="auto"/>
            <w:hideMark/>
          </w:tcPr>
          <w:p w14:paraId="132084D9" w14:textId="77777777" w:rsidR="007E472C" w:rsidRPr="009C0BB3" w:rsidRDefault="007E472C" w:rsidP="00975391">
            <w:pPr>
              <w:spacing w:after="160" w:line="360" w:lineRule="auto"/>
              <w:jc w:val="both"/>
              <w:rPr>
                <w:rFonts w:ascii="Arial" w:hAnsi="Arial" w:cs="Arial"/>
              </w:rPr>
            </w:pPr>
            <w:r w:rsidRPr="009C0BB3">
              <w:rPr>
                <w:rFonts w:ascii="Arial" w:hAnsi="Arial" w:cs="Arial"/>
              </w:rPr>
              <w:t>Increased market reach, improved customer experience and stronger digital competitiveness.</w:t>
            </w:r>
          </w:p>
        </w:tc>
      </w:tr>
    </w:tbl>
    <w:p w14:paraId="48B373A1" w14:textId="77777777" w:rsidR="009C0BB3" w:rsidRDefault="009C0BB3" w:rsidP="00975391">
      <w:pPr>
        <w:spacing w:line="360" w:lineRule="auto"/>
        <w:jc w:val="both"/>
        <w:rPr>
          <w:rFonts w:ascii="Arial" w:hAnsi="Arial" w:cs="Arial"/>
        </w:rPr>
      </w:pPr>
    </w:p>
    <w:p w14:paraId="6E2BE611" w14:textId="77777777" w:rsidR="00A4149F" w:rsidRDefault="00A4149F" w:rsidP="00975391">
      <w:pPr>
        <w:spacing w:line="360" w:lineRule="auto"/>
        <w:jc w:val="both"/>
        <w:rPr>
          <w:rFonts w:ascii="Arial" w:hAnsi="Arial" w:cs="Arial"/>
        </w:rPr>
      </w:pPr>
    </w:p>
    <w:p w14:paraId="3FAF8581" w14:textId="77777777" w:rsidR="00A4149F" w:rsidRDefault="00A4149F" w:rsidP="00975391">
      <w:pPr>
        <w:spacing w:line="360" w:lineRule="auto"/>
        <w:jc w:val="both"/>
        <w:rPr>
          <w:rFonts w:ascii="Arial" w:hAnsi="Arial" w:cs="Arial"/>
        </w:rPr>
      </w:pPr>
    </w:p>
    <w:p w14:paraId="0BB024F5" w14:textId="77777777" w:rsidR="00A4149F" w:rsidRDefault="00A4149F" w:rsidP="00975391">
      <w:pPr>
        <w:spacing w:line="360" w:lineRule="auto"/>
        <w:jc w:val="both"/>
        <w:rPr>
          <w:rFonts w:ascii="Arial" w:hAnsi="Arial" w:cs="Arial"/>
        </w:rPr>
      </w:pPr>
    </w:p>
    <w:p w14:paraId="65B1E639" w14:textId="77777777" w:rsidR="00A4149F" w:rsidRDefault="00A4149F" w:rsidP="00975391">
      <w:pPr>
        <w:spacing w:line="360" w:lineRule="auto"/>
        <w:jc w:val="both"/>
        <w:rPr>
          <w:rFonts w:ascii="Arial" w:hAnsi="Arial" w:cs="Arial"/>
        </w:rPr>
      </w:pPr>
    </w:p>
    <w:p w14:paraId="6D4DFC13" w14:textId="77777777" w:rsidR="00A4149F" w:rsidRDefault="00A4149F" w:rsidP="00975391">
      <w:pPr>
        <w:spacing w:line="360" w:lineRule="auto"/>
        <w:jc w:val="both"/>
        <w:rPr>
          <w:rFonts w:ascii="Arial" w:hAnsi="Arial" w:cs="Arial"/>
        </w:rPr>
      </w:pPr>
    </w:p>
    <w:p w14:paraId="3013B3CD" w14:textId="77777777" w:rsidR="00A4149F" w:rsidRDefault="00A4149F" w:rsidP="00975391">
      <w:pPr>
        <w:spacing w:line="360" w:lineRule="auto"/>
        <w:jc w:val="both"/>
        <w:rPr>
          <w:rFonts w:ascii="Arial" w:hAnsi="Arial" w:cs="Arial"/>
        </w:rPr>
      </w:pPr>
    </w:p>
    <w:p w14:paraId="49D57C9F" w14:textId="77777777" w:rsidR="00A4149F" w:rsidRDefault="00A4149F" w:rsidP="00975391">
      <w:pPr>
        <w:spacing w:line="360" w:lineRule="auto"/>
        <w:jc w:val="both"/>
        <w:rPr>
          <w:rFonts w:ascii="Arial" w:hAnsi="Arial" w:cs="Arial"/>
        </w:rPr>
      </w:pPr>
    </w:p>
    <w:p w14:paraId="02C7D531" w14:textId="77777777" w:rsidR="00A4149F" w:rsidRDefault="00A4149F" w:rsidP="00975391">
      <w:pPr>
        <w:spacing w:line="360" w:lineRule="auto"/>
        <w:jc w:val="both"/>
        <w:rPr>
          <w:rFonts w:ascii="Arial" w:hAnsi="Arial" w:cs="Arial"/>
        </w:rPr>
      </w:pPr>
    </w:p>
    <w:p w14:paraId="0A265421" w14:textId="77777777" w:rsidR="00A4149F" w:rsidRDefault="00A4149F" w:rsidP="00975391">
      <w:pPr>
        <w:spacing w:line="360" w:lineRule="auto"/>
        <w:jc w:val="both"/>
        <w:rPr>
          <w:rFonts w:ascii="Arial" w:hAnsi="Arial" w:cs="Arial"/>
        </w:rPr>
      </w:pPr>
    </w:p>
    <w:p w14:paraId="014C52F2" w14:textId="77777777" w:rsidR="00A4149F" w:rsidRDefault="00A4149F" w:rsidP="00975391">
      <w:pPr>
        <w:spacing w:line="360" w:lineRule="auto"/>
        <w:jc w:val="both"/>
        <w:rPr>
          <w:rFonts w:ascii="Arial" w:hAnsi="Arial" w:cs="Arial"/>
        </w:rPr>
      </w:pPr>
    </w:p>
    <w:p w14:paraId="4D8159EE" w14:textId="77777777" w:rsidR="00A4149F" w:rsidRDefault="00A4149F" w:rsidP="00975391">
      <w:pPr>
        <w:spacing w:line="360" w:lineRule="auto"/>
        <w:jc w:val="both"/>
        <w:rPr>
          <w:rFonts w:ascii="Arial" w:hAnsi="Arial" w:cs="Arial"/>
        </w:rPr>
      </w:pPr>
    </w:p>
    <w:p w14:paraId="70324987" w14:textId="77777777" w:rsidR="00A4149F" w:rsidRPr="009C0BB3" w:rsidRDefault="00A4149F" w:rsidP="00975391">
      <w:pPr>
        <w:spacing w:line="360" w:lineRule="auto"/>
        <w:jc w:val="both"/>
        <w:rPr>
          <w:rFonts w:ascii="Arial" w:hAnsi="Arial" w:cs="Arial"/>
        </w:rPr>
      </w:pPr>
    </w:p>
    <w:p w14:paraId="0C49AAE6" w14:textId="1FE71FA4" w:rsidR="009C0BB3" w:rsidRPr="009C0BB3" w:rsidRDefault="009C0BB3" w:rsidP="00A4149F">
      <w:pPr>
        <w:spacing w:line="360" w:lineRule="auto"/>
        <w:jc w:val="center"/>
        <w:rPr>
          <w:rFonts w:ascii="Arial" w:hAnsi="Arial" w:cs="Arial"/>
        </w:rPr>
      </w:pPr>
      <w:r w:rsidRPr="009C0BB3">
        <w:rPr>
          <w:rFonts w:ascii="Arial" w:hAnsi="Arial" w:cs="Arial"/>
          <w:b/>
          <w:bCs/>
        </w:rPr>
        <w:lastRenderedPageBreak/>
        <w:t>Figure 9. Strategic Implementation Priorities for Cadbury</w:t>
      </w:r>
    </w:p>
    <w:p w14:paraId="0B198B7F" w14:textId="32CB9F85" w:rsidR="007E472C" w:rsidRPr="009C0BB3" w:rsidRDefault="009C0BB3" w:rsidP="00975391">
      <w:pPr>
        <w:spacing w:line="360" w:lineRule="auto"/>
        <w:jc w:val="both"/>
        <w:rPr>
          <w:rFonts w:ascii="Arial" w:hAnsi="Arial" w:cs="Arial"/>
        </w:rPr>
      </w:pPr>
      <w:r w:rsidRPr="009C0BB3">
        <w:rPr>
          <w:rFonts w:ascii="Arial" w:hAnsi="Arial" w:cs="Arial"/>
          <w:noProof/>
        </w:rPr>
        <w:drawing>
          <wp:inline distT="0" distB="0" distL="0" distR="0" wp14:anchorId="01A9832E" wp14:editId="6197FB5D">
            <wp:extent cx="6629400" cy="4091940"/>
            <wp:effectExtent l="0" t="0" r="0" b="3810"/>
            <wp:docPr id="20282383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6">
                      <a:extLst>
                        <a:ext uri="{28A0092B-C50C-407E-A947-70E740481C1C}">
                          <a14:useLocalDpi xmlns:a14="http://schemas.microsoft.com/office/drawing/2010/main" val="0"/>
                        </a:ext>
                      </a:extLst>
                    </a:blip>
                    <a:srcRect t="7414"/>
                    <a:stretch>
                      <a:fillRect/>
                    </a:stretch>
                  </pic:blipFill>
                  <pic:spPr bwMode="auto">
                    <a:xfrm>
                      <a:off x="0" y="0"/>
                      <a:ext cx="6629400" cy="4091940"/>
                    </a:xfrm>
                    <a:prstGeom prst="rect">
                      <a:avLst/>
                    </a:prstGeom>
                    <a:noFill/>
                    <a:ln>
                      <a:noFill/>
                    </a:ln>
                    <a:extLst>
                      <a:ext uri="{53640926-AAD7-44D8-BBD7-CCE9431645EC}">
                        <a14:shadowObscured xmlns:a14="http://schemas.microsoft.com/office/drawing/2010/main"/>
                      </a:ext>
                    </a:extLst>
                  </pic:spPr>
                </pic:pic>
              </a:graphicData>
            </a:graphic>
          </wp:inline>
        </w:drawing>
      </w:r>
    </w:p>
    <w:p w14:paraId="4F3854D9" w14:textId="00B59599" w:rsidR="009C0BB3" w:rsidRPr="009C0BB3" w:rsidRDefault="009C0BB3" w:rsidP="00975391">
      <w:pPr>
        <w:spacing w:line="360" w:lineRule="auto"/>
        <w:jc w:val="both"/>
        <w:rPr>
          <w:rFonts w:ascii="Arial" w:hAnsi="Arial" w:cs="Arial"/>
        </w:rPr>
      </w:pPr>
      <w:r w:rsidRPr="009C0BB3">
        <w:rPr>
          <w:rFonts w:ascii="Arial" w:hAnsi="Arial" w:cs="Arial"/>
        </w:rPr>
        <w:t>Among the proposed initiatives, accelerating AI-driven personalisation and strengthening sustainable cocoa sourcing should be prioritised because they simultaneously improve customer value creation and long-term stakeholder trust. Product innovation and omnichannel expansion remain strategically important but are likely to generate greater returns once Cadbury has strengthened its digital capabilities and sustainability governance. This prioritisation reflects the growing importance of data-driven marketing and responsible business practices in sustaining international competitive advantage.</w:t>
      </w:r>
    </w:p>
    <w:p w14:paraId="7EC97092" w14:textId="77777777" w:rsidR="009C0BB3" w:rsidRPr="009C0BB3" w:rsidRDefault="009C0BB3" w:rsidP="00975391">
      <w:pPr>
        <w:pStyle w:val="Heading1"/>
        <w:spacing w:line="360" w:lineRule="auto"/>
        <w:jc w:val="both"/>
        <w:rPr>
          <w:rFonts w:ascii="Arial" w:hAnsi="Arial" w:cs="Arial"/>
          <w:sz w:val="24"/>
          <w:szCs w:val="24"/>
        </w:rPr>
      </w:pPr>
      <w:bookmarkStart w:id="8" w:name="_Toc236641018"/>
      <w:r w:rsidRPr="009C0BB3">
        <w:rPr>
          <w:rFonts w:ascii="Arial" w:hAnsi="Arial" w:cs="Arial"/>
          <w:sz w:val="24"/>
          <w:szCs w:val="24"/>
        </w:rPr>
        <w:t>Section 2: Reflective Account (Gibbs' Reflective Cycle)</w:t>
      </w:r>
      <w:bookmarkEnd w:id="8"/>
    </w:p>
    <w:p w14:paraId="10F08F99"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t>2.1 Introduction</w:t>
      </w:r>
    </w:p>
    <w:p w14:paraId="572922D4" w14:textId="1AFBB1B0" w:rsidR="009C0BB3" w:rsidRPr="009C0BB3" w:rsidRDefault="009C0BB3" w:rsidP="00975391">
      <w:pPr>
        <w:spacing w:line="360" w:lineRule="auto"/>
        <w:jc w:val="both"/>
        <w:rPr>
          <w:rFonts w:ascii="Arial" w:hAnsi="Arial" w:cs="Arial"/>
        </w:rPr>
      </w:pPr>
      <w:r w:rsidRPr="009C0BB3">
        <w:rPr>
          <w:rFonts w:ascii="Arial" w:hAnsi="Arial" w:cs="Arial"/>
        </w:rPr>
        <w:t>Reflective practice is an essential component of postgraduate learning as it enables students to critically evaluate their experiences, identify strengths and weaknesses, and enhance future academic and professional performance (Gibbs, 1988). This reflective account applies Gibbs' Reflective Cycle to evaluate the process undertaken in researching, analysing and preparing the international marketing strategy report on Cadbury in the United Kingdom and India. The reflection critically examines the challenges encountered, the skills developed throughout the research and writing process, and the lessons that will inform my future approach to academic research and professional decision-making.</w:t>
      </w:r>
    </w:p>
    <w:p w14:paraId="602A073D"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lastRenderedPageBreak/>
        <w:t>2.2 Description</w:t>
      </w:r>
    </w:p>
    <w:p w14:paraId="4764A266" w14:textId="77777777" w:rsidR="009C0BB3" w:rsidRPr="009C0BB3" w:rsidRDefault="009C0BB3" w:rsidP="00975391">
      <w:pPr>
        <w:spacing w:line="360" w:lineRule="auto"/>
        <w:jc w:val="both"/>
        <w:rPr>
          <w:rFonts w:ascii="Arial" w:hAnsi="Arial" w:cs="Arial"/>
        </w:rPr>
      </w:pPr>
      <w:r w:rsidRPr="009C0BB3">
        <w:rPr>
          <w:rFonts w:ascii="Arial" w:hAnsi="Arial" w:cs="Arial"/>
        </w:rPr>
        <w:t>The preparation of the report required a systematic research process involving the identification, evaluation and synthesis of academic literature alongside contemporary industry evidence. Initially, I approached the assignment by collecting a substantial amount of information relating to Cadbury's international marketing activities. Although this enabled me to develop a broad understanding of the company, my first draft became overly descriptive and significantly exceeded the required word limit. Rather than demonstrating critical analysis, much of the discussion simply presented factual information without sufficiently evaluating its strategic implications.</w:t>
      </w:r>
    </w:p>
    <w:p w14:paraId="5B2756CF" w14:textId="718BCB1B" w:rsidR="009C0BB3" w:rsidRPr="009C0BB3" w:rsidRDefault="009C0BB3" w:rsidP="00975391">
      <w:pPr>
        <w:spacing w:line="360" w:lineRule="auto"/>
        <w:jc w:val="both"/>
        <w:rPr>
          <w:rFonts w:ascii="Arial" w:hAnsi="Arial" w:cs="Arial"/>
        </w:rPr>
      </w:pPr>
      <w:r w:rsidRPr="009C0BB3">
        <w:rPr>
          <w:rFonts w:ascii="Arial" w:hAnsi="Arial" w:cs="Arial"/>
        </w:rPr>
        <w:t>Recognising these limitations, I reconsidered my overall approach. Instead of attempting to reduce individual paragraphs, I decided to restructure the report entirely. Each section was rewritten to focus on comparative analysis between the United Kingdom and India, while ensuring that concepts were not unnecessarily repeated across PESTEL, Hofstede's framework, STP, the marketing mix and market entry strategy. Furthermore, I replaced lengthy narrative explanations with professionally designed tables, matrices and figures, enabling complex information to be communicated more concisely. Throughout this process, I also strengthened the academic quality of the report by incorporating peer-reviewed journal articles, recent industry reports and theoretical frameworks relevant to international marketing.</w:t>
      </w:r>
    </w:p>
    <w:p w14:paraId="0F3A1D57"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t>2.3 Feelings</w:t>
      </w:r>
    </w:p>
    <w:p w14:paraId="438459CA" w14:textId="77777777" w:rsidR="009C0BB3" w:rsidRPr="009C0BB3" w:rsidRDefault="009C0BB3" w:rsidP="00975391">
      <w:pPr>
        <w:spacing w:line="360" w:lineRule="auto"/>
        <w:jc w:val="both"/>
        <w:rPr>
          <w:rFonts w:ascii="Arial" w:hAnsi="Arial" w:cs="Arial"/>
        </w:rPr>
      </w:pPr>
      <w:r w:rsidRPr="009C0BB3">
        <w:rPr>
          <w:rFonts w:ascii="Arial" w:hAnsi="Arial" w:cs="Arial"/>
        </w:rPr>
        <w:t>At the beginning of the assignment, I felt uncertain about my ability to produce work that met postgraduate expectations. Although I understood the marketing theories introduced during the module, I found it difficult to translate theoretical knowledge into critical academic analysis. I was particularly concerned about balancing depth of discussion with the strict word limit, as I believed that including more information would strengthen the quality of the report.</w:t>
      </w:r>
    </w:p>
    <w:p w14:paraId="7D6EDD9A" w14:textId="55E5F243" w:rsidR="009C0BB3" w:rsidRPr="009C0BB3" w:rsidRDefault="009C0BB3" w:rsidP="00975391">
      <w:pPr>
        <w:spacing w:line="360" w:lineRule="auto"/>
        <w:jc w:val="both"/>
        <w:rPr>
          <w:rFonts w:ascii="Arial" w:hAnsi="Arial" w:cs="Arial"/>
        </w:rPr>
      </w:pPr>
      <w:r w:rsidRPr="009C0BB3">
        <w:rPr>
          <w:rFonts w:ascii="Arial" w:hAnsi="Arial" w:cs="Arial"/>
        </w:rPr>
        <w:t>As the report developed, my perspective gradually changed. Through repeated revision, I recognised that postgraduate writing values critical evaluation rather than descriptive content. Although rewriting substantial sections of the report was time-consuming, it increased my confidence in applying academic theories more effectively and presenting arguments in a clearer, more structured manner. By the completion of the assignment, I felt significantly more confident in my academic writing and research abilities than I had at the outset.</w:t>
      </w:r>
    </w:p>
    <w:p w14:paraId="21386757"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t>2.4 Evaluation</w:t>
      </w:r>
    </w:p>
    <w:p w14:paraId="0BE13AF7" w14:textId="77777777" w:rsidR="009C0BB3" w:rsidRPr="009C0BB3" w:rsidRDefault="009C0BB3" w:rsidP="00975391">
      <w:pPr>
        <w:spacing w:line="360" w:lineRule="auto"/>
        <w:jc w:val="both"/>
        <w:rPr>
          <w:rFonts w:ascii="Arial" w:hAnsi="Arial" w:cs="Arial"/>
        </w:rPr>
      </w:pPr>
      <w:r w:rsidRPr="009C0BB3">
        <w:rPr>
          <w:rFonts w:ascii="Arial" w:hAnsi="Arial" w:cs="Arial"/>
        </w:rPr>
        <w:t xml:space="preserve">Several aspects of the assignment were completed successfully. The final report adopted a more logical and professional structure through the use of comparative tables, strategic matrices and visual figures, which improved both readability and analytical clarity. Additionally, drawing upon </w:t>
      </w:r>
      <w:r w:rsidRPr="009C0BB3">
        <w:rPr>
          <w:rFonts w:ascii="Arial" w:hAnsi="Arial" w:cs="Arial"/>
        </w:rPr>
        <w:lastRenderedPageBreak/>
        <w:t>recent academic literature and industry evidence strengthened the credibility of the analysis and enabled theoretical concepts to be applied directly to Cadbury's international marketing strategy.</w:t>
      </w:r>
    </w:p>
    <w:p w14:paraId="422FC2CF" w14:textId="0DE99AD7" w:rsidR="009C0BB3" w:rsidRPr="009C0BB3" w:rsidRDefault="009C0BB3" w:rsidP="00975391">
      <w:pPr>
        <w:spacing w:line="360" w:lineRule="auto"/>
        <w:jc w:val="both"/>
        <w:rPr>
          <w:rFonts w:ascii="Arial" w:hAnsi="Arial" w:cs="Arial"/>
        </w:rPr>
      </w:pPr>
      <w:r w:rsidRPr="009C0BB3">
        <w:rPr>
          <w:rFonts w:ascii="Arial" w:hAnsi="Arial" w:cs="Arial"/>
        </w:rPr>
        <w:t>However, the process also highlighted several weaknesses in my initial approach. My first instinct was to collect as much information as possible before considering the assignment requirements in sufficient detail. This resulted in unnecessary repetition and an excessive word count, making the report less focused. Furthermore, I initially relied too heavily on company information before recognising the importance of balancing corporate sources with peer-reviewed academic literature. Addressing these weaknesses required considerable editing and restructuring but ultimately improved the overall quality of the assignment.</w:t>
      </w:r>
    </w:p>
    <w:p w14:paraId="3D515F1C"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t>2.5 Analysis</w:t>
      </w:r>
    </w:p>
    <w:p w14:paraId="75BA7BD4" w14:textId="77777777" w:rsidR="009C0BB3" w:rsidRPr="009C0BB3" w:rsidRDefault="009C0BB3" w:rsidP="00975391">
      <w:pPr>
        <w:spacing w:line="360" w:lineRule="auto"/>
        <w:jc w:val="both"/>
        <w:rPr>
          <w:rFonts w:ascii="Arial" w:hAnsi="Arial" w:cs="Arial"/>
        </w:rPr>
      </w:pPr>
      <w:r w:rsidRPr="009C0BB3">
        <w:rPr>
          <w:rFonts w:ascii="Arial" w:hAnsi="Arial" w:cs="Arial"/>
        </w:rPr>
        <w:t>The most significant learning outcome from this assignment was the development of a more critical approach to academic research and analysis. Gibbs (1988) argues that reflection facilitates continuous learning through the evaluation of experience, and this was evident throughout the preparation of the report. Initially, I viewed research primarily as the collection of information. However, I gradually recognised that postgraduate research requires the critical evaluation and synthesis of evidence rather than simply presenting factual knowledge.</w:t>
      </w:r>
    </w:p>
    <w:p w14:paraId="0E2D58DF" w14:textId="77777777" w:rsidR="009C0BB3" w:rsidRPr="009C0BB3" w:rsidRDefault="009C0BB3" w:rsidP="00975391">
      <w:pPr>
        <w:spacing w:line="360" w:lineRule="auto"/>
        <w:jc w:val="both"/>
        <w:rPr>
          <w:rFonts w:ascii="Arial" w:hAnsi="Arial" w:cs="Arial"/>
        </w:rPr>
      </w:pPr>
      <w:r w:rsidRPr="009C0BB3">
        <w:rPr>
          <w:rFonts w:ascii="Arial" w:hAnsi="Arial" w:cs="Arial"/>
        </w:rPr>
        <w:t>This shift was particularly evident when applying theoretical frameworks such as PESTEL, Hofstede's cultural dimensions and Dunning's Eclectic Paradigm. Rather than explaining each framework independently, I learned to evaluate their relevance, identify their limitations and integrate multiple sources of evidence to support strategic conclusions. This approach produced a more balanced analysis while reducing unnecessary description.</w:t>
      </w:r>
    </w:p>
    <w:p w14:paraId="7CB7295E" w14:textId="77777777" w:rsidR="009C0BB3" w:rsidRPr="009C0BB3" w:rsidRDefault="009C0BB3" w:rsidP="00975391">
      <w:pPr>
        <w:spacing w:line="360" w:lineRule="auto"/>
        <w:jc w:val="both"/>
        <w:rPr>
          <w:rFonts w:ascii="Arial" w:hAnsi="Arial" w:cs="Arial"/>
        </w:rPr>
      </w:pPr>
      <w:r w:rsidRPr="009C0BB3">
        <w:rPr>
          <w:rFonts w:ascii="Arial" w:hAnsi="Arial" w:cs="Arial"/>
        </w:rPr>
        <w:t>The assignment also strengthened my information literacy. Evaluating the credibility of academic journals, industry reports and corporate publications required greater critical judgement than I had previously applied in academic work. I became increasingly aware that high-quality evidence should support analytical arguments rather than merely provide background information. Consequently, I developed a more disciplined research process by prioritising recent peer-reviewed literature and reputable industry sources.</w:t>
      </w:r>
    </w:p>
    <w:p w14:paraId="32C2BA9E" w14:textId="2F132E72" w:rsidR="009C0BB3" w:rsidRPr="009C0BB3" w:rsidRDefault="009C0BB3" w:rsidP="00975391">
      <w:pPr>
        <w:spacing w:line="360" w:lineRule="auto"/>
        <w:jc w:val="both"/>
        <w:rPr>
          <w:rFonts w:ascii="Arial" w:hAnsi="Arial" w:cs="Arial"/>
        </w:rPr>
      </w:pPr>
      <w:r w:rsidRPr="009C0BB3">
        <w:rPr>
          <w:rFonts w:ascii="Arial" w:hAnsi="Arial" w:cs="Arial"/>
        </w:rPr>
        <w:t>Finally, the experience reinforced the importance of planning and revision. Rewriting significant sections of the report demonstrated that producing high-quality academic work is an iterative process rather than a single drafting exercise. Each revision improved the coherence of the report, reduced repetition and strengthened the integration of theory with practical business analysis. These experiences enhanced not only my academic writing but also my ability to communicate complex strategic issues in a concise and professional manner.</w:t>
      </w:r>
    </w:p>
    <w:p w14:paraId="737E06E1"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lastRenderedPageBreak/>
        <w:t>2.6 Conclusion</w:t>
      </w:r>
    </w:p>
    <w:p w14:paraId="18980FA2" w14:textId="1F698B56" w:rsidR="009C0BB3" w:rsidRPr="009C0BB3" w:rsidRDefault="009C0BB3" w:rsidP="00975391">
      <w:pPr>
        <w:spacing w:line="360" w:lineRule="auto"/>
        <w:jc w:val="both"/>
        <w:rPr>
          <w:rFonts w:ascii="Arial" w:hAnsi="Arial" w:cs="Arial"/>
        </w:rPr>
      </w:pPr>
      <w:r w:rsidRPr="009C0BB3">
        <w:rPr>
          <w:rFonts w:ascii="Arial" w:hAnsi="Arial" w:cs="Arial"/>
        </w:rPr>
        <w:t>Overall, preparing this assignment represented a significant learning experience that enhanced my academic research, analytical thinking and report-writing skills. Although the initial stages of the assignment were characterised by descriptive writing and ineffective time management, the process of continuous revision enabled me to develop a more critical and evidence-based approach. The assignment also increased my confidence in applying international marketing theories to practical business contexts and reinforced the importance of critical evaluation in postgraduate study.</w:t>
      </w:r>
    </w:p>
    <w:p w14:paraId="1C9C7FFD" w14:textId="77777777" w:rsidR="009C0BB3" w:rsidRPr="009C0BB3" w:rsidRDefault="009C0BB3" w:rsidP="00975391">
      <w:pPr>
        <w:spacing w:line="360" w:lineRule="auto"/>
        <w:jc w:val="both"/>
        <w:rPr>
          <w:rFonts w:ascii="Arial" w:hAnsi="Arial" w:cs="Arial"/>
          <w:b/>
          <w:bCs/>
        </w:rPr>
      </w:pPr>
      <w:r w:rsidRPr="009C0BB3">
        <w:rPr>
          <w:rFonts w:ascii="Arial" w:hAnsi="Arial" w:cs="Arial"/>
          <w:b/>
          <w:bCs/>
        </w:rPr>
        <w:t>2.7 Action Plan</w:t>
      </w:r>
    </w:p>
    <w:p w14:paraId="3AE6C0FC" w14:textId="77777777" w:rsidR="009C0BB3" w:rsidRDefault="009C0BB3" w:rsidP="00975391">
      <w:pPr>
        <w:spacing w:line="360" w:lineRule="auto"/>
        <w:jc w:val="both"/>
        <w:rPr>
          <w:rFonts w:ascii="Arial" w:hAnsi="Arial" w:cs="Arial"/>
        </w:rPr>
      </w:pPr>
      <w:r w:rsidRPr="009C0BB3">
        <w:rPr>
          <w:rFonts w:ascii="Arial" w:hAnsi="Arial" w:cs="Arial"/>
        </w:rPr>
        <w:t>This experience has identified several areas for future development. First, I will begin future assignments by developing a detailed structure linked directly to the marking criteria before undertaking extensive research. This should reduce unnecessary information gathering and improve the overall coherence of my work. Second, I will engage with peer-reviewed literature at an earlier stage to ensure that theoretical arguments remain central throughout the writing process. Finally, I intend to continue developing my critical writing skills by seeking regular feedback, reflecting on academic comments and allocating additional time for revision. By implementing these actions, I expect to produce more focused, analytical and academically rigorous work in future postgraduate assessments.</w:t>
      </w:r>
    </w:p>
    <w:p w14:paraId="57B03A0E" w14:textId="77777777" w:rsidR="009C0BB3" w:rsidRDefault="009C0BB3" w:rsidP="00975391">
      <w:pPr>
        <w:spacing w:line="360" w:lineRule="auto"/>
        <w:jc w:val="both"/>
        <w:rPr>
          <w:rFonts w:ascii="Arial" w:hAnsi="Arial" w:cs="Arial"/>
        </w:rPr>
      </w:pPr>
    </w:p>
    <w:p w14:paraId="69C7702F" w14:textId="77777777" w:rsidR="00744E96" w:rsidRDefault="00744E96" w:rsidP="00975391">
      <w:pPr>
        <w:spacing w:line="360" w:lineRule="auto"/>
        <w:jc w:val="both"/>
        <w:rPr>
          <w:rFonts w:ascii="Arial" w:hAnsi="Arial" w:cs="Arial"/>
        </w:rPr>
      </w:pPr>
    </w:p>
    <w:p w14:paraId="13C3BD34" w14:textId="77777777" w:rsidR="00A4149F" w:rsidRDefault="00A4149F" w:rsidP="00975391">
      <w:pPr>
        <w:spacing w:line="360" w:lineRule="auto"/>
        <w:jc w:val="both"/>
        <w:rPr>
          <w:rFonts w:ascii="Arial" w:hAnsi="Arial" w:cs="Arial"/>
        </w:rPr>
      </w:pPr>
    </w:p>
    <w:p w14:paraId="0A41C73E" w14:textId="77777777" w:rsidR="00A4149F" w:rsidRDefault="00A4149F" w:rsidP="00975391">
      <w:pPr>
        <w:spacing w:line="360" w:lineRule="auto"/>
        <w:jc w:val="both"/>
        <w:rPr>
          <w:rFonts w:ascii="Arial" w:hAnsi="Arial" w:cs="Arial"/>
        </w:rPr>
      </w:pPr>
    </w:p>
    <w:p w14:paraId="1308347B" w14:textId="77777777" w:rsidR="00A4149F" w:rsidRDefault="00A4149F" w:rsidP="00975391">
      <w:pPr>
        <w:spacing w:line="360" w:lineRule="auto"/>
        <w:jc w:val="both"/>
        <w:rPr>
          <w:rFonts w:ascii="Arial" w:hAnsi="Arial" w:cs="Arial"/>
        </w:rPr>
      </w:pPr>
    </w:p>
    <w:p w14:paraId="619670B4" w14:textId="77777777" w:rsidR="00A4149F" w:rsidRDefault="00A4149F" w:rsidP="00975391">
      <w:pPr>
        <w:spacing w:line="360" w:lineRule="auto"/>
        <w:jc w:val="both"/>
        <w:rPr>
          <w:rFonts w:ascii="Arial" w:hAnsi="Arial" w:cs="Arial"/>
        </w:rPr>
      </w:pPr>
    </w:p>
    <w:p w14:paraId="27651EAA" w14:textId="77777777" w:rsidR="00A4149F" w:rsidRDefault="00A4149F" w:rsidP="00975391">
      <w:pPr>
        <w:spacing w:line="360" w:lineRule="auto"/>
        <w:jc w:val="both"/>
        <w:rPr>
          <w:rFonts w:ascii="Arial" w:hAnsi="Arial" w:cs="Arial"/>
        </w:rPr>
      </w:pPr>
    </w:p>
    <w:p w14:paraId="3A7EA699" w14:textId="77777777" w:rsidR="00A4149F" w:rsidRDefault="00A4149F" w:rsidP="00975391">
      <w:pPr>
        <w:spacing w:line="360" w:lineRule="auto"/>
        <w:jc w:val="both"/>
        <w:rPr>
          <w:rFonts w:ascii="Arial" w:hAnsi="Arial" w:cs="Arial"/>
        </w:rPr>
      </w:pPr>
    </w:p>
    <w:p w14:paraId="008D9860" w14:textId="77777777" w:rsidR="00A4149F" w:rsidRDefault="00A4149F" w:rsidP="00975391">
      <w:pPr>
        <w:spacing w:line="360" w:lineRule="auto"/>
        <w:jc w:val="both"/>
        <w:rPr>
          <w:rFonts w:ascii="Arial" w:hAnsi="Arial" w:cs="Arial"/>
        </w:rPr>
      </w:pPr>
    </w:p>
    <w:p w14:paraId="759E4ACF" w14:textId="77777777" w:rsidR="00A4149F" w:rsidRDefault="00A4149F" w:rsidP="00975391">
      <w:pPr>
        <w:spacing w:line="360" w:lineRule="auto"/>
        <w:jc w:val="both"/>
        <w:rPr>
          <w:rFonts w:ascii="Arial" w:hAnsi="Arial" w:cs="Arial"/>
        </w:rPr>
      </w:pPr>
    </w:p>
    <w:p w14:paraId="764F1FB4" w14:textId="77777777" w:rsidR="00A4149F" w:rsidRDefault="00A4149F" w:rsidP="00975391">
      <w:pPr>
        <w:spacing w:line="360" w:lineRule="auto"/>
        <w:jc w:val="both"/>
        <w:rPr>
          <w:rFonts w:ascii="Arial" w:hAnsi="Arial" w:cs="Arial"/>
        </w:rPr>
      </w:pPr>
    </w:p>
    <w:p w14:paraId="1556FB46" w14:textId="77777777" w:rsidR="006F1EE4" w:rsidRPr="006F1EE4" w:rsidRDefault="006F1EE4" w:rsidP="00975391">
      <w:pPr>
        <w:pStyle w:val="Heading1"/>
        <w:jc w:val="both"/>
        <w:rPr>
          <w:rFonts w:ascii="Arial" w:hAnsi="Arial" w:cs="Arial"/>
          <w:sz w:val="24"/>
          <w:szCs w:val="24"/>
        </w:rPr>
      </w:pPr>
      <w:bookmarkStart w:id="9" w:name="_Toc236641019"/>
      <w:r w:rsidRPr="006F1EE4">
        <w:rPr>
          <w:rFonts w:ascii="Arial" w:hAnsi="Arial" w:cs="Arial"/>
          <w:sz w:val="24"/>
          <w:szCs w:val="24"/>
        </w:rPr>
        <w:lastRenderedPageBreak/>
        <w:t>References</w:t>
      </w:r>
      <w:bookmarkEnd w:id="9"/>
    </w:p>
    <w:p w14:paraId="0033C76D"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Bartlett, C.A. and Ghoshal, S. (1989) </w:t>
      </w:r>
      <w:r w:rsidRPr="00874443">
        <w:rPr>
          <w:rFonts w:ascii="Arial" w:hAnsi="Arial" w:cs="Arial"/>
          <w:i/>
          <w:iCs/>
        </w:rPr>
        <w:t>Managing Across Borders: The Transnational Solution</w:t>
      </w:r>
      <w:r w:rsidRPr="00874443">
        <w:rPr>
          <w:rFonts w:ascii="Arial" w:hAnsi="Arial" w:cs="Arial"/>
        </w:rPr>
        <w:t>. Boston, MA: Harvard Business School Press.</w:t>
      </w:r>
    </w:p>
    <w:p w14:paraId="5D7651E6"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Bearden, W.O., Money, R.B. and Nevins, J.L. (2006) ‘A measure of long-term orientation: Development and validation’, </w:t>
      </w:r>
      <w:r w:rsidRPr="00874443">
        <w:rPr>
          <w:rFonts w:ascii="Arial" w:hAnsi="Arial" w:cs="Arial"/>
          <w:i/>
          <w:iCs/>
        </w:rPr>
        <w:t>Journal of the Academy of Marketing Science</w:t>
      </w:r>
      <w:r w:rsidRPr="00874443">
        <w:rPr>
          <w:rFonts w:ascii="Arial" w:hAnsi="Arial" w:cs="Arial"/>
        </w:rPr>
        <w:t>, 34(3), pp. 456–467.</w:t>
      </w:r>
    </w:p>
    <w:p w14:paraId="1F30D254"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Booms, B.H. and Bitner, M.J. (1981) ‘Marketing strategies and organisation structures for service firms’, in Donnelly, J.H. and George, W.R. (eds.) </w:t>
      </w:r>
      <w:r w:rsidRPr="00874443">
        <w:rPr>
          <w:rFonts w:ascii="Arial" w:hAnsi="Arial" w:cs="Arial"/>
          <w:i/>
          <w:iCs/>
        </w:rPr>
        <w:t>Marketing of Services</w:t>
      </w:r>
      <w:r w:rsidRPr="00874443">
        <w:rPr>
          <w:rFonts w:ascii="Arial" w:hAnsi="Arial" w:cs="Arial"/>
        </w:rPr>
        <w:t>. Chicago: American Marketing Association, pp. 47–51.</w:t>
      </w:r>
    </w:p>
    <w:p w14:paraId="2F01A65A" w14:textId="6B0D4468" w:rsidR="00874443" w:rsidRPr="00874443" w:rsidRDefault="00874443" w:rsidP="00874443">
      <w:pPr>
        <w:spacing w:line="360" w:lineRule="auto"/>
        <w:jc w:val="both"/>
        <w:rPr>
          <w:rFonts w:ascii="Arial" w:hAnsi="Arial" w:cs="Arial"/>
        </w:rPr>
      </w:pPr>
      <w:r w:rsidRPr="00874443">
        <w:rPr>
          <w:rFonts w:ascii="Arial" w:hAnsi="Arial" w:cs="Arial"/>
        </w:rPr>
        <w:t xml:space="preserve">Cadbury (n.d.-a) </w:t>
      </w:r>
      <w:r w:rsidRPr="00874443">
        <w:rPr>
          <w:rFonts w:ascii="Arial" w:hAnsi="Arial" w:cs="Arial"/>
          <w:i/>
          <w:iCs/>
        </w:rPr>
        <w:t>Cadbury Advertising and Campaigns</w:t>
      </w:r>
      <w:r w:rsidRPr="00874443">
        <w:rPr>
          <w:rFonts w:ascii="Arial" w:hAnsi="Arial" w:cs="Arial"/>
        </w:rPr>
        <w:t xml:space="preserve">. Available at: </w:t>
      </w:r>
      <w:hyperlink r:id="rId17" w:history="1">
        <w:r w:rsidR="000E6CA2" w:rsidRPr="000E6CA2">
          <w:rPr>
            <w:rStyle w:val="Hyperlink"/>
            <w:rFonts w:ascii="Arial" w:hAnsi="Arial" w:cs="Arial"/>
          </w:rPr>
          <w:t>https://www.cadbury.co.uk/explore/seasonal/lastest-campaigns</w:t>
        </w:r>
      </w:hyperlink>
      <w:r w:rsidR="000E6CA2">
        <w:t xml:space="preserve"> </w:t>
      </w:r>
      <w:r w:rsidRPr="00874443">
        <w:rPr>
          <w:rFonts w:ascii="Arial" w:hAnsi="Arial" w:cs="Arial"/>
        </w:rPr>
        <w:t xml:space="preserve"> (Accessed: 7 August 2026). </w:t>
      </w:r>
    </w:p>
    <w:p w14:paraId="6D578942" w14:textId="3BBA098D" w:rsidR="00874443" w:rsidRPr="00874443" w:rsidRDefault="00874443" w:rsidP="00874443">
      <w:pPr>
        <w:spacing w:line="360" w:lineRule="auto"/>
        <w:jc w:val="both"/>
        <w:rPr>
          <w:rFonts w:ascii="Arial" w:hAnsi="Arial" w:cs="Arial"/>
        </w:rPr>
      </w:pPr>
      <w:r w:rsidRPr="00874443">
        <w:rPr>
          <w:rFonts w:ascii="Arial" w:hAnsi="Arial" w:cs="Arial"/>
        </w:rPr>
        <w:t xml:space="preserve">Cadbury (n.d.-b) </w:t>
      </w:r>
      <w:r w:rsidRPr="00874443">
        <w:rPr>
          <w:rFonts w:ascii="Arial" w:hAnsi="Arial" w:cs="Arial"/>
          <w:i/>
          <w:iCs/>
        </w:rPr>
        <w:t>Recycled Packaging Initiative</w:t>
      </w:r>
      <w:r w:rsidRPr="00874443">
        <w:rPr>
          <w:rFonts w:ascii="Arial" w:hAnsi="Arial" w:cs="Arial"/>
        </w:rPr>
        <w:t xml:space="preserve">. Available </w:t>
      </w:r>
      <w:r w:rsidR="00F323A6">
        <w:rPr>
          <w:rFonts w:ascii="Arial" w:hAnsi="Arial" w:cs="Arial"/>
        </w:rPr>
        <w:t xml:space="preserve">at </w:t>
      </w:r>
      <w:hyperlink r:id="rId18" w:history="1">
        <w:r w:rsidR="00F323A6" w:rsidRPr="00A34B4D">
          <w:rPr>
            <w:rStyle w:val="Hyperlink"/>
            <w:rFonts w:ascii="Arial" w:hAnsi="Arial" w:cs="Arial"/>
          </w:rPr>
          <w:t>https://www.cadbury.co.uk/about/impact/sustainability/recycling</w:t>
        </w:r>
      </w:hyperlink>
      <w:r w:rsidR="00F323A6">
        <w:rPr>
          <w:rFonts w:ascii="Arial" w:hAnsi="Arial" w:cs="Arial"/>
        </w:rPr>
        <w:t xml:space="preserve"> </w:t>
      </w:r>
      <w:r w:rsidRPr="00874443">
        <w:rPr>
          <w:rFonts w:ascii="Arial" w:hAnsi="Arial" w:cs="Arial"/>
        </w:rPr>
        <w:t xml:space="preserve">(Accessed: 7 August 2026). </w:t>
      </w:r>
    </w:p>
    <w:p w14:paraId="52399C84"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Crane, A. and Matten, D. (2023) </w:t>
      </w:r>
      <w:r w:rsidRPr="00874443">
        <w:rPr>
          <w:rFonts w:ascii="Arial" w:hAnsi="Arial" w:cs="Arial"/>
          <w:i/>
          <w:iCs/>
        </w:rPr>
        <w:t>Business Ethics: Managing Corporate Citizenship and Sustainability in the Age of Globalization</w:t>
      </w:r>
      <w:r w:rsidRPr="00874443">
        <w:rPr>
          <w:rFonts w:ascii="Arial" w:hAnsi="Arial" w:cs="Arial"/>
        </w:rPr>
        <w:t xml:space="preserve">. 6th </w:t>
      </w:r>
      <w:proofErr w:type="spellStart"/>
      <w:r w:rsidRPr="00874443">
        <w:rPr>
          <w:rFonts w:ascii="Arial" w:hAnsi="Arial" w:cs="Arial"/>
        </w:rPr>
        <w:t>edn</w:t>
      </w:r>
      <w:proofErr w:type="spellEnd"/>
      <w:r w:rsidRPr="00874443">
        <w:rPr>
          <w:rFonts w:ascii="Arial" w:hAnsi="Arial" w:cs="Arial"/>
        </w:rPr>
        <w:t>. Oxford: Oxford University Press.</w:t>
      </w:r>
    </w:p>
    <w:p w14:paraId="07365164"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Delmas, M.A. and </w:t>
      </w:r>
      <w:proofErr w:type="spellStart"/>
      <w:r w:rsidRPr="00874443">
        <w:rPr>
          <w:rFonts w:ascii="Arial" w:hAnsi="Arial" w:cs="Arial"/>
        </w:rPr>
        <w:t>Burbano</w:t>
      </w:r>
      <w:proofErr w:type="spellEnd"/>
      <w:r w:rsidRPr="00874443">
        <w:rPr>
          <w:rFonts w:ascii="Arial" w:hAnsi="Arial" w:cs="Arial"/>
        </w:rPr>
        <w:t xml:space="preserve">, V.C. (2011) ‘The drivers of greenwashing’, </w:t>
      </w:r>
      <w:r w:rsidRPr="00874443">
        <w:rPr>
          <w:rFonts w:ascii="Arial" w:hAnsi="Arial" w:cs="Arial"/>
          <w:i/>
          <w:iCs/>
        </w:rPr>
        <w:t>California Management Review</w:t>
      </w:r>
      <w:r w:rsidRPr="00874443">
        <w:rPr>
          <w:rFonts w:ascii="Arial" w:hAnsi="Arial" w:cs="Arial"/>
        </w:rPr>
        <w:t>, 54(1), pp. 64–87.</w:t>
      </w:r>
    </w:p>
    <w:p w14:paraId="49DD3036"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De </w:t>
      </w:r>
      <w:proofErr w:type="spellStart"/>
      <w:r w:rsidRPr="00874443">
        <w:rPr>
          <w:rFonts w:ascii="Arial" w:hAnsi="Arial" w:cs="Arial"/>
        </w:rPr>
        <w:t>Mooij</w:t>
      </w:r>
      <w:proofErr w:type="spellEnd"/>
      <w:r w:rsidRPr="00874443">
        <w:rPr>
          <w:rFonts w:ascii="Arial" w:hAnsi="Arial" w:cs="Arial"/>
        </w:rPr>
        <w:t xml:space="preserve">, M. (2021) </w:t>
      </w:r>
      <w:r w:rsidRPr="00874443">
        <w:rPr>
          <w:rFonts w:ascii="Arial" w:hAnsi="Arial" w:cs="Arial"/>
          <w:i/>
          <w:iCs/>
        </w:rPr>
        <w:t xml:space="preserve">Consumer </w:t>
      </w:r>
      <w:proofErr w:type="spellStart"/>
      <w:r w:rsidRPr="00874443">
        <w:rPr>
          <w:rFonts w:ascii="Arial" w:hAnsi="Arial" w:cs="Arial"/>
          <w:i/>
          <w:iCs/>
        </w:rPr>
        <w:t>Behavior</w:t>
      </w:r>
      <w:proofErr w:type="spellEnd"/>
      <w:r w:rsidRPr="00874443">
        <w:rPr>
          <w:rFonts w:ascii="Arial" w:hAnsi="Arial" w:cs="Arial"/>
          <w:i/>
          <w:iCs/>
        </w:rPr>
        <w:t xml:space="preserve"> and Culture: Consequences for Global Marketing and Advertising</w:t>
      </w:r>
      <w:r w:rsidRPr="00874443">
        <w:rPr>
          <w:rFonts w:ascii="Arial" w:hAnsi="Arial" w:cs="Arial"/>
        </w:rPr>
        <w:t xml:space="preserve">. 3rd </w:t>
      </w:r>
      <w:proofErr w:type="spellStart"/>
      <w:r w:rsidRPr="00874443">
        <w:rPr>
          <w:rFonts w:ascii="Arial" w:hAnsi="Arial" w:cs="Arial"/>
        </w:rPr>
        <w:t>edn</w:t>
      </w:r>
      <w:proofErr w:type="spellEnd"/>
      <w:r w:rsidRPr="00874443">
        <w:rPr>
          <w:rFonts w:ascii="Arial" w:hAnsi="Arial" w:cs="Arial"/>
        </w:rPr>
        <w:t>. Thousand Oaks, CA: Sage.</w:t>
      </w:r>
    </w:p>
    <w:p w14:paraId="458F5B03"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Dunning, J.H. (1988) ‘The eclectic paradigm of international production: A restatement and some possible extensions’, </w:t>
      </w:r>
      <w:r w:rsidRPr="00874443">
        <w:rPr>
          <w:rFonts w:ascii="Arial" w:hAnsi="Arial" w:cs="Arial"/>
          <w:i/>
          <w:iCs/>
        </w:rPr>
        <w:t>Journal of International Business Studies</w:t>
      </w:r>
      <w:r w:rsidRPr="00874443">
        <w:rPr>
          <w:rFonts w:ascii="Arial" w:hAnsi="Arial" w:cs="Arial"/>
        </w:rPr>
        <w:t>, 19(1), pp. 1–31.</w:t>
      </w:r>
    </w:p>
    <w:p w14:paraId="27A3624D"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Euromonitor International (2024a) </w:t>
      </w:r>
      <w:r w:rsidRPr="00874443">
        <w:rPr>
          <w:rFonts w:ascii="Arial" w:hAnsi="Arial" w:cs="Arial"/>
          <w:i/>
          <w:iCs/>
        </w:rPr>
        <w:t>Chocolate Confectionery in India</w:t>
      </w:r>
      <w:r w:rsidRPr="00874443">
        <w:rPr>
          <w:rFonts w:ascii="Arial" w:hAnsi="Arial" w:cs="Arial"/>
        </w:rPr>
        <w:t>. London: Euromonitor International.</w:t>
      </w:r>
    </w:p>
    <w:p w14:paraId="41FEE024"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Euromonitor International (2024b) </w:t>
      </w:r>
      <w:r w:rsidRPr="00874443">
        <w:rPr>
          <w:rFonts w:ascii="Arial" w:hAnsi="Arial" w:cs="Arial"/>
          <w:i/>
          <w:iCs/>
        </w:rPr>
        <w:t>Chocolate Confectionery in the United Kingdom</w:t>
      </w:r>
      <w:r w:rsidRPr="00874443">
        <w:rPr>
          <w:rFonts w:ascii="Arial" w:hAnsi="Arial" w:cs="Arial"/>
        </w:rPr>
        <w:t>. London: Euromonitor International.</w:t>
      </w:r>
    </w:p>
    <w:p w14:paraId="69E99972" w14:textId="60B824BA" w:rsidR="00874443" w:rsidRDefault="00874443" w:rsidP="00874443">
      <w:pPr>
        <w:spacing w:line="360" w:lineRule="auto"/>
        <w:jc w:val="both"/>
        <w:rPr>
          <w:rFonts w:ascii="Arial" w:hAnsi="Arial" w:cs="Arial"/>
        </w:rPr>
      </w:pPr>
      <w:r w:rsidRPr="00874443">
        <w:rPr>
          <w:rFonts w:ascii="Arial" w:hAnsi="Arial" w:cs="Arial"/>
        </w:rPr>
        <w:t xml:space="preserve">Food Safety and Standards Authority of India (FSSAI) (2025) </w:t>
      </w:r>
      <w:r w:rsidRPr="00874443">
        <w:rPr>
          <w:rFonts w:ascii="Arial" w:hAnsi="Arial" w:cs="Arial"/>
          <w:i/>
          <w:iCs/>
        </w:rPr>
        <w:t>Amendment on Food Safety and Standards (Labelling and Display) Regulations, 2020</w:t>
      </w:r>
      <w:r w:rsidRPr="00874443">
        <w:rPr>
          <w:rFonts w:ascii="Arial" w:hAnsi="Arial" w:cs="Arial"/>
        </w:rPr>
        <w:t xml:space="preserve">. Available at: </w:t>
      </w:r>
      <w:hyperlink r:id="rId19" w:history="1">
        <w:r w:rsidR="00002549" w:rsidRPr="00002549">
          <w:rPr>
            <w:rStyle w:val="Hyperlink"/>
            <w:rFonts w:ascii="Arial" w:hAnsi="Arial" w:cs="Arial"/>
          </w:rPr>
          <w:t>https://www.fssai.gov.in/</w:t>
        </w:r>
      </w:hyperlink>
      <w:r w:rsidR="00002549" w:rsidRPr="00002549">
        <w:rPr>
          <w:rFonts w:ascii="Arial" w:hAnsi="Arial" w:cs="Arial"/>
        </w:rPr>
        <w:t xml:space="preserve"> </w:t>
      </w:r>
      <w:r w:rsidRPr="00002549">
        <w:rPr>
          <w:rFonts w:ascii="Arial" w:hAnsi="Arial" w:cs="Arial"/>
        </w:rPr>
        <w:t xml:space="preserve"> </w:t>
      </w:r>
      <w:r w:rsidRPr="00874443">
        <w:rPr>
          <w:rFonts w:ascii="Arial" w:hAnsi="Arial" w:cs="Arial"/>
        </w:rPr>
        <w:t xml:space="preserve">(Accessed: 7 August 2026). </w:t>
      </w:r>
    </w:p>
    <w:p w14:paraId="7F97933D" w14:textId="77777777" w:rsidR="009C2A3D" w:rsidRDefault="009C2A3D" w:rsidP="00874443">
      <w:pPr>
        <w:spacing w:line="360" w:lineRule="auto"/>
        <w:jc w:val="both"/>
        <w:rPr>
          <w:rFonts w:ascii="Arial" w:hAnsi="Arial" w:cs="Arial"/>
        </w:rPr>
      </w:pPr>
    </w:p>
    <w:p w14:paraId="7F74502E" w14:textId="77777777" w:rsidR="009C2A3D" w:rsidRDefault="009C2A3D" w:rsidP="00874443">
      <w:pPr>
        <w:spacing w:line="360" w:lineRule="auto"/>
        <w:jc w:val="both"/>
        <w:rPr>
          <w:rFonts w:ascii="Arial" w:hAnsi="Arial" w:cs="Arial"/>
        </w:rPr>
      </w:pPr>
    </w:p>
    <w:p w14:paraId="5942657A" w14:textId="77777777" w:rsidR="00002549" w:rsidRPr="00874443" w:rsidRDefault="00002549" w:rsidP="00874443">
      <w:pPr>
        <w:spacing w:line="360" w:lineRule="auto"/>
        <w:jc w:val="both"/>
        <w:rPr>
          <w:rFonts w:ascii="Arial" w:hAnsi="Arial" w:cs="Arial"/>
        </w:rPr>
      </w:pPr>
    </w:p>
    <w:p w14:paraId="41B0987C" w14:textId="77777777" w:rsidR="00874443" w:rsidRPr="00874443" w:rsidRDefault="00874443" w:rsidP="00874443">
      <w:pPr>
        <w:spacing w:line="360" w:lineRule="auto"/>
        <w:jc w:val="both"/>
        <w:rPr>
          <w:rFonts w:ascii="Arial" w:hAnsi="Arial" w:cs="Arial"/>
        </w:rPr>
      </w:pPr>
      <w:r w:rsidRPr="00874443">
        <w:rPr>
          <w:rFonts w:ascii="Arial" w:hAnsi="Arial" w:cs="Arial"/>
        </w:rPr>
        <w:lastRenderedPageBreak/>
        <w:t xml:space="preserve">Fountain, A.C. and </w:t>
      </w:r>
      <w:proofErr w:type="spellStart"/>
      <w:r w:rsidRPr="00874443">
        <w:rPr>
          <w:rFonts w:ascii="Arial" w:hAnsi="Arial" w:cs="Arial"/>
        </w:rPr>
        <w:t>Huetz</w:t>
      </w:r>
      <w:proofErr w:type="spellEnd"/>
      <w:r w:rsidRPr="00874443">
        <w:rPr>
          <w:rFonts w:ascii="Arial" w:hAnsi="Arial" w:cs="Arial"/>
        </w:rPr>
        <w:t xml:space="preserve">-Adams, F. (2020) </w:t>
      </w:r>
      <w:r w:rsidRPr="00874443">
        <w:rPr>
          <w:rFonts w:ascii="Arial" w:hAnsi="Arial" w:cs="Arial"/>
          <w:i/>
          <w:iCs/>
        </w:rPr>
        <w:t>Cocoa Barometer 2020</w:t>
      </w:r>
      <w:r w:rsidRPr="00874443">
        <w:rPr>
          <w:rFonts w:ascii="Arial" w:hAnsi="Arial" w:cs="Arial"/>
        </w:rPr>
        <w:t>. Amsterdam: VOICE Network.</w:t>
      </w:r>
    </w:p>
    <w:p w14:paraId="2ED6A05E"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Gibbs, G. (1988) </w:t>
      </w:r>
      <w:r w:rsidRPr="00874443">
        <w:rPr>
          <w:rFonts w:ascii="Arial" w:hAnsi="Arial" w:cs="Arial"/>
          <w:i/>
          <w:iCs/>
        </w:rPr>
        <w:t>Learning by Doing: A Guide to Teaching and Learning Methods</w:t>
      </w:r>
      <w:r w:rsidRPr="00874443">
        <w:rPr>
          <w:rFonts w:ascii="Arial" w:hAnsi="Arial" w:cs="Arial"/>
        </w:rPr>
        <w:t>. Oxford: Oxford Polytechnic.</w:t>
      </w:r>
    </w:p>
    <w:p w14:paraId="7AD30F63" w14:textId="27D72CF9" w:rsidR="00874443" w:rsidRPr="00874443" w:rsidRDefault="00874443" w:rsidP="00874443">
      <w:pPr>
        <w:spacing w:line="360" w:lineRule="auto"/>
        <w:jc w:val="both"/>
        <w:rPr>
          <w:rFonts w:ascii="Arial" w:hAnsi="Arial" w:cs="Arial"/>
        </w:rPr>
      </w:pPr>
      <w:r w:rsidRPr="00874443">
        <w:rPr>
          <w:rFonts w:ascii="Arial" w:hAnsi="Arial" w:cs="Arial"/>
        </w:rPr>
        <w:t xml:space="preserve">HM Revenue &amp; Customs (2026) </w:t>
      </w:r>
      <w:r w:rsidRPr="00874443">
        <w:rPr>
          <w:rFonts w:ascii="Arial" w:hAnsi="Arial" w:cs="Arial"/>
          <w:i/>
          <w:iCs/>
        </w:rPr>
        <w:t>Plastic Packaging Tax: Steps to Take</w:t>
      </w:r>
      <w:r w:rsidRPr="00874443">
        <w:rPr>
          <w:rFonts w:ascii="Arial" w:hAnsi="Arial" w:cs="Arial"/>
        </w:rPr>
        <w:t xml:space="preserve">. Available </w:t>
      </w:r>
      <w:r w:rsidR="007E2E17">
        <w:rPr>
          <w:rFonts w:ascii="Arial" w:hAnsi="Arial" w:cs="Arial"/>
        </w:rPr>
        <w:t xml:space="preserve">at </w:t>
      </w:r>
      <w:hyperlink r:id="rId20" w:history="1">
        <w:r w:rsidR="00D975BE" w:rsidRPr="00D975BE">
          <w:rPr>
            <w:rStyle w:val="Hyperlink"/>
            <w:rFonts w:ascii="Arial" w:hAnsi="Arial" w:cs="Arial"/>
          </w:rPr>
          <w:t>https://www.gov.uk/guidance/check-if-you-need-to-register-for-plastic-packaging-tax</w:t>
        </w:r>
      </w:hyperlink>
      <w:r w:rsidR="00D975BE">
        <w:t xml:space="preserve"> </w:t>
      </w:r>
      <w:r w:rsidRPr="00874443">
        <w:rPr>
          <w:rFonts w:ascii="Arial" w:hAnsi="Arial" w:cs="Arial"/>
        </w:rPr>
        <w:t xml:space="preserve">(Accessed: 7 August 2026). </w:t>
      </w:r>
    </w:p>
    <w:p w14:paraId="0E022F9F" w14:textId="20E99D6B" w:rsidR="00874443" w:rsidRPr="00874443" w:rsidRDefault="00550F3E" w:rsidP="00874443">
      <w:pPr>
        <w:spacing w:line="360" w:lineRule="auto"/>
        <w:jc w:val="both"/>
        <w:rPr>
          <w:rFonts w:ascii="Arial" w:hAnsi="Arial" w:cs="Arial"/>
        </w:rPr>
      </w:pPr>
      <w:r w:rsidRPr="00550F3E">
        <w:rPr>
          <w:rFonts w:ascii="Arial" w:hAnsi="Arial" w:cs="Arial"/>
        </w:rPr>
        <w:t xml:space="preserve">The Culture Factor Group (2023) Country Comparison Tool: United Kingdom and India. Available at: </w:t>
      </w:r>
      <w:hyperlink r:id="rId21" w:tgtFrame="_new" w:history="1">
        <w:r w:rsidRPr="00550F3E">
          <w:rPr>
            <w:rStyle w:val="Hyperlink"/>
            <w:rFonts w:ascii="Arial" w:hAnsi="Arial" w:cs="Arial"/>
          </w:rPr>
          <w:t>https://www.theculturefactor.com/country-comparison-tool</w:t>
        </w:r>
      </w:hyperlink>
      <w:r w:rsidRPr="00550F3E">
        <w:rPr>
          <w:rFonts w:ascii="Arial" w:hAnsi="Arial" w:cs="Arial"/>
        </w:rPr>
        <w:t xml:space="preserve"> </w:t>
      </w:r>
      <w:r w:rsidR="00874443" w:rsidRPr="00874443">
        <w:rPr>
          <w:rFonts w:ascii="Arial" w:hAnsi="Arial" w:cs="Arial"/>
        </w:rPr>
        <w:t xml:space="preserve"> (Accessed: 19 July 2026).</w:t>
      </w:r>
    </w:p>
    <w:p w14:paraId="04E9948C"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Johanson, J. and Vahlne, J.-E. (2009) ‘The Uppsala internationalization process model revisited: From liability of foreignness to liability of </w:t>
      </w:r>
      <w:proofErr w:type="spellStart"/>
      <w:r w:rsidRPr="00874443">
        <w:rPr>
          <w:rFonts w:ascii="Arial" w:hAnsi="Arial" w:cs="Arial"/>
        </w:rPr>
        <w:t>outsidership</w:t>
      </w:r>
      <w:proofErr w:type="spellEnd"/>
      <w:r w:rsidRPr="00874443">
        <w:rPr>
          <w:rFonts w:ascii="Arial" w:hAnsi="Arial" w:cs="Arial"/>
        </w:rPr>
        <w:t xml:space="preserve">’, </w:t>
      </w:r>
      <w:r w:rsidRPr="00874443">
        <w:rPr>
          <w:rFonts w:ascii="Arial" w:hAnsi="Arial" w:cs="Arial"/>
          <w:i/>
          <w:iCs/>
        </w:rPr>
        <w:t>Journal of International Business Studies</w:t>
      </w:r>
      <w:r w:rsidRPr="00874443">
        <w:rPr>
          <w:rFonts w:ascii="Arial" w:hAnsi="Arial" w:cs="Arial"/>
        </w:rPr>
        <w:t>, 40(9), pp. 1411–1431.</w:t>
      </w:r>
    </w:p>
    <w:p w14:paraId="0FF471AA"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Keller, K.L. (2013) </w:t>
      </w:r>
      <w:r w:rsidRPr="00874443">
        <w:rPr>
          <w:rFonts w:ascii="Arial" w:hAnsi="Arial" w:cs="Arial"/>
          <w:i/>
          <w:iCs/>
        </w:rPr>
        <w:t>Strategic Brand Management: Building, Measuring and Managing Brand Equity</w:t>
      </w:r>
      <w:r w:rsidRPr="00874443">
        <w:rPr>
          <w:rFonts w:ascii="Arial" w:hAnsi="Arial" w:cs="Arial"/>
        </w:rPr>
        <w:t xml:space="preserve">. 4th </w:t>
      </w:r>
      <w:proofErr w:type="spellStart"/>
      <w:r w:rsidRPr="00874443">
        <w:rPr>
          <w:rFonts w:ascii="Arial" w:hAnsi="Arial" w:cs="Arial"/>
        </w:rPr>
        <w:t>edn</w:t>
      </w:r>
      <w:proofErr w:type="spellEnd"/>
      <w:r w:rsidRPr="00874443">
        <w:rPr>
          <w:rFonts w:ascii="Arial" w:hAnsi="Arial" w:cs="Arial"/>
        </w:rPr>
        <w:t>. Harlow: Pearson.</w:t>
      </w:r>
    </w:p>
    <w:p w14:paraId="2FB94014"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Kotler, P., Keller, K.L. and </w:t>
      </w:r>
      <w:proofErr w:type="spellStart"/>
      <w:r w:rsidRPr="00874443">
        <w:rPr>
          <w:rFonts w:ascii="Arial" w:hAnsi="Arial" w:cs="Arial"/>
        </w:rPr>
        <w:t>Chernev</w:t>
      </w:r>
      <w:proofErr w:type="spellEnd"/>
      <w:r w:rsidRPr="00874443">
        <w:rPr>
          <w:rFonts w:ascii="Arial" w:hAnsi="Arial" w:cs="Arial"/>
        </w:rPr>
        <w:t xml:space="preserve">, A. (2022) </w:t>
      </w:r>
      <w:r w:rsidRPr="00874443">
        <w:rPr>
          <w:rFonts w:ascii="Arial" w:hAnsi="Arial" w:cs="Arial"/>
          <w:i/>
          <w:iCs/>
        </w:rPr>
        <w:t>Marketing Management</w:t>
      </w:r>
      <w:r w:rsidRPr="00874443">
        <w:rPr>
          <w:rFonts w:ascii="Arial" w:hAnsi="Arial" w:cs="Arial"/>
        </w:rPr>
        <w:t xml:space="preserve">. 16th global </w:t>
      </w:r>
      <w:proofErr w:type="spellStart"/>
      <w:r w:rsidRPr="00874443">
        <w:rPr>
          <w:rFonts w:ascii="Arial" w:hAnsi="Arial" w:cs="Arial"/>
        </w:rPr>
        <w:t>edn</w:t>
      </w:r>
      <w:proofErr w:type="spellEnd"/>
      <w:r w:rsidRPr="00874443">
        <w:rPr>
          <w:rFonts w:ascii="Arial" w:hAnsi="Arial" w:cs="Arial"/>
        </w:rPr>
        <w:t>. Harlow: Pearson.</w:t>
      </w:r>
    </w:p>
    <w:p w14:paraId="70DC1761" w14:textId="5FB9FAA2" w:rsidR="00874443" w:rsidRPr="00874443" w:rsidRDefault="00874443" w:rsidP="00874443">
      <w:pPr>
        <w:spacing w:line="360" w:lineRule="auto"/>
        <w:jc w:val="both"/>
        <w:rPr>
          <w:rFonts w:ascii="Arial" w:hAnsi="Arial" w:cs="Arial"/>
        </w:rPr>
      </w:pPr>
      <w:r w:rsidRPr="00874443">
        <w:rPr>
          <w:rFonts w:ascii="Arial" w:hAnsi="Arial" w:cs="Arial"/>
        </w:rPr>
        <w:t xml:space="preserve">Ministry of Environment, Forest and Climate Change (2024) </w:t>
      </w:r>
      <w:r w:rsidRPr="00874443">
        <w:rPr>
          <w:rFonts w:ascii="Arial" w:hAnsi="Arial" w:cs="Arial"/>
          <w:i/>
          <w:iCs/>
        </w:rPr>
        <w:t>Plastic Waste Management (Amendment) Rules, 2024</w:t>
      </w:r>
      <w:r w:rsidRPr="00874443">
        <w:rPr>
          <w:rFonts w:ascii="Arial" w:hAnsi="Arial" w:cs="Arial"/>
        </w:rPr>
        <w:t xml:space="preserve">. New Delhi: Government of India. (Accessed: 7 August 2026). </w:t>
      </w:r>
    </w:p>
    <w:p w14:paraId="4679D574" w14:textId="69E33BBC" w:rsidR="00874443" w:rsidRPr="00874443" w:rsidRDefault="00874443" w:rsidP="00874443">
      <w:pPr>
        <w:spacing w:line="360" w:lineRule="auto"/>
        <w:jc w:val="both"/>
        <w:rPr>
          <w:rFonts w:ascii="Arial" w:hAnsi="Arial" w:cs="Arial"/>
        </w:rPr>
      </w:pPr>
      <w:r w:rsidRPr="00874443">
        <w:rPr>
          <w:rFonts w:ascii="Arial" w:hAnsi="Arial" w:cs="Arial"/>
        </w:rPr>
        <w:t xml:space="preserve">Minkov, M. (2018) ‘A revision of Hofstede’s model of national culture: Old evidence and new data from 56 countries’, </w:t>
      </w:r>
      <w:r w:rsidRPr="00874443">
        <w:rPr>
          <w:rFonts w:ascii="Arial" w:hAnsi="Arial" w:cs="Arial"/>
          <w:i/>
          <w:iCs/>
        </w:rPr>
        <w:t>Cross Cultural &amp; Strategic Management</w:t>
      </w:r>
      <w:r w:rsidRPr="00874443">
        <w:rPr>
          <w:rFonts w:ascii="Arial" w:hAnsi="Arial" w:cs="Arial"/>
        </w:rPr>
        <w:t xml:space="preserve">, 25(2), pp. 231–256. </w:t>
      </w:r>
    </w:p>
    <w:p w14:paraId="4AFEAEAA" w14:textId="4D777E34" w:rsidR="00874443" w:rsidRPr="00874443" w:rsidRDefault="00874443" w:rsidP="00874443">
      <w:pPr>
        <w:spacing w:line="360" w:lineRule="auto"/>
        <w:jc w:val="both"/>
        <w:rPr>
          <w:rFonts w:ascii="Arial" w:hAnsi="Arial" w:cs="Arial"/>
        </w:rPr>
      </w:pPr>
      <w:r w:rsidRPr="00874443">
        <w:rPr>
          <w:rFonts w:ascii="Arial" w:hAnsi="Arial" w:cs="Arial"/>
        </w:rPr>
        <w:t xml:space="preserve">Minkov, M. and </w:t>
      </w:r>
      <w:proofErr w:type="spellStart"/>
      <w:r w:rsidRPr="00874443">
        <w:rPr>
          <w:rFonts w:ascii="Arial" w:hAnsi="Arial" w:cs="Arial"/>
        </w:rPr>
        <w:t>Kaasa</w:t>
      </w:r>
      <w:proofErr w:type="spellEnd"/>
      <w:r w:rsidRPr="00874443">
        <w:rPr>
          <w:rFonts w:ascii="Arial" w:hAnsi="Arial" w:cs="Arial"/>
        </w:rPr>
        <w:t xml:space="preserve">, A. (2021) ‘A test of the revised Minkov-Hofstede model of culture: Mirror images of subjective and objective culture across nations and the 50 US states’, </w:t>
      </w:r>
      <w:r w:rsidRPr="00874443">
        <w:rPr>
          <w:rFonts w:ascii="Arial" w:hAnsi="Arial" w:cs="Arial"/>
          <w:i/>
          <w:iCs/>
        </w:rPr>
        <w:t>Cross-Cultural Research</w:t>
      </w:r>
      <w:r w:rsidRPr="00874443">
        <w:rPr>
          <w:rFonts w:ascii="Arial" w:hAnsi="Arial" w:cs="Arial"/>
        </w:rPr>
        <w:t xml:space="preserve">, 55(2–3), pp. 230–281. </w:t>
      </w:r>
    </w:p>
    <w:p w14:paraId="277F7C56"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Mintel (2024) </w:t>
      </w:r>
      <w:r w:rsidRPr="00874443">
        <w:rPr>
          <w:rFonts w:ascii="Arial" w:hAnsi="Arial" w:cs="Arial"/>
          <w:i/>
          <w:iCs/>
        </w:rPr>
        <w:t>Chocolate Confectionery – UK – Market Report</w:t>
      </w:r>
      <w:r w:rsidRPr="00874443">
        <w:rPr>
          <w:rFonts w:ascii="Arial" w:hAnsi="Arial" w:cs="Arial"/>
        </w:rPr>
        <w:t>. London: Mintel Group Ltd.</w:t>
      </w:r>
    </w:p>
    <w:p w14:paraId="60D1BB25"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Mondelēz International (2024a) </w:t>
      </w:r>
      <w:r w:rsidRPr="00874443">
        <w:rPr>
          <w:rFonts w:ascii="Arial" w:hAnsi="Arial" w:cs="Arial"/>
          <w:i/>
          <w:iCs/>
        </w:rPr>
        <w:t>Annual Report 2024</w:t>
      </w:r>
      <w:r w:rsidRPr="00874443">
        <w:rPr>
          <w:rFonts w:ascii="Arial" w:hAnsi="Arial" w:cs="Arial"/>
        </w:rPr>
        <w:t>. Chicago, IL: Mondelēz International.</w:t>
      </w:r>
    </w:p>
    <w:p w14:paraId="6905545A" w14:textId="5CD588B5" w:rsidR="00874443" w:rsidRPr="00874443" w:rsidRDefault="00874443" w:rsidP="00874443">
      <w:pPr>
        <w:spacing w:line="360" w:lineRule="auto"/>
        <w:jc w:val="both"/>
        <w:rPr>
          <w:rFonts w:ascii="Arial" w:hAnsi="Arial" w:cs="Arial"/>
        </w:rPr>
      </w:pPr>
      <w:r w:rsidRPr="00874443">
        <w:rPr>
          <w:rFonts w:ascii="Arial" w:hAnsi="Arial" w:cs="Arial"/>
        </w:rPr>
        <w:t xml:space="preserve">Mondelēz International (2024b) ‘Cheers to Cadbury’s 200 years in the UK’, 4 March. Available at: </w:t>
      </w:r>
      <w:hyperlink r:id="rId22" w:history="1">
        <w:r w:rsidR="00B213A3" w:rsidRPr="00B213A3">
          <w:rPr>
            <w:rStyle w:val="Hyperlink"/>
            <w:rFonts w:ascii="Arial" w:hAnsi="Arial" w:cs="Arial"/>
          </w:rPr>
          <w:t>https://www.mondelezinternational.com/news/cadbury-200-years-uk</w:t>
        </w:r>
      </w:hyperlink>
      <w:r w:rsidR="00B213A3">
        <w:t xml:space="preserve"> </w:t>
      </w:r>
      <w:r w:rsidRPr="00874443">
        <w:rPr>
          <w:rFonts w:ascii="Arial" w:hAnsi="Arial" w:cs="Arial"/>
        </w:rPr>
        <w:t xml:space="preserve"> (Accessed: 7 August 2026). </w:t>
      </w:r>
    </w:p>
    <w:p w14:paraId="0C81FFB4" w14:textId="06EA5FF3" w:rsidR="00874443" w:rsidRPr="00874443" w:rsidRDefault="00874443" w:rsidP="00874443">
      <w:pPr>
        <w:spacing w:line="360" w:lineRule="auto"/>
        <w:jc w:val="both"/>
        <w:rPr>
          <w:rFonts w:ascii="Arial" w:hAnsi="Arial" w:cs="Arial"/>
        </w:rPr>
      </w:pPr>
      <w:r w:rsidRPr="00874443">
        <w:rPr>
          <w:rFonts w:ascii="Arial" w:hAnsi="Arial" w:cs="Arial"/>
        </w:rPr>
        <w:t xml:space="preserve">Mondelēz International (n.d.) </w:t>
      </w:r>
      <w:r w:rsidRPr="00874443">
        <w:rPr>
          <w:rFonts w:ascii="Arial" w:hAnsi="Arial" w:cs="Arial"/>
          <w:i/>
          <w:iCs/>
        </w:rPr>
        <w:t>Our Business in India</w:t>
      </w:r>
      <w:r w:rsidRPr="00874443">
        <w:rPr>
          <w:rFonts w:ascii="Arial" w:hAnsi="Arial" w:cs="Arial"/>
        </w:rPr>
        <w:t xml:space="preserve">. Available at: </w:t>
      </w:r>
      <w:hyperlink r:id="rId23" w:history="1">
        <w:r w:rsidR="00057C2B" w:rsidRPr="00057C2B">
          <w:rPr>
            <w:rStyle w:val="Hyperlink"/>
            <w:rFonts w:ascii="Arial" w:hAnsi="Arial" w:cs="Arial"/>
          </w:rPr>
          <w:t>https://www.mondelezinternational.com/india/india-business</w:t>
        </w:r>
      </w:hyperlink>
      <w:r w:rsidR="00057C2B" w:rsidRPr="00057C2B">
        <w:rPr>
          <w:rFonts w:ascii="Arial" w:hAnsi="Arial" w:cs="Arial"/>
        </w:rPr>
        <w:t xml:space="preserve"> </w:t>
      </w:r>
      <w:r w:rsidRPr="00874443">
        <w:rPr>
          <w:rFonts w:ascii="Arial" w:hAnsi="Arial" w:cs="Arial"/>
        </w:rPr>
        <w:t xml:space="preserve">(Accessed: 7 August 2026). </w:t>
      </w:r>
    </w:p>
    <w:p w14:paraId="723B4B4B" w14:textId="495CCCA2" w:rsidR="00874443" w:rsidRPr="00874443" w:rsidRDefault="00874443" w:rsidP="00874443">
      <w:pPr>
        <w:spacing w:line="360" w:lineRule="auto"/>
        <w:jc w:val="both"/>
        <w:rPr>
          <w:rFonts w:ascii="Arial" w:hAnsi="Arial" w:cs="Arial"/>
        </w:rPr>
      </w:pPr>
      <w:r w:rsidRPr="00874443">
        <w:rPr>
          <w:rFonts w:ascii="Arial" w:hAnsi="Arial" w:cs="Arial"/>
        </w:rPr>
        <w:lastRenderedPageBreak/>
        <w:t xml:space="preserve">Mondelēz International (2026a) ‘Cadbury Dairy Milk Silk introduces limited edition Dubai Chocolate, bringing a global dessert sensation to Indian consumers’, 18 June. Available at: </w:t>
      </w:r>
      <w:hyperlink r:id="rId24" w:history="1">
        <w:r w:rsidR="00612D3A" w:rsidRPr="00612D3A">
          <w:rPr>
            <w:rStyle w:val="Hyperlink"/>
            <w:rFonts w:ascii="Arial" w:hAnsi="Arial" w:cs="Arial"/>
          </w:rPr>
          <w:t>https://www.mondelezinternational.com/india/press-releases</w:t>
        </w:r>
      </w:hyperlink>
      <w:r w:rsidR="00612D3A" w:rsidRPr="00612D3A">
        <w:rPr>
          <w:rFonts w:ascii="Arial" w:hAnsi="Arial" w:cs="Arial"/>
        </w:rPr>
        <w:t xml:space="preserve"> </w:t>
      </w:r>
      <w:r w:rsidRPr="00874443">
        <w:rPr>
          <w:rFonts w:ascii="Arial" w:hAnsi="Arial" w:cs="Arial"/>
        </w:rPr>
        <w:t xml:space="preserve"> (Accessed: 7 August 2026). </w:t>
      </w:r>
    </w:p>
    <w:p w14:paraId="67C47135" w14:textId="321456B8" w:rsidR="00874443" w:rsidRPr="00874443" w:rsidRDefault="00874443" w:rsidP="00874443">
      <w:pPr>
        <w:spacing w:line="360" w:lineRule="auto"/>
        <w:jc w:val="both"/>
        <w:rPr>
          <w:rFonts w:ascii="Arial" w:hAnsi="Arial" w:cs="Arial"/>
        </w:rPr>
      </w:pPr>
      <w:r w:rsidRPr="00874443">
        <w:rPr>
          <w:rFonts w:ascii="Arial" w:hAnsi="Arial" w:cs="Arial"/>
        </w:rPr>
        <w:t xml:space="preserve">Mondelēz International (2026b) ‘Cadbury Dairy Milk celebrates the magic of every fan’s </w:t>
      </w:r>
      <w:proofErr w:type="spellStart"/>
      <w:r w:rsidRPr="00874443">
        <w:rPr>
          <w:rFonts w:ascii="Arial" w:hAnsi="Arial" w:cs="Arial"/>
        </w:rPr>
        <w:t>Pehla</w:t>
      </w:r>
      <w:proofErr w:type="spellEnd"/>
      <w:r w:rsidRPr="00874443">
        <w:rPr>
          <w:rFonts w:ascii="Arial" w:hAnsi="Arial" w:cs="Arial"/>
        </w:rPr>
        <w:t xml:space="preserve"> Match this IPL season’, 30 March. Available at</w:t>
      </w:r>
      <w:r w:rsidRPr="0078797F">
        <w:rPr>
          <w:rFonts w:ascii="Arial" w:hAnsi="Arial" w:cs="Arial"/>
        </w:rPr>
        <w:t xml:space="preserve">: </w:t>
      </w:r>
      <w:hyperlink r:id="rId25" w:history="1">
        <w:r w:rsidR="0078797F" w:rsidRPr="0078797F">
          <w:rPr>
            <w:rStyle w:val="Hyperlink"/>
            <w:rFonts w:ascii="Arial" w:hAnsi="Arial" w:cs="Arial"/>
          </w:rPr>
          <w:t>https://www.mondelezinternational.com/india/press-releases</w:t>
        </w:r>
      </w:hyperlink>
      <w:r w:rsidR="0078797F">
        <w:t xml:space="preserve"> </w:t>
      </w:r>
      <w:r w:rsidRPr="00874443">
        <w:rPr>
          <w:rFonts w:ascii="Arial" w:hAnsi="Arial" w:cs="Arial"/>
        </w:rPr>
        <w:t xml:space="preserve"> (Accessed: 7 August 2026). </w:t>
      </w:r>
    </w:p>
    <w:p w14:paraId="7637ECEC" w14:textId="7E2A8191" w:rsidR="00874443" w:rsidRPr="00874443" w:rsidRDefault="00874443" w:rsidP="00874443">
      <w:pPr>
        <w:spacing w:line="360" w:lineRule="auto"/>
        <w:jc w:val="both"/>
        <w:rPr>
          <w:rFonts w:ascii="Arial" w:hAnsi="Arial" w:cs="Arial"/>
        </w:rPr>
      </w:pPr>
      <w:r w:rsidRPr="00874443">
        <w:rPr>
          <w:rFonts w:ascii="Arial" w:hAnsi="Arial" w:cs="Arial"/>
        </w:rPr>
        <w:t xml:space="preserve">Mondelēz International (2026c) ‘Cadbury Dairy Milk Silk continues its iconic “Say It With Silk” Valentine’s campaign, encouraging meaningful expressions of love’, 30 January. Available at: </w:t>
      </w:r>
      <w:hyperlink r:id="rId26" w:history="1">
        <w:r w:rsidR="00F97A28" w:rsidRPr="00F97A28">
          <w:rPr>
            <w:rStyle w:val="Hyperlink"/>
            <w:rFonts w:ascii="Arial" w:hAnsi="Arial" w:cs="Arial"/>
          </w:rPr>
          <w:t>https://www.mondelezinternational.com/india/press-releases</w:t>
        </w:r>
      </w:hyperlink>
      <w:r w:rsidR="00F97A28" w:rsidRPr="00F97A28">
        <w:rPr>
          <w:rFonts w:ascii="Arial" w:hAnsi="Arial" w:cs="Arial"/>
        </w:rPr>
        <w:t xml:space="preserve"> </w:t>
      </w:r>
      <w:r w:rsidRPr="00874443">
        <w:rPr>
          <w:rFonts w:ascii="Arial" w:hAnsi="Arial" w:cs="Arial"/>
        </w:rPr>
        <w:t xml:space="preserve"> (Accessed: 7 August 2026). </w:t>
      </w:r>
    </w:p>
    <w:p w14:paraId="5A88FE70"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Neilson, J. (2020) ‘Global value chains and smallholder livelihoods in the cocoa sector’, </w:t>
      </w:r>
      <w:r w:rsidRPr="00874443">
        <w:rPr>
          <w:rFonts w:ascii="Arial" w:hAnsi="Arial" w:cs="Arial"/>
          <w:i/>
          <w:iCs/>
        </w:rPr>
        <w:t>Journal of Agrarian Change</w:t>
      </w:r>
      <w:r w:rsidRPr="00874443">
        <w:rPr>
          <w:rFonts w:ascii="Arial" w:hAnsi="Arial" w:cs="Arial"/>
        </w:rPr>
        <w:t>, 20(2), pp. 248–267.</w:t>
      </w:r>
    </w:p>
    <w:p w14:paraId="5495ED52" w14:textId="2EF05661" w:rsidR="00874443" w:rsidRPr="00874443" w:rsidRDefault="00874443" w:rsidP="00874443">
      <w:pPr>
        <w:spacing w:line="360" w:lineRule="auto"/>
        <w:jc w:val="both"/>
        <w:rPr>
          <w:rFonts w:ascii="Arial" w:hAnsi="Arial" w:cs="Arial"/>
        </w:rPr>
      </w:pPr>
      <w:r w:rsidRPr="00874443">
        <w:rPr>
          <w:rFonts w:ascii="Arial" w:hAnsi="Arial" w:cs="Arial"/>
        </w:rPr>
        <w:t xml:space="preserve">Ofcom (2024) </w:t>
      </w:r>
      <w:r w:rsidRPr="00874443">
        <w:rPr>
          <w:rFonts w:ascii="Arial" w:hAnsi="Arial" w:cs="Arial"/>
          <w:i/>
          <w:iCs/>
        </w:rPr>
        <w:t>Online Nation 2024</w:t>
      </w:r>
      <w:r w:rsidRPr="00874443">
        <w:rPr>
          <w:rFonts w:ascii="Arial" w:hAnsi="Arial" w:cs="Arial"/>
        </w:rPr>
        <w:t xml:space="preserve">. London: Office of Communications. Available at: </w:t>
      </w:r>
      <w:hyperlink r:id="rId27" w:history="1">
        <w:r w:rsidR="007A64B7" w:rsidRPr="007A64B7">
          <w:rPr>
            <w:rStyle w:val="Hyperlink"/>
            <w:rFonts w:ascii="Arial" w:hAnsi="Arial" w:cs="Arial"/>
          </w:rPr>
          <w:t>https://www.ofcom.org.uk/siteassets/resources/documents/research-and-data/online-research/online-nation/2024/online-nation-2024-report.pdf</w:t>
        </w:r>
      </w:hyperlink>
      <w:r w:rsidR="007A64B7">
        <w:t xml:space="preserve"> </w:t>
      </w:r>
      <w:r w:rsidRPr="00874443">
        <w:rPr>
          <w:rFonts w:ascii="Arial" w:hAnsi="Arial" w:cs="Arial"/>
        </w:rPr>
        <w:t xml:space="preserve"> (Accessed: 7 August 2026). </w:t>
      </w:r>
    </w:p>
    <w:p w14:paraId="16BE4C71"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Porter, M.E. and Kramer, M.R. (2011) ‘Creating shared value’, </w:t>
      </w:r>
      <w:r w:rsidRPr="00874443">
        <w:rPr>
          <w:rFonts w:ascii="Arial" w:hAnsi="Arial" w:cs="Arial"/>
          <w:i/>
          <w:iCs/>
        </w:rPr>
        <w:t>Harvard Business Review</w:t>
      </w:r>
      <w:r w:rsidRPr="00874443">
        <w:rPr>
          <w:rFonts w:ascii="Arial" w:hAnsi="Arial" w:cs="Arial"/>
        </w:rPr>
        <w:t>, 89(1–2), pp. 62–77.</w:t>
      </w:r>
    </w:p>
    <w:p w14:paraId="1D8742E0" w14:textId="2226F27A" w:rsidR="00874443" w:rsidRPr="00874443" w:rsidRDefault="00874443" w:rsidP="00874443">
      <w:pPr>
        <w:spacing w:line="360" w:lineRule="auto"/>
        <w:jc w:val="both"/>
        <w:rPr>
          <w:rFonts w:ascii="Arial" w:hAnsi="Arial" w:cs="Arial"/>
        </w:rPr>
      </w:pPr>
      <w:r w:rsidRPr="00874443">
        <w:rPr>
          <w:rFonts w:ascii="Arial" w:hAnsi="Arial" w:cs="Arial"/>
        </w:rPr>
        <w:t xml:space="preserve">Swaminathan, F. and Bansal, I. (2014) ‘Indian culture and its reflection on advertising: A perceptual study of advertising practitioners’, </w:t>
      </w:r>
      <w:r w:rsidRPr="00874443">
        <w:rPr>
          <w:rFonts w:ascii="Arial" w:hAnsi="Arial" w:cs="Arial"/>
          <w:i/>
          <w:iCs/>
        </w:rPr>
        <w:t>Indian Journal of Marketing</w:t>
      </w:r>
      <w:r w:rsidRPr="00874443">
        <w:rPr>
          <w:rFonts w:ascii="Arial" w:hAnsi="Arial" w:cs="Arial"/>
        </w:rPr>
        <w:t xml:space="preserve">, 44(12), pp. 7–18. </w:t>
      </w:r>
    </w:p>
    <w:p w14:paraId="691D4B36" w14:textId="7630AC41" w:rsidR="00874443" w:rsidRPr="00874443" w:rsidRDefault="00874443" w:rsidP="00874443">
      <w:pPr>
        <w:spacing w:line="360" w:lineRule="auto"/>
        <w:jc w:val="both"/>
        <w:rPr>
          <w:rFonts w:ascii="Arial" w:hAnsi="Arial" w:cs="Arial"/>
        </w:rPr>
      </w:pPr>
      <w:r w:rsidRPr="00874443">
        <w:rPr>
          <w:rFonts w:ascii="Arial" w:hAnsi="Arial" w:cs="Arial"/>
        </w:rPr>
        <w:t xml:space="preserve">Tesco (2026) </w:t>
      </w:r>
      <w:r w:rsidRPr="00874443">
        <w:rPr>
          <w:rFonts w:ascii="Arial" w:hAnsi="Arial" w:cs="Arial"/>
          <w:i/>
          <w:iCs/>
        </w:rPr>
        <w:t>Cadbury Dairy Milk Chocolate Bar 110g</w:t>
      </w:r>
      <w:r w:rsidRPr="00874443">
        <w:rPr>
          <w:rFonts w:ascii="Arial" w:hAnsi="Arial" w:cs="Arial"/>
        </w:rPr>
        <w:t xml:space="preserve">. Tesco Groceries. Available at: </w:t>
      </w:r>
      <w:hyperlink r:id="rId28" w:history="1">
        <w:r w:rsidR="00A01B05" w:rsidRPr="00A01B05">
          <w:rPr>
            <w:rStyle w:val="Hyperlink"/>
            <w:rFonts w:ascii="Arial" w:hAnsi="Arial" w:cs="Arial"/>
          </w:rPr>
          <w:t>https://www.tesco.com/shop/en-GB/products/284117451</w:t>
        </w:r>
      </w:hyperlink>
      <w:r w:rsidR="00A01B05">
        <w:t xml:space="preserve"> </w:t>
      </w:r>
      <w:r w:rsidRPr="00874443">
        <w:rPr>
          <w:rFonts w:ascii="Arial" w:hAnsi="Arial" w:cs="Arial"/>
        </w:rPr>
        <w:t xml:space="preserve"> (Accessed: 7 August 2026). </w:t>
      </w:r>
    </w:p>
    <w:p w14:paraId="23DB4D88" w14:textId="08318CB2" w:rsidR="00874443" w:rsidRPr="00874443" w:rsidRDefault="00874443" w:rsidP="00874443">
      <w:pPr>
        <w:spacing w:line="360" w:lineRule="auto"/>
        <w:jc w:val="both"/>
        <w:rPr>
          <w:rFonts w:ascii="Arial" w:hAnsi="Arial" w:cs="Arial"/>
        </w:rPr>
      </w:pPr>
      <w:proofErr w:type="spellStart"/>
      <w:r w:rsidRPr="00874443">
        <w:rPr>
          <w:rFonts w:ascii="Arial" w:hAnsi="Arial" w:cs="Arial"/>
        </w:rPr>
        <w:t>Theodosiou</w:t>
      </w:r>
      <w:proofErr w:type="spellEnd"/>
      <w:r w:rsidRPr="00874443">
        <w:rPr>
          <w:rFonts w:ascii="Arial" w:hAnsi="Arial" w:cs="Arial"/>
        </w:rPr>
        <w:t xml:space="preserve">, M. and </w:t>
      </w:r>
      <w:proofErr w:type="spellStart"/>
      <w:r w:rsidRPr="00874443">
        <w:rPr>
          <w:rFonts w:ascii="Arial" w:hAnsi="Arial" w:cs="Arial"/>
        </w:rPr>
        <w:t>Leonidou</w:t>
      </w:r>
      <w:proofErr w:type="spellEnd"/>
      <w:r w:rsidRPr="00874443">
        <w:rPr>
          <w:rFonts w:ascii="Arial" w:hAnsi="Arial" w:cs="Arial"/>
        </w:rPr>
        <w:t>, L.C. (2003) ‘</w:t>
      </w:r>
      <w:r w:rsidR="00F95263">
        <w:rPr>
          <w:rFonts w:ascii="Arial" w:hAnsi="Arial" w:cs="Arial"/>
        </w:rPr>
        <w:t>Standardisation</w:t>
      </w:r>
      <w:r w:rsidRPr="00874443">
        <w:rPr>
          <w:rFonts w:ascii="Arial" w:hAnsi="Arial" w:cs="Arial"/>
        </w:rPr>
        <w:t xml:space="preserve"> versus adaptation of international marketing strategy: An integrative assessment of the empirical research’, </w:t>
      </w:r>
      <w:r w:rsidRPr="00874443">
        <w:rPr>
          <w:rFonts w:ascii="Arial" w:hAnsi="Arial" w:cs="Arial"/>
          <w:i/>
          <w:iCs/>
        </w:rPr>
        <w:t>International Business Review</w:t>
      </w:r>
      <w:r w:rsidRPr="00874443">
        <w:rPr>
          <w:rFonts w:ascii="Arial" w:hAnsi="Arial" w:cs="Arial"/>
        </w:rPr>
        <w:t>, 12(2), pp. 141–171.</w:t>
      </w:r>
    </w:p>
    <w:p w14:paraId="2F3A1800"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Verhoef, P.C., Kannan, P.K. and Inman, J.J. (2015) ‘From multi-channel retailing to omni-channel retailing: Introduction to the special issue on multi-channel retailing’, </w:t>
      </w:r>
      <w:r w:rsidRPr="00874443">
        <w:rPr>
          <w:rFonts w:ascii="Arial" w:hAnsi="Arial" w:cs="Arial"/>
          <w:i/>
          <w:iCs/>
        </w:rPr>
        <w:t>Journal of Retailing</w:t>
      </w:r>
      <w:r w:rsidRPr="00874443">
        <w:rPr>
          <w:rFonts w:ascii="Arial" w:hAnsi="Arial" w:cs="Arial"/>
        </w:rPr>
        <w:t>, 91(2), pp. 174–181.</w:t>
      </w:r>
    </w:p>
    <w:p w14:paraId="62B77750"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Wedel, M. and Kamakura, W.A. (2012) </w:t>
      </w:r>
      <w:r w:rsidRPr="00874443">
        <w:rPr>
          <w:rFonts w:ascii="Arial" w:hAnsi="Arial" w:cs="Arial"/>
          <w:i/>
          <w:iCs/>
        </w:rPr>
        <w:t>Market Segmentation: Conceptual and Methodological Foundations</w:t>
      </w:r>
      <w:r w:rsidRPr="00874443">
        <w:rPr>
          <w:rFonts w:ascii="Arial" w:hAnsi="Arial" w:cs="Arial"/>
        </w:rPr>
        <w:t xml:space="preserve">. 2nd </w:t>
      </w:r>
      <w:proofErr w:type="spellStart"/>
      <w:r w:rsidRPr="00874443">
        <w:rPr>
          <w:rFonts w:ascii="Arial" w:hAnsi="Arial" w:cs="Arial"/>
        </w:rPr>
        <w:t>edn</w:t>
      </w:r>
      <w:proofErr w:type="spellEnd"/>
      <w:r w:rsidRPr="00874443">
        <w:rPr>
          <w:rFonts w:ascii="Arial" w:hAnsi="Arial" w:cs="Arial"/>
        </w:rPr>
        <w:t>. New York: Springer.</w:t>
      </w:r>
    </w:p>
    <w:p w14:paraId="3369248F" w14:textId="77777777" w:rsidR="00874443" w:rsidRPr="00874443" w:rsidRDefault="00874443" w:rsidP="00874443">
      <w:pPr>
        <w:spacing w:line="360" w:lineRule="auto"/>
        <w:jc w:val="both"/>
        <w:rPr>
          <w:rFonts w:ascii="Arial" w:hAnsi="Arial" w:cs="Arial"/>
        </w:rPr>
      </w:pPr>
      <w:r w:rsidRPr="00874443">
        <w:rPr>
          <w:rFonts w:ascii="Arial" w:hAnsi="Arial" w:cs="Arial"/>
        </w:rPr>
        <w:t xml:space="preserve">Wedel, M. and Kannan, P.K. (2016) ‘Marketing analytics for data-rich environments’, </w:t>
      </w:r>
      <w:r w:rsidRPr="00874443">
        <w:rPr>
          <w:rFonts w:ascii="Arial" w:hAnsi="Arial" w:cs="Arial"/>
          <w:i/>
          <w:iCs/>
        </w:rPr>
        <w:t>Journal of Marketing</w:t>
      </w:r>
      <w:r w:rsidRPr="00874443">
        <w:rPr>
          <w:rFonts w:ascii="Arial" w:hAnsi="Arial" w:cs="Arial"/>
        </w:rPr>
        <w:t>, 80(6), pp. 97–121.</w:t>
      </w:r>
    </w:p>
    <w:p w14:paraId="63AC5C63" w14:textId="3E17EF4D" w:rsidR="00874443" w:rsidRPr="00874443" w:rsidRDefault="00874443" w:rsidP="00874443">
      <w:pPr>
        <w:spacing w:line="360" w:lineRule="auto"/>
        <w:jc w:val="both"/>
        <w:rPr>
          <w:rFonts w:ascii="Arial" w:hAnsi="Arial" w:cs="Arial"/>
        </w:rPr>
      </w:pPr>
      <w:r w:rsidRPr="00874443">
        <w:rPr>
          <w:rFonts w:ascii="Arial" w:hAnsi="Arial" w:cs="Arial"/>
        </w:rPr>
        <w:lastRenderedPageBreak/>
        <w:t xml:space="preserve">Whittington, R., </w:t>
      </w:r>
      <w:proofErr w:type="spellStart"/>
      <w:r w:rsidRPr="00874443">
        <w:rPr>
          <w:rFonts w:ascii="Arial" w:hAnsi="Arial" w:cs="Arial"/>
        </w:rPr>
        <w:t>Regnér</w:t>
      </w:r>
      <w:proofErr w:type="spellEnd"/>
      <w:r w:rsidRPr="00874443">
        <w:rPr>
          <w:rFonts w:ascii="Arial" w:hAnsi="Arial" w:cs="Arial"/>
        </w:rPr>
        <w:t xml:space="preserve">, P., Angwin, D., Johnson, G. and Scholes, K. (2020) </w:t>
      </w:r>
      <w:r w:rsidRPr="00874443">
        <w:rPr>
          <w:rFonts w:ascii="Arial" w:hAnsi="Arial" w:cs="Arial"/>
          <w:i/>
          <w:iCs/>
        </w:rPr>
        <w:t>Exploring Strategy: Text and Cases</w:t>
      </w:r>
      <w:r w:rsidRPr="00874443">
        <w:rPr>
          <w:rFonts w:ascii="Arial" w:hAnsi="Arial" w:cs="Arial"/>
        </w:rPr>
        <w:t xml:space="preserve">. 12th </w:t>
      </w:r>
      <w:proofErr w:type="spellStart"/>
      <w:r w:rsidRPr="00874443">
        <w:rPr>
          <w:rFonts w:ascii="Arial" w:hAnsi="Arial" w:cs="Arial"/>
        </w:rPr>
        <w:t>edn</w:t>
      </w:r>
      <w:proofErr w:type="spellEnd"/>
      <w:r w:rsidRPr="00874443">
        <w:rPr>
          <w:rFonts w:ascii="Arial" w:hAnsi="Arial" w:cs="Arial"/>
        </w:rPr>
        <w:t xml:space="preserve">. Harlow: Pearson. </w:t>
      </w:r>
    </w:p>
    <w:p w14:paraId="66612505" w14:textId="100D9C97" w:rsidR="00874443" w:rsidRPr="00874443" w:rsidRDefault="00874443" w:rsidP="00874443">
      <w:pPr>
        <w:spacing w:line="360" w:lineRule="auto"/>
        <w:jc w:val="both"/>
        <w:rPr>
          <w:rFonts w:ascii="Arial" w:hAnsi="Arial" w:cs="Arial"/>
        </w:rPr>
      </w:pPr>
      <w:r w:rsidRPr="00874443">
        <w:rPr>
          <w:rFonts w:ascii="Arial" w:hAnsi="Arial" w:cs="Arial"/>
        </w:rPr>
        <w:t xml:space="preserve">World Bank (2025a) </w:t>
      </w:r>
      <w:r w:rsidRPr="00874443">
        <w:rPr>
          <w:rFonts w:ascii="Arial" w:hAnsi="Arial" w:cs="Arial"/>
          <w:i/>
          <w:iCs/>
        </w:rPr>
        <w:t>United Kingdom – Data</w:t>
      </w:r>
      <w:r w:rsidRPr="00874443">
        <w:rPr>
          <w:rFonts w:ascii="Arial" w:hAnsi="Arial" w:cs="Arial"/>
        </w:rPr>
        <w:t xml:space="preserve">. World Development Indicators. Available at: </w:t>
      </w:r>
      <w:hyperlink r:id="rId29" w:history="1">
        <w:r w:rsidR="00EF5462" w:rsidRPr="00EF5462">
          <w:rPr>
            <w:rStyle w:val="Hyperlink"/>
            <w:rFonts w:ascii="Arial" w:hAnsi="Arial" w:cs="Arial"/>
          </w:rPr>
          <w:t>https://data.worldbank.org/</w:t>
        </w:r>
      </w:hyperlink>
      <w:r w:rsidR="00EF5462">
        <w:t xml:space="preserve"> </w:t>
      </w:r>
      <w:r w:rsidRPr="00874443">
        <w:rPr>
          <w:rFonts w:ascii="Arial" w:hAnsi="Arial" w:cs="Arial"/>
        </w:rPr>
        <w:t xml:space="preserve">(Accessed: 7 August 2026). </w:t>
      </w:r>
    </w:p>
    <w:p w14:paraId="37D60F9A" w14:textId="36AEFBAE" w:rsidR="00874443" w:rsidRPr="00874443" w:rsidRDefault="00874443" w:rsidP="00874443">
      <w:pPr>
        <w:spacing w:line="360" w:lineRule="auto"/>
        <w:jc w:val="both"/>
        <w:rPr>
          <w:rFonts w:ascii="Arial" w:hAnsi="Arial" w:cs="Arial"/>
        </w:rPr>
      </w:pPr>
      <w:r w:rsidRPr="00874443">
        <w:rPr>
          <w:rFonts w:ascii="Arial" w:hAnsi="Arial" w:cs="Arial"/>
        </w:rPr>
        <w:t xml:space="preserve">World Bank (2025b) </w:t>
      </w:r>
      <w:r w:rsidRPr="00874443">
        <w:rPr>
          <w:rFonts w:ascii="Arial" w:hAnsi="Arial" w:cs="Arial"/>
          <w:i/>
          <w:iCs/>
        </w:rPr>
        <w:t>India – Data</w:t>
      </w:r>
      <w:r w:rsidRPr="00874443">
        <w:rPr>
          <w:rFonts w:ascii="Arial" w:hAnsi="Arial" w:cs="Arial"/>
        </w:rPr>
        <w:t xml:space="preserve">. World Development Indicators. Available at: </w:t>
      </w:r>
      <w:hyperlink r:id="rId30" w:history="1">
        <w:r w:rsidR="005D03AC" w:rsidRPr="005D03AC">
          <w:rPr>
            <w:rStyle w:val="Hyperlink"/>
            <w:rFonts w:ascii="Arial" w:hAnsi="Arial" w:cs="Arial"/>
          </w:rPr>
          <w:t>https://data.worldbank.org/</w:t>
        </w:r>
      </w:hyperlink>
      <w:r w:rsidR="005D03AC">
        <w:t xml:space="preserve"> </w:t>
      </w:r>
      <w:r w:rsidRPr="00874443">
        <w:rPr>
          <w:rFonts w:ascii="Arial" w:hAnsi="Arial" w:cs="Arial"/>
        </w:rPr>
        <w:t xml:space="preserve"> (Accessed: 7 August 2026). </w:t>
      </w:r>
    </w:p>
    <w:p w14:paraId="1B062891" w14:textId="211A548C" w:rsidR="009C0BB3" w:rsidRPr="009C0BB3" w:rsidRDefault="00874443" w:rsidP="00874443">
      <w:pPr>
        <w:spacing w:line="360" w:lineRule="auto"/>
        <w:jc w:val="both"/>
        <w:rPr>
          <w:rFonts w:ascii="Arial" w:hAnsi="Arial" w:cs="Arial"/>
        </w:rPr>
      </w:pPr>
      <w:r w:rsidRPr="00874443">
        <w:rPr>
          <w:rFonts w:ascii="Arial" w:hAnsi="Arial" w:cs="Arial"/>
        </w:rPr>
        <w:t xml:space="preserve">Zou, S. and </w:t>
      </w:r>
      <w:proofErr w:type="spellStart"/>
      <w:r w:rsidRPr="00874443">
        <w:rPr>
          <w:rFonts w:ascii="Arial" w:hAnsi="Arial" w:cs="Arial"/>
        </w:rPr>
        <w:t>Cavusgil</w:t>
      </w:r>
      <w:proofErr w:type="spellEnd"/>
      <w:r w:rsidRPr="00874443">
        <w:rPr>
          <w:rFonts w:ascii="Arial" w:hAnsi="Arial" w:cs="Arial"/>
        </w:rPr>
        <w:t xml:space="preserve">, S.T. (2002) ‘The GMS: A broad </w:t>
      </w:r>
      <w:r w:rsidR="00FA6335">
        <w:rPr>
          <w:rFonts w:ascii="Arial" w:hAnsi="Arial" w:cs="Arial"/>
        </w:rPr>
        <w:t>conceptualisation</w:t>
      </w:r>
      <w:r w:rsidRPr="00874443">
        <w:rPr>
          <w:rFonts w:ascii="Arial" w:hAnsi="Arial" w:cs="Arial"/>
        </w:rPr>
        <w:t xml:space="preserve"> of global marketing strategy and its effect on firm performance’, </w:t>
      </w:r>
      <w:r w:rsidRPr="00874443">
        <w:rPr>
          <w:rFonts w:ascii="Arial" w:hAnsi="Arial" w:cs="Arial"/>
          <w:i/>
          <w:iCs/>
        </w:rPr>
        <w:t>Journal of Marketing</w:t>
      </w:r>
      <w:r w:rsidRPr="00874443">
        <w:rPr>
          <w:rFonts w:ascii="Arial" w:hAnsi="Arial" w:cs="Arial"/>
        </w:rPr>
        <w:t xml:space="preserve">, 66(4), pp. 40–56. </w:t>
      </w:r>
    </w:p>
    <w:sectPr w:rsidR="009C0BB3" w:rsidRPr="009C0BB3" w:rsidSect="009F6635">
      <w:footerReference w:type="default" r:id="rId3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A5838" w14:textId="77777777" w:rsidR="00383684" w:rsidRDefault="00383684" w:rsidP="007E472C">
      <w:pPr>
        <w:spacing w:after="0" w:line="240" w:lineRule="auto"/>
      </w:pPr>
      <w:r>
        <w:separator/>
      </w:r>
    </w:p>
  </w:endnote>
  <w:endnote w:type="continuationSeparator" w:id="0">
    <w:p w14:paraId="24488738" w14:textId="77777777" w:rsidR="00383684" w:rsidRDefault="00383684" w:rsidP="007E4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92463"/>
      <w:docPartObj>
        <w:docPartGallery w:val="Page Numbers (Bottom of Page)"/>
        <w:docPartUnique/>
      </w:docPartObj>
    </w:sdtPr>
    <w:sdtEndPr>
      <w:rPr>
        <w:noProof/>
      </w:rPr>
    </w:sdtEndPr>
    <w:sdtContent>
      <w:p w14:paraId="668F03E8" w14:textId="1CB6B8C9" w:rsidR="00920153" w:rsidRDefault="009201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C43616" w14:textId="77777777" w:rsidR="00920153" w:rsidRDefault="009201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414BD" w14:textId="77777777" w:rsidR="00383684" w:rsidRDefault="00383684" w:rsidP="007E472C">
      <w:pPr>
        <w:spacing w:after="0" w:line="240" w:lineRule="auto"/>
      </w:pPr>
      <w:r>
        <w:separator/>
      </w:r>
    </w:p>
  </w:footnote>
  <w:footnote w:type="continuationSeparator" w:id="0">
    <w:p w14:paraId="2F5153EC" w14:textId="77777777" w:rsidR="00383684" w:rsidRDefault="00383684" w:rsidP="007E4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9814F3"/>
    <w:multiLevelType w:val="hybridMultilevel"/>
    <w:tmpl w:val="CAA6CCF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826819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635"/>
    <w:rsid w:val="00002549"/>
    <w:rsid w:val="0001030C"/>
    <w:rsid w:val="000471B5"/>
    <w:rsid w:val="00057C2B"/>
    <w:rsid w:val="000A675E"/>
    <w:rsid w:val="000B2676"/>
    <w:rsid w:val="000B3C7F"/>
    <w:rsid w:val="000D1CBC"/>
    <w:rsid w:val="000E6CA2"/>
    <w:rsid w:val="001171BF"/>
    <w:rsid w:val="00120F15"/>
    <w:rsid w:val="00123690"/>
    <w:rsid w:val="00147FD8"/>
    <w:rsid w:val="0015328D"/>
    <w:rsid w:val="00184C74"/>
    <w:rsid w:val="001B63DA"/>
    <w:rsid w:val="001D5E26"/>
    <w:rsid w:val="001F4FB7"/>
    <w:rsid w:val="00250BC5"/>
    <w:rsid w:val="00292260"/>
    <w:rsid w:val="00294FC9"/>
    <w:rsid w:val="002E5814"/>
    <w:rsid w:val="002F4D26"/>
    <w:rsid w:val="002F6830"/>
    <w:rsid w:val="003200A9"/>
    <w:rsid w:val="003511BF"/>
    <w:rsid w:val="00355FCE"/>
    <w:rsid w:val="0036460C"/>
    <w:rsid w:val="00375FD1"/>
    <w:rsid w:val="00383684"/>
    <w:rsid w:val="003913F5"/>
    <w:rsid w:val="003A4CD0"/>
    <w:rsid w:val="003B5AE1"/>
    <w:rsid w:val="003B73FA"/>
    <w:rsid w:val="003C2256"/>
    <w:rsid w:val="003D0536"/>
    <w:rsid w:val="00413B3D"/>
    <w:rsid w:val="004243AE"/>
    <w:rsid w:val="004260E1"/>
    <w:rsid w:val="00451F16"/>
    <w:rsid w:val="00486159"/>
    <w:rsid w:val="00492029"/>
    <w:rsid w:val="004C0377"/>
    <w:rsid w:val="004C0673"/>
    <w:rsid w:val="004E6738"/>
    <w:rsid w:val="004F1FB6"/>
    <w:rsid w:val="00501F16"/>
    <w:rsid w:val="005060CD"/>
    <w:rsid w:val="005218B8"/>
    <w:rsid w:val="00542BE6"/>
    <w:rsid w:val="005456E1"/>
    <w:rsid w:val="00550F3E"/>
    <w:rsid w:val="00556D81"/>
    <w:rsid w:val="00560E3C"/>
    <w:rsid w:val="005B0D8A"/>
    <w:rsid w:val="005D03AC"/>
    <w:rsid w:val="00612D3A"/>
    <w:rsid w:val="00640920"/>
    <w:rsid w:val="006621BC"/>
    <w:rsid w:val="006F1EE4"/>
    <w:rsid w:val="007049A6"/>
    <w:rsid w:val="00712892"/>
    <w:rsid w:val="00715BA9"/>
    <w:rsid w:val="00725048"/>
    <w:rsid w:val="007250E7"/>
    <w:rsid w:val="00726513"/>
    <w:rsid w:val="00744E96"/>
    <w:rsid w:val="00767283"/>
    <w:rsid w:val="0078095B"/>
    <w:rsid w:val="0078797F"/>
    <w:rsid w:val="007A64B7"/>
    <w:rsid w:val="007E2E17"/>
    <w:rsid w:val="007E472C"/>
    <w:rsid w:val="00812959"/>
    <w:rsid w:val="00847B17"/>
    <w:rsid w:val="008553BB"/>
    <w:rsid w:val="00863881"/>
    <w:rsid w:val="0087280A"/>
    <w:rsid w:val="00874443"/>
    <w:rsid w:val="008907B2"/>
    <w:rsid w:val="008B47D5"/>
    <w:rsid w:val="008C4BF9"/>
    <w:rsid w:val="008D54C7"/>
    <w:rsid w:val="008E10D1"/>
    <w:rsid w:val="008E6E22"/>
    <w:rsid w:val="008F4E7D"/>
    <w:rsid w:val="00920153"/>
    <w:rsid w:val="0092090C"/>
    <w:rsid w:val="00952F27"/>
    <w:rsid w:val="00975391"/>
    <w:rsid w:val="009A489D"/>
    <w:rsid w:val="009C0BB3"/>
    <w:rsid w:val="009C15A5"/>
    <w:rsid w:val="009C2A3D"/>
    <w:rsid w:val="009C2AC7"/>
    <w:rsid w:val="009F3B0E"/>
    <w:rsid w:val="009F6635"/>
    <w:rsid w:val="00A01B05"/>
    <w:rsid w:val="00A027CD"/>
    <w:rsid w:val="00A11EC6"/>
    <w:rsid w:val="00A4149F"/>
    <w:rsid w:val="00A76CD8"/>
    <w:rsid w:val="00AD63D0"/>
    <w:rsid w:val="00B13CDC"/>
    <w:rsid w:val="00B213A3"/>
    <w:rsid w:val="00B27B55"/>
    <w:rsid w:val="00B405F7"/>
    <w:rsid w:val="00BA2D03"/>
    <w:rsid w:val="00BB189C"/>
    <w:rsid w:val="00C075B0"/>
    <w:rsid w:val="00C117D6"/>
    <w:rsid w:val="00C159E7"/>
    <w:rsid w:val="00C5112B"/>
    <w:rsid w:val="00C604CE"/>
    <w:rsid w:val="00C92B31"/>
    <w:rsid w:val="00CC2278"/>
    <w:rsid w:val="00D2514E"/>
    <w:rsid w:val="00D2619B"/>
    <w:rsid w:val="00D40EF5"/>
    <w:rsid w:val="00D975BE"/>
    <w:rsid w:val="00DB0E42"/>
    <w:rsid w:val="00E00642"/>
    <w:rsid w:val="00E04A48"/>
    <w:rsid w:val="00E75919"/>
    <w:rsid w:val="00EA17F0"/>
    <w:rsid w:val="00EF3C47"/>
    <w:rsid w:val="00EF5462"/>
    <w:rsid w:val="00F15750"/>
    <w:rsid w:val="00F323A6"/>
    <w:rsid w:val="00F45C4A"/>
    <w:rsid w:val="00F7387C"/>
    <w:rsid w:val="00F95263"/>
    <w:rsid w:val="00F97A28"/>
    <w:rsid w:val="00FA6335"/>
    <w:rsid w:val="00FB44B7"/>
    <w:rsid w:val="00FC296D"/>
    <w:rsid w:val="00FF2DB0"/>
    <w:rsid w:val="00FF39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34796"/>
  <w15:chartTrackingRefBased/>
  <w15:docId w15:val="{8B6CADF3-2043-46C0-845C-D36C0790D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6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66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66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66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66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6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6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66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66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66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66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6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635"/>
    <w:rPr>
      <w:rFonts w:eastAsiaTheme="majorEastAsia" w:cstheme="majorBidi"/>
      <w:color w:val="272727" w:themeColor="text1" w:themeTint="D8"/>
    </w:rPr>
  </w:style>
  <w:style w:type="paragraph" w:styleId="Title">
    <w:name w:val="Title"/>
    <w:basedOn w:val="Normal"/>
    <w:next w:val="Normal"/>
    <w:link w:val="TitleChar"/>
    <w:uiPriority w:val="10"/>
    <w:qFormat/>
    <w:rsid w:val="009F6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635"/>
    <w:pPr>
      <w:spacing w:before="160"/>
      <w:jc w:val="center"/>
    </w:pPr>
    <w:rPr>
      <w:i/>
      <w:iCs/>
      <w:color w:val="404040" w:themeColor="text1" w:themeTint="BF"/>
    </w:rPr>
  </w:style>
  <w:style w:type="character" w:customStyle="1" w:styleId="QuoteChar">
    <w:name w:val="Quote Char"/>
    <w:basedOn w:val="DefaultParagraphFont"/>
    <w:link w:val="Quote"/>
    <w:uiPriority w:val="29"/>
    <w:rsid w:val="009F6635"/>
    <w:rPr>
      <w:i/>
      <w:iCs/>
      <w:color w:val="404040" w:themeColor="text1" w:themeTint="BF"/>
    </w:rPr>
  </w:style>
  <w:style w:type="paragraph" w:styleId="ListParagraph">
    <w:name w:val="List Paragraph"/>
    <w:basedOn w:val="Normal"/>
    <w:uiPriority w:val="34"/>
    <w:qFormat/>
    <w:rsid w:val="009F6635"/>
    <w:pPr>
      <w:ind w:left="720"/>
      <w:contextualSpacing/>
    </w:pPr>
  </w:style>
  <w:style w:type="character" w:styleId="IntenseEmphasis">
    <w:name w:val="Intense Emphasis"/>
    <w:basedOn w:val="DefaultParagraphFont"/>
    <w:uiPriority w:val="21"/>
    <w:qFormat/>
    <w:rsid w:val="009F6635"/>
    <w:rPr>
      <w:i/>
      <w:iCs/>
      <w:color w:val="2F5496" w:themeColor="accent1" w:themeShade="BF"/>
    </w:rPr>
  </w:style>
  <w:style w:type="paragraph" w:styleId="IntenseQuote">
    <w:name w:val="Intense Quote"/>
    <w:basedOn w:val="Normal"/>
    <w:next w:val="Normal"/>
    <w:link w:val="IntenseQuoteChar"/>
    <w:uiPriority w:val="30"/>
    <w:qFormat/>
    <w:rsid w:val="009F66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6635"/>
    <w:rPr>
      <w:i/>
      <w:iCs/>
      <w:color w:val="2F5496" w:themeColor="accent1" w:themeShade="BF"/>
    </w:rPr>
  </w:style>
  <w:style w:type="character" w:styleId="IntenseReference">
    <w:name w:val="Intense Reference"/>
    <w:basedOn w:val="DefaultParagraphFont"/>
    <w:uiPriority w:val="32"/>
    <w:qFormat/>
    <w:rsid w:val="009F6635"/>
    <w:rPr>
      <w:b/>
      <w:bCs/>
      <w:smallCaps/>
      <w:color w:val="2F5496" w:themeColor="accent1" w:themeShade="BF"/>
      <w:spacing w:val="5"/>
    </w:rPr>
  </w:style>
  <w:style w:type="table" w:styleId="TableGrid">
    <w:name w:val="Table Grid"/>
    <w:basedOn w:val="TableNormal"/>
    <w:uiPriority w:val="39"/>
    <w:rsid w:val="009F6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4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72C"/>
  </w:style>
  <w:style w:type="paragraph" w:styleId="Footer">
    <w:name w:val="footer"/>
    <w:basedOn w:val="Normal"/>
    <w:link w:val="FooterChar"/>
    <w:uiPriority w:val="99"/>
    <w:unhideWhenUsed/>
    <w:rsid w:val="007E4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72C"/>
  </w:style>
  <w:style w:type="paragraph" w:styleId="TOCHeading">
    <w:name w:val="TOC Heading"/>
    <w:basedOn w:val="Heading1"/>
    <w:next w:val="Normal"/>
    <w:uiPriority w:val="39"/>
    <w:unhideWhenUsed/>
    <w:qFormat/>
    <w:rsid w:val="006F1EE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F1EE4"/>
    <w:pPr>
      <w:spacing w:after="100"/>
    </w:pPr>
  </w:style>
  <w:style w:type="character" w:styleId="Hyperlink">
    <w:name w:val="Hyperlink"/>
    <w:basedOn w:val="DefaultParagraphFont"/>
    <w:uiPriority w:val="99"/>
    <w:unhideWhenUsed/>
    <w:rsid w:val="006F1EE4"/>
    <w:rPr>
      <w:color w:val="0563C1" w:themeColor="hyperlink"/>
      <w:u w:val="single"/>
    </w:rPr>
  </w:style>
  <w:style w:type="character" w:styleId="UnresolvedMention">
    <w:name w:val="Unresolved Mention"/>
    <w:basedOn w:val="DefaultParagraphFont"/>
    <w:uiPriority w:val="99"/>
    <w:semiHidden/>
    <w:unhideWhenUsed/>
    <w:rsid w:val="004260E1"/>
    <w:rPr>
      <w:color w:val="605E5C"/>
      <w:shd w:val="clear" w:color="auto" w:fill="E1DFDD"/>
    </w:rPr>
  </w:style>
  <w:style w:type="character" w:styleId="FollowedHyperlink">
    <w:name w:val="FollowedHyperlink"/>
    <w:basedOn w:val="DefaultParagraphFont"/>
    <w:uiPriority w:val="99"/>
    <w:semiHidden/>
    <w:unhideWhenUsed/>
    <w:rsid w:val="008F4E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cadbury.co.uk/about/impact/sustainability/recycling" TargetMode="External"/><Relationship Id="rId26" Type="http://schemas.openxmlformats.org/officeDocument/2006/relationships/hyperlink" Target="https://www.mondelezinternational.com/india/press-releases" TargetMode="External"/><Relationship Id="rId3" Type="http://schemas.openxmlformats.org/officeDocument/2006/relationships/styles" Target="styles.xml"/><Relationship Id="rId21" Type="http://schemas.openxmlformats.org/officeDocument/2006/relationships/hyperlink" Target="https://www.theculturefactor.com/country-comparison-too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dbury.co.uk/explore/seasonal/lastest-campaigns" TargetMode="External"/><Relationship Id="rId25" Type="http://schemas.openxmlformats.org/officeDocument/2006/relationships/hyperlink" Target="https://www.mondelezinternational.com/india/press-releas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v.uk/guidance/check-if-you-need-to-register-for-plastic-packaging-tax" TargetMode="External"/><Relationship Id="rId29" Type="http://schemas.openxmlformats.org/officeDocument/2006/relationships/hyperlink" Target="https://data.worldbank.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ondelezinternational.com/india/press-releas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ondelezinternational.com/india/india-business" TargetMode="External"/><Relationship Id="rId28" Type="http://schemas.openxmlformats.org/officeDocument/2006/relationships/hyperlink" Target="https://www.tesco.com/shop/en-GB/products/284117451" TargetMode="External"/><Relationship Id="rId10" Type="http://schemas.openxmlformats.org/officeDocument/2006/relationships/image" Target="media/image3.png"/><Relationship Id="rId19" Type="http://schemas.openxmlformats.org/officeDocument/2006/relationships/hyperlink" Target="https://www.fssai.gov.i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ondelezinternational.com/news/cadbury-200-years-uk" TargetMode="External"/><Relationship Id="rId27" Type="http://schemas.openxmlformats.org/officeDocument/2006/relationships/hyperlink" Target="https://www.ofcom.org.uk/siteassets/resources/documents/research-and-data/online-research/online-nation/2024/online-nation-2024-report.pdf?v=386238&amp;utm" TargetMode="External"/><Relationship Id="rId30" Type="http://schemas.openxmlformats.org/officeDocument/2006/relationships/hyperlink" Target="https://data.worldbank.org/"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4FAF0-0CD8-4ECB-ABA4-AA30B54A0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33</Pages>
  <Words>8054</Words>
  <Characters>45908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80</cp:revision>
  <dcterms:created xsi:type="dcterms:W3CDTF">2026-08-06T16:24:00Z</dcterms:created>
  <dcterms:modified xsi:type="dcterms:W3CDTF">2026-08-10T09:06:00Z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7b371ade-cff7-46cf-8483-cb4af9e31146</vt:lpwstr>
  </property>
</Properties>
</file>