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1785E16E" w:rsidR="0056785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84968">
        <w:rPr>
          <w:rFonts w:asciiTheme="minorBidi" w:hAnsiTheme="minorBidi"/>
          <w:sz w:val="22"/>
        </w:rPr>
        <w:t xml:space="preserve"> </w:t>
      </w:r>
      <w:r w:rsidR="00CA3B0C">
        <w:rPr>
          <w:rFonts w:asciiTheme="minorBidi" w:hAnsiTheme="minorBidi"/>
          <w:sz w:val="22"/>
        </w:rPr>
        <w:t xml:space="preserve"> </w:t>
      </w:r>
      <w:r w:rsidR="00912A8E">
        <w:rPr>
          <w:rFonts w:asciiTheme="minorBidi" w:hAnsiTheme="minorBidi"/>
          <w:sz w:val="22"/>
        </w:rPr>
        <w:t xml:space="preserve">   </w:t>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9236829" w:rsidR="00CD33A8" w:rsidRPr="0071652A" w:rsidRDefault="00CD33A8" w:rsidP="00CD33A8">
      <w:pPr>
        <w:tabs>
          <w:tab w:val="left" w:pos="6540"/>
        </w:tabs>
        <w:spacing w:line="360" w:lineRule="auto"/>
        <w:rPr>
          <w:rFonts w:ascii="Arial" w:hAnsi="Arial" w:cs="Arial"/>
          <w:sz w:val="28"/>
          <w:szCs w:val="28"/>
          <w:lang w:val="nl-NL"/>
        </w:rPr>
      </w:pPr>
      <w:r w:rsidRPr="0071652A">
        <w:rPr>
          <w:rFonts w:ascii="Arial" w:hAnsi="Arial" w:cs="Arial"/>
          <w:b/>
          <w:bCs/>
          <w:sz w:val="28"/>
          <w:szCs w:val="28"/>
          <w:lang w:val="nl-NL"/>
        </w:rPr>
        <w:t>Module name</w:t>
      </w:r>
      <w:r w:rsidRPr="0071652A">
        <w:rPr>
          <w:rFonts w:ascii="Arial" w:hAnsi="Arial" w:cs="Arial"/>
          <w:sz w:val="28"/>
          <w:szCs w:val="28"/>
          <w:lang w:val="nl-NL"/>
        </w:rPr>
        <w:t xml:space="preserve">: </w:t>
      </w:r>
      <w:r w:rsidR="009B48DE" w:rsidRPr="0071652A">
        <w:rPr>
          <w:rFonts w:ascii="Arial" w:hAnsi="Arial" w:cs="Arial"/>
          <w:sz w:val="28"/>
          <w:szCs w:val="28"/>
          <w:lang w:val="nl-NL"/>
        </w:rPr>
        <w:t xml:space="preserve">Introduction to Health and Social Care          </w:t>
      </w:r>
    </w:p>
    <w:p w14:paraId="537571AF" w14:textId="1B84BBA1" w:rsidR="00CD33A8" w:rsidRPr="0071652A" w:rsidRDefault="00CD33A8" w:rsidP="00CD33A8">
      <w:pPr>
        <w:tabs>
          <w:tab w:val="left" w:pos="6540"/>
        </w:tabs>
        <w:spacing w:line="360" w:lineRule="auto"/>
        <w:rPr>
          <w:rFonts w:ascii="Arial" w:hAnsi="Arial" w:cs="Arial"/>
          <w:sz w:val="28"/>
          <w:szCs w:val="28"/>
        </w:rPr>
      </w:pPr>
      <w:r w:rsidRPr="0071652A">
        <w:rPr>
          <w:rFonts w:ascii="Arial" w:hAnsi="Arial" w:cs="Arial"/>
          <w:b/>
          <w:bCs/>
          <w:sz w:val="28"/>
          <w:szCs w:val="28"/>
        </w:rPr>
        <w:t>Module code</w:t>
      </w:r>
      <w:r w:rsidRPr="0071652A">
        <w:rPr>
          <w:rFonts w:ascii="Arial" w:hAnsi="Arial" w:cs="Arial"/>
          <w:sz w:val="28"/>
          <w:szCs w:val="28"/>
        </w:rPr>
        <w:t>:</w:t>
      </w:r>
      <w:r w:rsidR="009B48DE" w:rsidRPr="0071652A">
        <w:rPr>
          <w:rFonts w:ascii="Arial" w:hAnsi="Arial" w:cs="Arial"/>
          <w:sz w:val="28"/>
          <w:szCs w:val="28"/>
        </w:rPr>
        <w:t xml:space="preserve"> LCHS4003</w:t>
      </w:r>
    </w:p>
    <w:p w14:paraId="529D7354" w14:textId="77777777" w:rsidR="00CD33A8" w:rsidRPr="0071652A" w:rsidRDefault="00CD33A8" w:rsidP="00CD33A8">
      <w:pPr>
        <w:tabs>
          <w:tab w:val="left" w:pos="6540"/>
        </w:tabs>
        <w:spacing w:line="360" w:lineRule="auto"/>
        <w:rPr>
          <w:rFonts w:ascii="Arial" w:hAnsi="Arial" w:cs="Arial"/>
          <w:b/>
          <w:bCs/>
          <w:sz w:val="28"/>
          <w:szCs w:val="28"/>
          <w:lang w:val="nl-NL"/>
        </w:rPr>
      </w:pPr>
    </w:p>
    <w:p w14:paraId="0A48766D" w14:textId="628C647D" w:rsidR="00074402" w:rsidRPr="0071652A" w:rsidRDefault="00074402" w:rsidP="00CD33A8">
      <w:pPr>
        <w:tabs>
          <w:tab w:val="left" w:pos="6540"/>
        </w:tabs>
        <w:spacing w:line="360" w:lineRule="auto"/>
        <w:rPr>
          <w:rFonts w:ascii="Arial" w:hAnsi="Arial" w:cs="Arial"/>
          <w:sz w:val="28"/>
          <w:szCs w:val="28"/>
          <w:lang w:val="nl-NL"/>
        </w:rPr>
      </w:pPr>
      <w:r w:rsidRPr="0071652A">
        <w:rPr>
          <w:rFonts w:ascii="Arial" w:hAnsi="Arial" w:cs="Arial"/>
          <w:b/>
          <w:bCs/>
          <w:sz w:val="28"/>
          <w:szCs w:val="28"/>
          <w:lang w:val="nl-NL"/>
        </w:rPr>
        <w:t>Student name</w:t>
      </w:r>
      <w:r w:rsidRPr="0071652A">
        <w:rPr>
          <w:rFonts w:ascii="Arial" w:hAnsi="Arial" w:cs="Arial"/>
          <w:sz w:val="28"/>
          <w:szCs w:val="28"/>
          <w:lang w:val="nl-NL"/>
        </w:rPr>
        <w:t>:</w:t>
      </w:r>
      <w:r w:rsidR="00CC53F3" w:rsidRPr="0071652A">
        <w:rPr>
          <w:rFonts w:ascii="Arial" w:hAnsi="Arial" w:cs="Arial"/>
          <w:sz w:val="28"/>
          <w:szCs w:val="28"/>
          <w:lang w:val="nl-NL"/>
        </w:rPr>
        <w:t xml:space="preserve"> Liudmyla Holoporova</w:t>
      </w:r>
    </w:p>
    <w:p w14:paraId="39AA4413" w14:textId="26CC2854" w:rsidR="00074402" w:rsidRPr="0071652A" w:rsidRDefault="00074402" w:rsidP="00CD33A8">
      <w:pPr>
        <w:tabs>
          <w:tab w:val="left" w:pos="6540"/>
        </w:tabs>
        <w:spacing w:line="360" w:lineRule="auto"/>
        <w:rPr>
          <w:rFonts w:ascii="Arial" w:hAnsi="Arial" w:cs="Arial"/>
          <w:sz w:val="28"/>
          <w:szCs w:val="28"/>
          <w:lang w:val="nl-NL"/>
        </w:rPr>
      </w:pPr>
      <w:r w:rsidRPr="0071652A">
        <w:rPr>
          <w:rFonts w:ascii="Arial" w:hAnsi="Arial" w:cs="Arial"/>
          <w:b/>
          <w:bCs/>
          <w:sz w:val="28"/>
          <w:szCs w:val="28"/>
          <w:lang w:val="nl-NL"/>
        </w:rPr>
        <w:t>Student ID</w:t>
      </w:r>
      <w:r w:rsidRPr="0071652A">
        <w:rPr>
          <w:rFonts w:ascii="Arial" w:hAnsi="Arial" w:cs="Arial"/>
          <w:sz w:val="28"/>
          <w:szCs w:val="28"/>
          <w:lang w:val="nl-NL"/>
        </w:rPr>
        <w:t>:</w:t>
      </w:r>
      <w:r w:rsidR="009B48DE" w:rsidRPr="0071652A">
        <w:rPr>
          <w:rFonts w:ascii="Arial" w:hAnsi="Arial" w:cs="Arial"/>
          <w:sz w:val="28"/>
          <w:szCs w:val="28"/>
          <w:lang w:val="nl-NL"/>
        </w:rPr>
        <w:t xml:space="preserve"> 2510891</w:t>
      </w:r>
    </w:p>
    <w:p w14:paraId="5E81F6AD" w14:textId="77777777" w:rsidR="00074402" w:rsidRPr="0071652A" w:rsidRDefault="00074402" w:rsidP="00CD33A8">
      <w:pPr>
        <w:tabs>
          <w:tab w:val="left" w:pos="6540"/>
        </w:tabs>
        <w:spacing w:line="360" w:lineRule="auto"/>
        <w:rPr>
          <w:rFonts w:ascii="Arial" w:hAnsi="Arial" w:cs="Arial"/>
          <w:sz w:val="28"/>
          <w:szCs w:val="28"/>
          <w:lang w:val="nl-NL"/>
        </w:rPr>
      </w:pPr>
    </w:p>
    <w:p w14:paraId="1A0B2D2B" w14:textId="6AC31491" w:rsidR="00074402" w:rsidRPr="0071652A" w:rsidRDefault="008E3943" w:rsidP="00CD33A8">
      <w:pPr>
        <w:tabs>
          <w:tab w:val="left" w:pos="6540"/>
        </w:tabs>
        <w:spacing w:line="360" w:lineRule="auto"/>
        <w:rPr>
          <w:rFonts w:ascii="Arial" w:hAnsi="Arial" w:cs="Arial"/>
          <w:sz w:val="28"/>
          <w:szCs w:val="28"/>
        </w:rPr>
      </w:pPr>
      <w:r w:rsidRPr="0071652A">
        <w:rPr>
          <w:rFonts w:ascii="Arial" w:hAnsi="Arial" w:cs="Arial"/>
          <w:b/>
          <w:bCs/>
          <w:sz w:val="28"/>
          <w:szCs w:val="28"/>
        </w:rPr>
        <w:t>Lecturer’s name</w:t>
      </w:r>
      <w:r w:rsidR="00074402" w:rsidRPr="0071652A">
        <w:rPr>
          <w:rFonts w:ascii="Arial" w:hAnsi="Arial" w:cs="Arial"/>
          <w:sz w:val="28"/>
          <w:szCs w:val="28"/>
        </w:rPr>
        <w:t>:</w:t>
      </w:r>
      <w:r w:rsidR="00CC53F3" w:rsidRPr="0071652A">
        <w:rPr>
          <w:rFonts w:ascii="Arial" w:hAnsi="Arial" w:cs="Arial"/>
          <w:sz w:val="28"/>
          <w:szCs w:val="28"/>
        </w:rPr>
        <w:t xml:space="preserve"> </w:t>
      </w:r>
      <w:r w:rsidR="009B48DE" w:rsidRPr="0071652A">
        <w:rPr>
          <w:rFonts w:ascii="Arial" w:hAnsi="Arial" w:cs="Arial"/>
          <w:sz w:val="28"/>
          <w:szCs w:val="28"/>
        </w:rPr>
        <w:t>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021F85" w:rsidRDefault="00B87E75" w:rsidP="00021F85">
      <w:pPr>
        <w:rPr>
          <w:rFonts w:ascii="Arial" w:hAnsi="Arial" w:cs="Arial"/>
          <w:b/>
          <w:bCs/>
          <w:sz w:val="22"/>
        </w:rPr>
      </w:pPr>
      <w:r w:rsidRPr="00021F85">
        <w:rPr>
          <w:rFonts w:ascii="Arial" w:hAnsi="Arial" w:cs="Arial"/>
          <w:b/>
          <w:bCs/>
          <w:sz w:val="22"/>
        </w:rPr>
        <w:lastRenderedPageBreak/>
        <w:t>Table of contents</w:t>
      </w:r>
    </w:p>
    <w:p w14:paraId="3F41EFE6" w14:textId="77777777" w:rsidR="00C00CE5" w:rsidRPr="00021F85" w:rsidRDefault="00C00CE5" w:rsidP="00021F85">
      <w:pPr>
        <w:rPr>
          <w:rFonts w:ascii="Arial" w:hAnsi="Arial" w:cs="Arial"/>
          <w:sz w:val="22"/>
        </w:rPr>
      </w:pPr>
    </w:p>
    <w:p w14:paraId="52788DD3" w14:textId="22B63DF1" w:rsidR="00C00CE5" w:rsidRPr="00021F85" w:rsidRDefault="00C00CE5" w:rsidP="00021F85">
      <w:pPr>
        <w:rPr>
          <w:rFonts w:ascii="Arial" w:hAnsi="Arial" w:cs="Arial"/>
          <w:sz w:val="22"/>
        </w:rPr>
      </w:pPr>
      <w:r w:rsidRPr="00021F85">
        <w:rPr>
          <w:rFonts w:ascii="Arial" w:hAnsi="Arial" w:cs="Arial"/>
          <w:sz w:val="22"/>
        </w:rPr>
        <w:t>Introduction .....................................................................................</w:t>
      </w:r>
      <w:r w:rsidR="00EC0BEF" w:rsidRPr="00021F85">
        <w:rPr>
          <w:rFonts w:ascii="Arial" w:hAnsi="Arial" w:cs="Arial"/>
          <w:sz w:val="22"/>
        </w:rPr>
        <w:t>3</w:t>
      </w:r>
    </w:p>
    <w:p w14:paraId="75E5A979" w14:textId="0C58B46A" w:rsidR="00C00CE5" w:rsidRPr="00021F85" w:rsidRDefault="00C00CE5" w:rsidP="00021F85">
      <w:pPr>
        <w:rPr>
          <w:rFonts w:ascii="Arial" w:hAnsi="Arial" w:cs="Arial"/>
          <w:sz w:val="22"/>
        </w:rPr>
      </w:pPr>
      <w:r w:rsidRPr="00021F85">
        <w:rPr>
          <w:rFonts w:ascii="Arial" w:hAnsi="Arial" w:cs="Arial"/>
          <w:sz w:val="22"/>
        </w:rPr>
        <w:t xml:space="preserve">​Importance of effective communication ......................................... </w:t>
      </w:r>
      <w:r w:rsidR="00EC0BEF" w:rsidRPr="00021F85">
        <w:rPr>
          <w:rFonts w:ascii="Arial" w:hAnsi="Arial" w:cs="Arial"/>
          <w:sz w:val="22"/>
        </w:rPr>
        <w:t>3</w:t>
      </w:r>
    </w:p>
    <w:p w14:paraId="06A36E49" w14:textId="7663A097" w:rsidR="00C00CE5" w:rsidRPr="00021F85" w:rsidRDefault="00C00CE5" w:rsidP="00021F85">
      <w:pPr>
        <w:rPr>
          <w:rFonts w:ascii="Arial" w:hAnsi="Arial" w:cs="Arial"/>
          <w:sz w:val="22"/>
        </w:rPr>
      </w:pPr>
      <w:r w:rsidRPr="00021F85">
        <w:rPr>
          <w:rFonts w:ascii="Arial" w:hAnsi="Arial" w:cs="Arial"/>
          <w:sz w:val="22"/>
        </w:rPr>
        <w:t>​Importance of good administrative skills ........................................4</w:t>
      </w:r>
    </w:p>
    <w:p w14:paraId="46CAAC94" w14:textId="2C9DF155" w:rsidR="00C00CE5" w:rsidRPr="00021F85" w:rsidRDefault="00C00CE5" w:rsidP="00021F85">
      <w:pPr>
        <w:rPr>
          <w:rFonts w:ascii="Arial" w:hAnsi="Arial" w:cs="Arial"/>
          <w:sz w:val="22"/>
        </w:rPr>
      </w:pPr>
      <w:r w:rsidRPr="00021F85">
        <w:rPr>
          <w:rFonts w:ascii="Arial" w:hAnsi="Arial" w:cs="Arial"/>
          <w:sz w:val="22"/>
        </w:rPr>
        <w:t>​Importance of working collaboratively ............................................</w:t>
      </w:r>
      <w:r w:rsidR="00EC0BEF" w:rsidRPr="00021F85">
        <w:rPr>
          <w:rFonts w:ascii="Arial" w:hAnsi="Arial" w:cs="Arial"/>
          <w:sz w:val="22"/>
        </w:rPr>
        <w:t>4</w:t>
      </w:r>
    </w:p>
    <w:p w14:paraId="684B7D3C" w14:textId="1E438424" w:rsidR="00C00CE5" w:rsidRPr="00021F85" w:rsidRDefault="00C00CE5" w:rsidP="00021F85">
      <w:pPr>
        <w:rPr>
          <w:rFonts w:ascii="Arial" w:hAnsi="Arial" w:cs="Arial"/>
          <w:sz w:val="22"/>
        </w:rPr>
      </w:pPr>
      <w:r w:rsidRPr="00021F85">
        <w:rPr>
          <w:rFonts w:ascii="Arial" w:hAnsi="Arial" w:cs="Arial"/>
          <w:sz w:val="22"/>
        </w:rPr>
        <w:t>​Conclusion .....................................................................................</w:t>
      </w:r>
      <w:r w:rsidR="00EC0BEF" w:rsidRPr="00021F85">
        <w:rPr>
          <w:rFonts w:ascii="Arial" w:hAnsi="Arial" w:cs="Arial"/>
          <w:sz w:val="22"/>
        </w:rPr>
        <w:t>5</w:t>
      </w:r>
    </w:p>
    <w:p w14:paraId="13E00080" w14:textId="42885F68" w:rsidR="00B87E75" w:rsidRPr="00021F85" w:rsidRDefault="00C00CE5" w:rsidP="00021F85">
      <w:pPr>
        <w:rPr>
          <w:rFonts w:ascii="Arial" w:hAnsi="Arial" w:cs="Arial"/>
          <w:sz w:val="22"/>
        </w:rPr>
      </w:pPr>
      <w:r w:rsidRPr="00021F85">
        <w:rPr>
          <w:rFonts w:ascii="Arial" w:hAnsi="Arial" w:cs="Arial"/>
          <w:sz w:val="22"/>
        </w:rPr>
        <w:t>​References .....................................................................................</w:t>
      </w:r>
      <w:r w:rsidR="00EC0BEF" w:rsidRPr="00021F85">
        <w:rPr>
          <w:rFonts w:ascii="Arial" w:hAnsi="Arial" w:cs="Arial"/>
          <w:sz w:val="22"/>
        </w:rPr>
        <w:t>7</w:t>
      </w:r>
    </w:p>
    <w:p w14:paraId="2E79F7ED" w14:textId="182913C0" w:rsidR="00B87E75" w:rsidRPr="00021F85" w:rsidRDefault="00B87E75" w:rsidP="00021F85">
      <w:pPr>
        <w:rPr>
          <w:rFonts w:ascii="Arial" w:hAnsi="Arial" w:cs="Arial"/>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436FFF41" w:rsidR="00B87E75" w:rsidRPr="00912A8E" w:rsidRDefault="00B87E75" w:rsidP="00021F85">
      <w:pPr>
        <w:spacing w:line="360" w:lineRule="auto"/>
        <w:rPr>
          <w:rFonts w:ascii="Arial" w:hAnsi="Arial" w:cs="Arial"/>
          <w:b/>
          <w:bCs/>
          <w:color w:val="000000" w:themeColor="text1"/>
          <w:sz w:val="22"/>
        </w:rPr>
      </w:pPr>
      <w:r w:rsidRPr="00912A8E">
        <w:rPr>
          <w:rFonts w:ascii="Arial" w:hAnsi="Arial" w:cs="Arial"/>
          <w:b/>
          <w:bCs/>
          <w:color w:val="000000" w:themeColor="text1"/>
          <w:sz w:val="22"/>
        </w:rPr>
        <w:lastRenderedPageBreak/>
        <w:t>1. Introduction</w:t>
      </w:r>
      <w:r w:rsidR="00CC53F3" w:rsidRPr="00912A8E">
        <w:rPr>
          <w:rFonts w:ascii="Arial" w:hAnsi="Arial" w:cs="Arial"/>
          <w:b/>
          <w:bCs/>
          <w:color w:val="000000" w:themeColor="text1"/>
          <w:sz w:val="22"/>
        </w:rPr>
        <w:t xml:space="preserve"> </w:t>
      </w:r>
    </w:p>
    <w:p w14:paraId="37C1EEA8" w14:textId="77777777" w:rsidR="00EE0C7F" w:rsidRPr="00982509" w:rsidRDefault="00EE0C7F" w:rsidP="00021F85">
      <w:pPr>
        <w:spacing w:line="360" w:lineRule="auto"/>
        <w:rPr>
          <w:rFonts w:ascii="Arial" w:hAnsi="Arial" w:cs="Arial"/>
          <w:sz w:val="22"/>
        </w:rPr>
      </w:pPr>
      <w:r w:rsidRPr="00982509">
        <w:rPr>
          <w:rFonts w:ascii="Arial" w:hAnsi="Arial" w:cs="Arial"/>
          <w:sz w:val="22"/>
        </w:rPr>
        <w:t>This report offers a detailed evaluation of the support required by Mr Ahmed, a 68-year-old service user who is recovering at home after a stroke. The investigation focuses on the various challenges present in his case, such as physical impairments, language obstacles due to his native Bengali, and a recent clinical failure involving a missed visit and subsequent medication error.</w:t>
      </w:r>
    </w:p>
    <w:p w14:paraId="25ED862A" w14:textId="788D4F1D" w:rsidR="00EE0C7F" w:rsidRPr="00982509" w:rsidRDefault="00EE0C7F" w:rsidP="00021F85">
      <w:pPr>
        <w:spacing w:line="360" w:lineRule="auto"/>
        <w:rPr>
          <w:rFonts w:ascii="Arial" w:hAnsi="Arial" w:cs="Arial"/>
          <w:sz w:val="22"/>
        </w:rPr>
      </w:pPr>
      <w:r w:rsidRPr="00982509">
        <w:rPr>
          <w:rFonts w:ascii="Arial" w:hAnsi="Arial" w:cs="Arial"/>
          <w:sz w:val="22"/>
        </w:rPr>
        <w:t>The objective of this work is to analyse the vital importance of high-quality communication and administrative efficiency in the health and social care industry. This assignment will further investigate the impact of key legislative measures, such as the Equality Act 2010 and the Data Protection Act 2018, on ensuring patient protection and rights. Additionally, the report highlights the critical need for effective multi-agency collaboration among professionals, including general practitioners, nurses, and support workers. Ultimately, this analysis seeks to show how coordinated professional efforts can enhance care quality and minimi</w:t>
      </w:r>
      <w:r w:rsidR="00912A8E">
        <w:rPr>
          <w:rFonts w:ascii="Arial" w:hAnsi="Arial" w:cs="Arial"/>
          <w:sz w:val="22"/>
        </w:rPr>
        <w:t>s</w:t>
      </w:r>
      <w:r w:rsidRPr="00982509">
        <w:rPr>
          <w:rFonts w:ascii="Arial" w:hAnsi="Arial" w:cs="Arial"/>
          <w:sz w:val="22"/>
        </w:rPr>
        <w:t xml:space="preserve">e risks to service users. </w:t>
      </w:r>
    </w:p>
    <w:p w14:paraId="73B07562" w14:textId="219DDD59" w:rsidR="008E3943" w:rsidRPr="007A13CB" w:rsidRDefault="0026393A" w:rsidP="00021F85">
      <w:pPr>
        <w:spacing w:line="360" w:lineRule="auto"/>
        <w:rPr>
          <w:rFonts w:ascii="Arial" w:hAnsi="Arial" w:cs="Arial"/>
          <w:b/>
          <w:bCs/>
          <w:color w:val="000000" w:themeColor="text1"/>
          <w:sz w:val="22"/>
        </w:rPr>
      </w:pPr>
      <w:r w:rsidRPr="007A13CB">
        <w:rPr>
          <w:rFonts w:ascii="Arial" w:hAnsi="Arial" w:cs="Arial"/>
          <w:b/>
          <w:bCs/>
          <w:color w:val="000000" w:themeColor="text1"/>
          <w:sz w:val="22"/>
        </w:rPr>
        <w:t xml:space="preserve">2. </w:t>
      </w:r>
      <w:r w:rsidR="008E3943" w:rsidRPr="007A13CB">
        <w:rPr>
          <w:rFonts w:ascii="Arial" w:hAnsi="Arial" w:cs="Arial"/>
          <w:b/>
          <w:bCs/>
          <w:color w:val="000000" w:themeColor="text1"/>
          <w:sz w:val="22"/>
        </w:rPr>
        <w:t>Importance of effective communication</w:t>
      </w:r>
      <w:r w:rsidR="00CC53F3" w:rsidRPr="007A13CB">
        <w:rPr>
          <w:rFonts w:ascii="Arial" w:hAnsi="Arial" w:cs="Arial"/>
          <w:b/>
          <w:bCs/>
          <w:color w:val="000000" w:themeColor="text1"/>
          <w:sz w:val="22"/>
        </w:rPr>
        <w:t xml:space="preserve"> </w:t>
      </w:r>
    </w:p>
    <w:p w14:paraId="20AA9844" w14:textId="77777777" w:rsidR="007B3A38" w:rsidRPr="00982509" w:rsidRDefault="007B3A38" w:rsidP="00021F85">
      <w:pPr>
        <w:spacing w:line="360" w:lineRule="auto"/>
        <w:rPr>
          <w:rFonts w:ascii="Arial" w:hAnsi="Arial" w:cs="Arial"/>
          <w:sz w:val="22"/>
        </w:rPr>
      </w:pPr>
      <w:r w:rsidRPr="00982509">
        <w:rPr>
          <w:rFonts w:ascii="Arial" w:hAnsi="Arial" w:cs="Arial"/>
          <w:sz w:val="22"/>
        </w:rPr>
        <w:t>​Quality communication is a fundamental element of professional care, particularly when assisting patients with intricate requirements following a stroke. In Mr Ahmed’s situation, interaction is not only a social necessity but a critical factor in ensuring clinical safety and individualised support. Under the Equality Act 2010, healthcare institutions are legally obligated to prevent discrimination based on protected characteristics, such as age and disability. For Mr Ahmed, this means care providers must implement 'reasonable adjustments', which include presenting medical information in an accessible format and arranging professional translation services to bridge the gap caused by his Bengali language background. According to Moss (2020), communication in health and social care must be adaptive; it is not merely about the transmission of words but about ensuring the message is received and understood within the patient’s cultural and linguistic context.</w:t>
      </w:r>
    </w:p>
    <w:p w14:paraId="4BA01DC1" w14:textId="5E9F2C97" w:rsidR="007B3A38" w:rsidRPr="00982509" w:rsidRDefault="007B3A38" w:rsidP="00021F85">
      <w:pPr>
        <w:spacing w:line="360" w:lineRule="auto"/>
        <w:rPr>
          <w:rFonts w:ascii="Arial" w:hAnsi="Arial" w:cs="Arial"/>
          <w:sz w:val="22"/>
        </w:rPr>
      </w:pPr>
      <w:r w:rsidRPr="00982509">
        <w:rPr>
          <w:rFonts w:ascii="Arial" w:hAnsi="Arial" w:cs="Arial"/>
          <w:sz w:val="22"/>
        </w:rPr>
        <w:t xml:space="preserve">To better understand these dynamics, Schramm’s Model of Communication can be utilised to examine the exchange between the practitioner and the service user. This theoretical framework highlights the processes of encoding and decoding information. In this specific case study, the transmission of vital information (such as medication instructions) is hindered because Mr Ahmed and the staff may not share a common 'field of experience' due to linguistic differences and post-stroke cognitive changes. This lack of overlap in their fields of experience means that even simple instructions can be distorted, leading to profound misunderstandings. When a message is incorrectly decoded, the risk of serious errors increases, as demonstrated by the recent medication incident mentioned in the report. </w:t>
      </w:r>
      <w:r w:rsidRPr="00982509">
        <w:rPr>
          <w:rFonts w:ascii="Arial" w:hAnsi="Arial" w:cs="Arial"/>
          <w:sz w:val="22"/>
        </w:rPr>
        <w:lastRenderedPageBreak/>
        <w:t>Furthermore, Argyle’s communication cycle suggests that feedback is essential to confirm understanding; however, Mr Ahmed’s physical limitations post-stroke may prevent him from providing this crucial feedback, leaving care workers unaware of his confusion.</w:t>
      </w:r>
    </w:p>
    <w:p w14:paraId="58A23FAA" w14:textId="77777777" w:rsidR="007B3A38" w:rsidRPr="00982509" w:rsidRDefault="007B3A38" w:rsidP="00021F85">
      <w:pPr>
        <w:spacing w:line="360" w:lineRule="auto"/>
        <w:rPr>
          <w:rFonts w:ascii="Arial" w:hAnsi="Arial" w:cs="Arial"/>
          <w:sz w:val="22"/>
        </w:rPr>
      </w:pPr>
      <w:r w:rsidRPr="00982509">
        <w:rPr>
          <w:rFonts w:ascii="Arial" w:hAnsi="Arial" w:cs="Arial"/>
          <w:sz w:val="22"/>
        </w:rPr>
        <w:t>​While the involvement of Mr Ahmed’s wife is beneficial, professional standards suggest that relying primarily on relatives for interpretation may compromise clinical accuracy and patient confidentiality. Instead, a collaborative approach involving a Speech and Language Therapist (SLT) is necessary to develop specialised strategies for non-verbal and verbal expression. The SLT plays a pivotal role in the multidisciplinary team by identifying specific physiological barriers to speech and recommending alternative communication methods. Implementing inclusive tools, such as visual aids or communication boards, ensures that the patient remains an active participant in his own care planning. Such person-centred tools empower the service user, aligning with the ethical requirement to uphold autonomy even when verbal communication is compromised.</w:t>
      </w:r>
    </w:p>
    <w:p w14:paraId="09F4EBFC" w14:textId="77777777" w:rsidR="007B3A38" w:rsidRPr="00982509" w:rsidRDefault="007B3A38" w:rsidP="00021F85">
      <w:pPr>
        <w:spacing w:line="360" w:lineRule="auto"/>
        <w:rPr>
          <w:rFonts w:ascii="Arial" w:hAnsi="Arial" w:cs="Arial"/>
          <w:sz w:val="22"/>
        </w:rPr>
      </w:pPr>
      <w:r w:rsidRPr="00982509">
        <w:rPr>
          <w:rFonts w:ascii="Arial" w:hAnsi="Arial" w:cs="Arial"/>
          <w:sz w:val="22"/>
        </w:rPr>
        <w:t>​In summary, maintaining high standards of communication is vital for protecting the dignity and independence of service users. By fulfilling the requirements of the Equality Act 2010 and using established communication models to navigate barriers, care professionals can foster a safe and supportive environment that focuses on the patient's holistic well-being. Ultimately, effective communication serves as the primary safeguard against the isolation and neglect that vulnerable service users like Mr Ahmed might otherwise face.</w:t>
      </w:r>
    </w:p>
    <w:p w14:paraId="60B2CDC3" w14:textId="61F2EB69" w:rsidR="00B87E75" w:rsidRPr="007A13CB" w:rsidRDefault="0026393A" w:rsidP="00021F85">
      <w:pPr>
        <w:spacing w:line="360" w:lineRule="auto"/>
        <w:rPr>
          <w:rFonts w:ascii="Arial" w:hAnsi="Arial" w:cs="Arial"/>
          <w:b/>
          <w:bCs/>
          <w:color w:val="000000" w:themeColor="text1"/>
          <w:sz w:val="22"/>
        </w:rPr>
      </w:pPr>
      <w:r w:rsidRPr="007A13CB">
        <w:rPr>
          <w:rFonts w:ascii="Arial" w:hAnsi="Arial" w:cs="Arial"/>
          <w:b/>
          <w:bCs/>
          <w:color w:val="000000" w:themeColor="text1"/>
          <w:sz w:val="22"/>
        </w:rPr>
        <w:t>3</w:t>
      </w:r>
      <w:r w:rsidR="00B87E75" w:rsidRPr="007A13CB">
        <w:rPr>
          <w:rFonts w:ascii="Arial" w:hAnsi="Arial" w:cs="Arial"/>
          <w:b/>
          <w:bCs/>
          <w:color w:val="000000" w:themeColor="text1"/>
          <w:sz w:val="22"/>
        </w:rPr>
        <w:t>.</w:t>
      </w:r>
      <w:r w:rsidR="008E3943" w:rsidRPr="007A13CB">
        <w:rPr>
          <w:rFonts w:ascii="Arial" w:hAnsi="Arial" w:cs="Arial"/>
          <w:b/>
          <w:bCs/>
          <w:color w:val="000000" w:themeColor="text1"/>
          <w:sz w:val="22"/>
        </w:rPr>
        <w:t xml:space="preserve"> </w:t>
      </w:r>
      <w:r w:rsidR="00982509" w:rsidRPr="007A13CB">
        <w:rPr>
          <w:rFonts w:ascii="Arial" w:hAnsi="Arial" w:cs="Arial"/>
          <w:b/>
          <w:bCs/>
          <w:color w:val="000000" w:themeColor="text1"/>
          <w:sz w:val="22"/>
        </w:rPr>
        <w:t xml:space="preserve">Importance of good administrative skills within professional practice </w:t>
      </w:r>
    </w:p>
    <w:p w14:paraId="0F1A6C7D" w14:textId="697F09A5" w:rsidR="00982509" w:rsidRPr="00982509" w:rsidRDefault="007B3A38" w:rsidP="00982509">
      <w:pPr>
        <w:spacing w:line="360" w:lineRule="auto"/>
        <w:rPr>
          <w:rFonts w:ascii="Arial" w:hAnsi="Arial" w:cs="Arial"/>
          <w:sz w:val="22"/>
        </w:rPr>
      </w:pPr>
      <w:r w:rsidRPr="00982509">
        <w:rPr>
          <w:rFonts w:ascii="Arial" w:hAnsi="Arial" w:cs="Arial"/>
          <w:sz w:val="22"/>
        </w:rPr>
        <w:t>​</w:t>
      </w:r>
      <w:r w:rsidR="00982509" w:rsidRPr="00982509">
        <w:t xml:space="preserve"> </w:t>
      </w:r>
      <w:r w:rsidR="00982509" w:rsidRPr="00982509">
        <w:rPr>
          <w:rFonts w:ascii="Arial" w:hAnsi="Arial" w:cs="Arial"/>
          <w:sz w:val="22"/>
        </w:rPr>
        <w:t>​</w:t>
      </w:r>
      <w:r w:rsidR="00982509" w:rsidRPr="00982509">
        <w:t xml:space="preserve"> </w:t>
      </w:r>
      <w:r w:rsidR="00982509" w:rsidRPr="00982509">
        <w:rPr>
          <w:rFonts w:ascii="Arial" w:hAnsi="Arial" w:cs="Arial"/>
          <w:sz w:val="22"/>
        </w:rPr>
        <w:t>​Professional administrative skills and meticulous record-keeping are fundamental to ensuring the safety and continuity of care. In the health and social care sector, administration is not merely a secondary task but a core professional requirement that directly impacts clinical outcomes. The incident involving Mr Ahmed — where a missed home visit led to a medication error — serves as a critical example of how administrative failure can result in serious risks to a service user’s health. Administrative excellence involves the systematic organisation of schedules, the accurate processing of referrals, and the rigorous monitoring of service delivery to ensure no patient falls through the gaps of the care system.</w:t>
      </w:r>
    </w:p>
    <w:p w14:paraId="03C0B0A9" w14:textId="77777777" w:rsidR="00982509" w:rsidRPr="00982509" w:rsidRDefault="00982509" w:rsidP="00982509">
      <w:pPr>
        <w:spacing w:line="360" w:lineRule="auto"/>
        <w:rPr>
          <w:rFonts w:ascii="Arial" w:hAnsi="Arial" w:cs="Arial"/>
          <w:sz w:val="22"/>
        </w:rPr>
      </w:pPr>
      <w:r w:rsidRPr="00982509">
        <w:rPr>
          <w:rFonts w:ascii="Arial" w:hAnsi="Arial" w:cs="Arial"/>
          <w:sz w:val="22"/>
        </w:rPr>
        <w:t xml:space="preserve">​A primary legislative framework governing administrative practice is the Data Protection Act 2018, which incorporates the General Data Protection Regulation (GDPR). This legislation dictates that all personal data regarding Mr Ahmed’s health, treatment, and daily care must be handled with strict confidentiality, accuracy, and security. However, the law also emphasises that data must be accessible to authorised professionals to ensure safe care delivery. Inadequate data management not only breaches legal requirements but also </w:t>
      </w:r>
      <w:r w:rsidRPr="00982509">
        <w:rPr>
          <w:rFonts w:ascii="Arial" w:hAnsi="Arial" w:cs="Arial"/>
          <w:sz w:val="22"/>
        </w:rPr>
        <w:lastRenderedPageBreak/>
        <w:t>creates a fragmented view of the patient’s journey, hindering the ability of the multidisciplinary team to make informed decisions. In this case, if the information regarding Mr Ahmed’s prescribed medication and the schedule of his domiciliary visits had been accurately recorded and shared through a robust administrative system, the care agency would have been alerted to the missed visit immediately, allowing for a swift intervention.</w:t>
      </w:r>
    </w:p>
    <w:p w14:paraId="1245EE2F" w14:textId="77777777" w:rsidR="00982509" w:rsidRPr="00982509" w:rsidRDefault="00982509" w:rsidP="00982509">
      <w:pPr>
        <w:spacing w:line="360" w:lineRule="auto"/>
        <w:rPr>
          <w:rFonts w:ascii="Arial" w:hAnsi="Arial" w:cs="Arial"/>
          <w:sz w:val="22"/>
        </w:rPr>
      </w:pPr>
      <w:r w:rsidRPr="00982509">
        <w:rPr>
          <w:rFonts w:ascii="Arial" w:hAnsi="Arial" w:cs="Arial"/>
          <w:sz w:val="22"/>
        </w:rPr>
        <w:t>​Effective record-keeping is a legal and ethical necessity. According to the Care Quality Commission (CQC, 2023), Regulation 17 mandates that providers must maintain secure and contemporaneous records of the care provided to protect service users from harm. For Mr Ahmed, this includes documenting his blood pressure readings taken by the district nurse, his medication administration records (MAR charts), and the progress notes from his speech and language therapy. High-quality documentation ensures that every member of the multidisciplinary team has a "single version of the truth". When records are incomplete or communication between shifts is poor, the "chain of care" is broken. The medication error currently under investigation highlights a significant failure in this chain, suggesting that the administrative processes for monitoring visit completion and escalating non-attendance were fundamentally inadequate.</w:t>
      </w:r>
    </w:p>
    <w:p w14:paraId="6444FCF3" w14:textId="77777777" w:rsidR="00982509" w:rsidRDefault="00982509" w:rsidP="00982509">
      <w:pPr>
        <w:spacing w:line="360" w:lineRule="auto"/>
        <w:rPr>
          <w:rFonts w:ascii="Arial" w:hAnsi="Arial" w:cs="Arial"/>
          <w:sz w:val="22"/>
        </w:rPr>
      </w:pPr>
      <w:r w:rsidRPr="00982509">
        <w:rPr>
          <w:rFonts w:ascii="Arial" w:hAnsi="Arial" w:cs="Arial"/>
          <w:sz w:val="22"/>
        </w:rPr>
        <w:t>​Furthermore, good administrative practice involves the ability to report and escalate concerns through official channels. The fact that the incident with Mr Ahmed was reported and is now under investigation demonstrates a degree of professional accountability. However, proactive administration should aim for prevention rather than just reaction. Utilising digital care records or integrated management systems can minimise the risk of human error in scheduling and ensure that any "missed" event triggers an automatic alert to a supervisor, thereby ensuring immediate corrective action. Ultimately, by adhering to the Data Protection Act 2018 and maintaining rigorous record-keeping standards, professionals can provide a transparent, accountable, and, most importantly, safe environment for vulnerable individuals like Mr Ahmed.</w:t>
      </w:r>
    </w:p>
    <w:p w14:paraId="2C5648AC" w14:textId="6BEBD6D5" w:rsidR="002407C9" w:rsidRPr="0089784C" w:rsidRDefault="002407C9" w:rsidP="002407C9">
      <w:pPr>
        <w:spacing w:line="360" w:lineRule="auto"/>
        <w:rPr>
          <w:rFonts w:ascii="Arial" w:hAnsi="Arial" w:cs="Arial"/>
          <w:b/>
          <w:bCs/>
          <w:color w:val="000000" w:themeColor="text1"/>
          <w:sz w:val="22"/>
        </w:rPr>
      </w:pPr>
      <w:r w:rsidRPr="0089784C">
        <w:rPr>
          <w:rFonts w:ascii="Arial" w:hAnsi="Arial" w:cs="Arial"/>
          <w:b/>
          <w:bCs/>
          <w:color w:val="000000" w:themeColor="text1"/>
          <w:sz w:val="22"/>
        </w:rPr>
        <w:t xml:space="preserve">4. Importance of working collaboratively with other professionals </w:t>
      </w:r>
    </w:p>
    <w:p w14:paraId="052EB119" w14:textId="77777777" w:rsidR="002407C9" w:rsidRPr="002407C9" w:rsidRDefault="002407C9" w:rsidP="002407C9">
      <w:pPr>
        <w:spacing w:line="360" w:lineRule="auto"/>
        <w:rPr>
          <w:rFonts w:ascii="Arial" w:hAnsi="Arial" w:cs="Arial"/>
          <w:sz w:val="22"/>
        </w:rPr>
      </w:pPr>
      <w:r w:rsidRPr="002407C9">
        <w:rPr>
          <w:rFonts w:ascii="Arial" w:hAnsi="Arial" w:cs="Arial"/>
          <w:sz w:val="22"/>
        </w:rPr>
        <w:t>​Collaborative practice, often termed multidisciplinary team (MDT) working, is vital for addressing the complex needs of individuals like Mr Ahmed. Following a stroke, a patient’s recovery relies on the seamless integration of services from the GP, district nurse, speech and language therapist (SLT), and domiciliary care workers. According to Thomas, Pollard, and Sellman (2014), interprofessional working is essential to ensure that health and social requirements are met through a unified, holistic strategy. The goal is to address physical, linguistic, and social needs simultaneously rather than in isolation.</w:t>
      </w:r>
    </w:p>
    <w:p w14:paraId="6B4CD1EA" w14:textId="77777777" w:rsidR="002407C9" w:rsidRPr="002407C9" w:rsidRDefault="002407C9" w:rsidP="002407C9">
      <w:pPr>
        <w:spacing w:line="360" w:lineRule="auto"/>
        <w:rPr>
          <w:rFonts w:ascii="Arial" w:hAnsi="Arial" w:cs="Arial"/>
          <w:sz w:val="22"/>
        </w:rPr>
      </w:pPr>
      <w:r w:rsidRPr="002407C9">
        <w:rPr>
          <w:rFonts w:ascii="Arial" w:hAnsi="Arial" w:cs="Arial"/>
          <w:sz w:val="22"/>
        </w:rPr>
        <w:lastRenderedPageBreak/>
        <w:t>​In Mr Ahmed’s case, effective collaboration is critical for clinical safety. For example, the district nurse must communicate blood pressure fluctuations to the GP for medication reviews. Simultaneously, the SLT’s assessment of communication difficulties must be shared with care workers to ensure daily interactions are supportive. When professionals work in silos, information gaps occur, as evidenced by the missed home visit and subsequent medication error. This incident suggests a breakdown in the "integrated care pathway," where the care agency failed to synchronise scheduling with wider multidisciplinary requirements. The Department of Health and Social Care (2021) emphasises that integrated care is vital to prevent such adverse events and improve service user experience.</w:t>
      </w:r>
    </w:p>
    <w:p w14:paraId="233D5305" w14:textId="77777777" w:rsidR="002407C9" w:rsidRDefault="002407C9" w:rsidP="002407C9">
      <w:pPr>
        <w:spacing w:line="360" w:lineRule="auto"/>
        <w:rPr>
          <w:rFonts w:ascii="Arial" w:hAnsi="Arial" w:cs="Arial"/>
          <w:sz w:val="22"/>
        </w:rPr>
      </w:pPr>
      <w:r w:rsidRPr="002407C9">
        <w:rPr>
          <w:rFonts w:ascii="Arial" w:hAnsi="Arial" w:cs="Arial"/>
          <w:sz w:val="22"/>
        </w:rPr>
        <w:t>​To foster collaboration, regular MDT meetings should be utilised to pool expertise and co-produce care plans. Establishing clear protocols for "handover" periods further ensures that vital information is maintained during staff rotations. By fostering a culture of mutual respect and open communication, the team ensures that the service user remains safe and supported by a unified strategy. Ultimately, partnership working reduces clinical errors and ensures that Mr Ahmed receives the correct support at the right time.</w:t>
      </w:r>
    </w:p>
    <w:p w14:paraId="16FAF0EA" w14:textId="03898A42" w:rsidR="00B87E75" w:rsidRPr="0089784C" w:rsidRDefault="008E3943" w:rsidP="002407C9">
      <w:pPr>
        <w:spacing w:line="360" w:lineRule="auto"/>
        <w:rPr>
          <w:rFonts w:ascii="Arial" w:hAnsi="Arial" w:cs="Arial"/>
          <w:b/>
          <w:bCs/>
          <w:color w:val="000000" w:themeColor="text1"/>
          <w:sz w:val="22"/>
        </w:rPr>
      </w:pPr>
      <w:r w:rsidRPr="0089784C">
        <w:rPr>
          <w:rFonts w:ascii="Arial" w:hAnsi="Arial" w:cs="Arial"/>
          <w:b/>
          <w:bCs/>
          <w:color w:val="000000" w:themeColor="text1"/>
          <w:sz w:val="22"/>
        </w:rPr>
        <w:t>5</w:t>
      </w:r>
      <w:r w:rsidR="00B87E75" w:rsidRPr="0089784C">
        <w:rPr>
          <w:rFonts w:ascii="Arial" w:hAnsi="Arial" w:cs="Arial"/>
          <w:b/>
          <w:bCs/>
          <w:color w:val="000000" w:themeColor="text1"/>
          <w:sz w:val="22"/>
        </w:rPr>
        <w:t>. Conclusion</w:t>
      </w:r>
      <w:r w:rsidR="00CD33A8" w:rsidRPr="0089784C">
        <w:rPr>
          <w:rFonts w:ascii="Arial" w:hAnsi="Arial" w:cs="Arial"/>
          <w:b/>
          <w:bCs/>
          <w:color w:val="000000" w:themeColor="text1"/>
          <w:sz w:val="22"/>
        </w:rPr>
        <w:t xml:space="preserve"> </w:t>
      </w:r>
    </w:p>
    <w:p w14:paraId="450437CB" w14:textId="77777777" w:rsidR="002407C9" w:rsidRPr="002407C9" w:rsidRDefault="002407C9" w:rsidP="002407C9">
      <w:pPr>
        <w:spacing w:line="360" w:lineRule="auto"/>
        <w:rPr>
          <w:rFonts w:ascii="Arial" w:hAnsi="Arial" w:cs="Arial"/>
          <w:sz w:val="22"/>
        </w:rPr>
      </w:pPr>
      <w:r w:rsidRPr="002407C9">
        <w:rPr>
          <w:rFonts w:ascii="Arial" w:hAnsi="Arial" w:cs="Arial"/>
          <w:sz w:val="22"/>
        </w:rPr>
        <w:t>In conclusion, the case of Mr Ahmed underscores the vital necessity of integrating effective communication, rigorous administrative practices, and collaborative partnership working within health and social care. The identified challenges — ranging from linguistic barriers to administrative lapses leading to medication errors — highlight the risks when professional standards are not fully met.</w:t>
      </w:r>
    </w:p>
    <w:p w14:paraId="6812580D" w14:textId="4DDD5198" w:rsidR="0090040D" w:rsidRPr="00982509" w:rsidRDefault="002407C9" w:rsidP="002407C9">
      <w:pPr>
        <w:spacing w:line="360" w:lineRule="auto"/>
        <w:rPr>
          <w:rFonts w:ascii="Arial" w:hAnsi="Arial" w:cs="Arial"/>
          <w:sz w:val="22"/>
        </w:rPr>
      </w:pPr>
      <w:r w:rsidRPr="002407C9">
        <w:rPr>
          <w:rFonts w:ascii="Arial" w:hAnsi="Arial" w:cs="Arial"/>
          <w:sz w:val="22"/>
        </w:rPr>
        <w:t>​Adherence to legislative frameworks, such as the Equality Act 2010 and the Data Protection Act 2018, is a fundamental requirement for safeguarding patient rights and ensuring person-centred care. Furthermore, the clinical incident involving the missed home visit demonstrates that patient safety is inextricably linked to administrative accuracy and transparent communication within a multidisciplinary team. By fostering a culture of collaboration and utilising inclusive communication strategies, care providers can mitigate risks and ensure that individuals receive dignified, safe, and effective support. Ultimately, professional excellence in these areas is essential for delivering high-quality care that meets the complex needs of a diverse population.</w:t>
      </w:r>
    </w:p>
    <w:p w14:paraId="0A5B7FA1" w14:textId="77777777" w:rsidR="0071652A" w:rsidRDefault="0071652A" w:rsidP="00021F85">
      <w:pPr>
        <w:spacing w:line="360" w:lineRule="auto"/>
        <w:rPr>
          <w:rFonts w:ascii="Arial" w:hAnsi="Arial" w:cs="Arial"/>
          <w:sz w:val="22"/>
        </w:rPr>
      </w:pPr>
    </w:p>
    <w:p w14:paraId="5CFFB304" w14:textId="77777777" w:rsidR="0089784C" w:rsidRDefault="0089784C" w:rsidP="00021F85">
      <w:pPr>
        <w:spacing w:line="360" w:lineRule="auto"/>
        <w:rPr>
          <w:rFonts w:ascii="Arial" w:hAnsi="Arial" w:cs="Arial"/>
          <w:sz w:val="22"/>
        </w:rPr>
      </w:pPr>
    </w:p>
    <w:p w14:paraId="4B0DB1D8" w14:textId="77777777" w:rsidR="0089784C" w:rsidRDefault="0089784C" w:rsidP="00021F85">
      <w:pPr>
        <w:spacing w:line="360" w:lineRule="auto"/>
        <w:rPr>
          <w:rFonts w:ascii="Arial" w:hAnsi="Arial" w:cs="Arial"/>
          <w:sz w:val="22"/>
        </w:rPr>
      </w:pPr>
    </w:p>
    <w:p w14:paraId="33F8F0BD" w14:textId="58839591" w:rsidR="00B87E75" w:rsidRPr="0089784C" w:rsidRDefault="00B87E75" w:rsidP="00021F85">
      <w:pPr>
        <w:spacing w:line="360" w:lineRule="auto"/>
        <w:rPr>
          <w:rFonts w:ascii="Arial" w:eastAsiaTheme="majorEastAsia" w:hAnsi="Arial" w:cs="Arial"/>
          <w:b/>
          <w:bCs/>
          <w:sz w:val="22"/>
        </w:rPr>
      </w:pPr>
      <w:r w:rsidRPr="0089784C">
        <w:rPr>
          <w:rFonts w:ascii="Arial" w:hAnsi="Arial" w:cs="Arial"/>
          <w:b/>
          <w:bCs/>
          <w:sz w:val="22"/>
        </w:rPr>
        <w:lastRenderedPageBreak/>
        <w:t>References</w:t>
      </w:r>
    </w:p>
    <w:p w14:paraId="34AB2D01" w14:textId="77777777" w:rsidR="00EB4F6F" w:rsidRPr="00982509" w:rsidRDefault="00EB4F6F" w:rsidP="00021F85">
      <w:pPr>
        <w:spacing w:line="360" w:lineRule="auto"/>
        <w:rPr>
          <w:rFonts w:ascii="Arial" w:hAnsi="Arial" w:cs="Arial"/>
          <w:sz w:val="22"/>
        </w:rPr>
      </w:pPr>
      <w:r w:rsidRPr="00982509">
        <w:rPr>
          <w:rFonts w:ascii="Arial" w:hAnsi="Arial" w:cs="Arial"/>
          <w:sz w:val="22"/>
        </w:rPr>
        <w:t>Care Quality Commission (2023) Regulation 17: Good governance. Available at: https://www.cqc.org.uk/guidance-providers/regulations-enforcement/regulation-17-good-governance (Accessed: 16 April 2026).</w:t>
      </w:r>
    </w:p>
    <w:p w14:paraId="29FFB67B" w14:textId="77777777" w:rsidR="00EB4F6F" w:rsidRPr="00982509" w:rsidRDefault="00EB4F6F" w:rsidP="00021F85">
      <w:pPr>
        <w:spacing w:line="360" w:lineRule="auto"/>
        <w:rPr>
          <w:rFonts w:ascii="Arial" w:hAnsi="Arial" w:cs="Arial"/>
          <w:sz w:val="22"/>
        </w:rPr>
      </w:pPr>
      <w:r w:rsidRPr="00982509">
        <w:rPr>
          <w:rFonts w:ascii="Arial" w:hAnsi="Arial" w:cs="Arial"/>
          <w:sz w:val="22"/>
        </w:rPr>
        <w:t>​Data Protection Act 2018, c. 12. Available at: https://www.legislation.gov.uk/ukpga/2018/12/contents (Accessed: 16 April 2026).</w:t>
      </w:r>
    </w:p>
    <w:p w14:paraId="032B1622" w14:textId="34639A79" w:rsidR="00EB4F6F" w:rsidRPr="00982509" w:rsidRDefault="00EB4F6F" w:rsidP="00021F85">
      <w:pPr>
        <w:spacing w:line="360" w:lineRule="auto"/>
        <w:rPr>
          <w:rFonts w:ascii="Arial" w:hAnsi="Arial" w:cs="Arial"/>
          <w:sz w:val="22"/>
        </w:rPr>
      </w:pPr>
      <w:r w:rsidRPr="00982509">
        <w:rPr>
          <w:rFonts w:ascii="Arial" w:hAnsi="Arial" w:cs="Arial"/>
          <w:sz w:val="22"/>
        </w:rPr>
        <w:t>​Department of Health and Social Care (2021) Health and social care integration: joining up care for people, places and populations. London: HM Government.</w:t>
      </w:r>
    </w:p>
    <w:p w14:paraId="4B1F7875" w14:textId="1FDF396C" w:rsidR="00EB4F6F" w:rsidRPr="00982509" w:rsidRDefault="00EB4F6F" w:rsidP="00021F85">
      <w:pPr>
        <w:spacing w:line="360" w:lineRule="auto"/>
        <w:rPr>
          <w:rFonts w:ascii="Arial" w:hAnsi="Arial" w:cs="Arial"/>
          <w:sz w:val="22"/>
        </w:rPr>
      </w:pPr>
      <w:r w:rsidRPr="00982509">
        <w:rPr>
          <w:rFonts w:ascii="Arial" w:hAnsi="Arial" w:cs="Arial"/>
          <w:sz w:val="22"/>
        </w:rPr>
        <w:t>​Equality Act 2010, c. 15. Available at: https://www.legislation.gov.uk/ukpga/2010/15/contents (Accessed: 16 April 2026).</w:t>
      </w:r>
    </w:p>
    <w:p w14:paraId="366D1A1C" w14:textId="51AA9F34" w:rsidR="00EB4F6F" w:rsidRPr="00982509" w:rsidRDefault="00EB4F6F" w:rsidP="00021F85">
      <w:pPr>
        <w:spacing w:line="360" w:lineRule="auto"/>
        <w:rPr>
          <w:rFonts w:ascii="Arial" w:hAnsi="Arial" w:cs="Arial"/>
          <w:sz w:val="22"/>
        </w:rPr>
      </w:pPr>
      <w:r w:rsidRPr="00982509">
        <w:rPr>
          <w:rFonts w:ascii="Arial" w:hAnsi="Arial" w:cs="Arial"/>
          <w:sz w:val="22"/>
        </w:rPr>
        <w:t>​Moss, B. (2020) Communication skills in health and social care. 5th edn. London: SAGE Publications.</w:t>
      </w:r>
    </w:p>
    <w:p w14:paraId="3B07BDC5" w14:textId="128F6570" w:rsidR="00EB4F6F" w:rsidRPr="00982509" w:rsidRDefault="00EB4F6F" w:rsidP="00021F85">
      <w:pPr>
        <w:spacing w:line="360" w:lineRule="auto"/>
        <w:rPr>
          <w:rFonts w:ascii="Arial" w:hAnsi="Arial" w:cs="Arial"/>
          <w:sz w:val="22"/>
        </w:rPr>
      </w:pPr>
      <w:r w:rsidRPr="00982509">
        <w:rPr>
          <w:rFonts w:ascii="Arial" w:hAnsi="Arial" w:cs="Arial"/>
          <w:sz w:val="22"/>
        </w:rPr>
        <w:t>​Thomas, J., Pollard, K. and Sellman, D. (eds.) (2014) Interprofessional working: a companion to health and social care. 2nd edn. London: Palgrave Macmillan.</w:t>
      </w:r>
    </w:p>
    <w:p w14:paraId="1425F4AC" w14:textId="6695D929" w:rsidR="001D7C03" w:rsidRPr="00982509" w:rsidRDefault="001D7C03" w:rsidP="00021F85">
      <w:pPr>
        <w:spacing w:line="360" w:lineRule="auto"/>
        <w:rPr>
          <w:rFonts w:ascii="Arial" w:hAnsi="Arial" w:cs="Arial"/>
          <w:sz w:val="22"/>
        </w:rPr>
      </w:pPr>
    </w:p>
    <w:sectPr w:rsidR="001D7C03" w:rsidRPr="00982509"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42353" w14:textId="77777777" w:rsidR="00C25407" w:rsidRDefault="00C25407" w:rsidP="003E4ECF">
      <w:pPr>
        <w:spacing w:after="0" w:line="240" w:lineRule="auto"/>
      </w:pPr>
      <w:r>
        <w:separator/>
      </w:r>
    </w:p>
  </w:endnote>
  <w:endnote w:type="continuationSeparator" w:id="0">
    <w:p w14:paraId="274D6268" w14:textId="77777777" w:rsidR="00C25407" w:rsidRDefault="00C2540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CE528" w14:textId="77777777" w:rsidR="00C25407" w:rsidRDefault="00C25407" w:rsidP="003E4ECF">
      <w:pPr>
        <w:spacing w:after="0" w:line="240" w:lineRule="auto"/>
      </w:pPr>
      <w:r>
        <w:separator/>
      </w:r>
    </w:p>
  </w:footnote>
  <w:footnote w:type="continuationSeparator" w:id="0">
    <w:p w14:paraId="65591404" w14:textId="77777777" w:rsidR="00C25407" w:rsidRDefault="00C2540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C36D7C"/>
    <w:multiLevelType w:val="hybridMultilevel"/>
    <w:tmpl w:val="4852E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8908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19F"/>
    <w:rsid w:val="00021F85"/>
    <w:rsid w:val="000572BF"/>
    <w:rsid w:val="00074402"/>
    <w:rsid w:val="00150C06"/>
    <w:rsid w:val="00184968"/>
    <w:rsid w:val="001D7C03"/>
    <w:rsid w:val="001E7102"/>
    <w:rsid w:val="00216C85"/>
    <w:rsid w:val="0023626C"/>
    <w:rsid w:val="002407C9"/>
    <w:rsid w:val="0026393A"/>
    <w:rsid w:val="00273EDD"/>
    <w:rsid w:val="002C3965"/>
    <w:rsid w:val="00321C4C"/>
    <w:rsid w:val="00392BBC"/>
    <w:rsid w:val="003E4ECF"/>
    <w:rsid w:val="004A736E"/>
    <w:rsid w:val="0056785C"/>
    <w:rsid w:val="006925AA"/>
    <w:rsid w:val="0071652A"/>
    <w:rsid w:val="00725177"/>
    <w:rsid w:val="007A13CB"/>
    <w:rsid w:val="007A1B8D"/>
    <w:rsid w:val="007B3A38"/>
    <w:rsid w:val="00814A9E"/>
    <w:rsid w:val="0089784C"/>
    <w:rsid w:val="008E3943"/>
    <w:rsid w:val="0090040D"/>
    <w:rsid w:val="00912A8E"/>
    <w:rsid w:val="00982509"/>
    <w:rsid w:val="009B48DE"/>
    <w:rsid w:val="009D052C"/>
    <w:rsid w:val="009D1D1E"/>
    <w:rsid w:val="00A00B12"/>
    <w:rsid w:val="00A035FD"/>
    <w:rsid w:val="00AD23A0"/>
    <w:rsid w:val="00B87E75"/>
    <w:rsid w:val="00C00CE5"/>
    <w:rsid w:val="00C25407"/>
    <w:rsid w:val="00C75BED"/>
    <w:rsid w:val="00CA3B0C"/>
    <w:rsid w:val="00CC53F3"/>
    <w:rsid w:val="00CD33A8"/>
    <w:rsid w:val="00DB1AA9"/>
    <w:rsid w:val="00E05F05"/>
    <w:rsid w:val="00E54870"/>
    <w:rsid w:val="00E569FD"/>
    <w:rsid w:val="00E620E7"/>
    <w:rsid w:val="00EB4F6F"/>
    <w:rsid w:val="00EC0BEF"/>
    <w:rsid w:val="00EE0C7F"/>
    <w:rsid w:val="00EF0A6F"/>
    <w:rsid w:val="00F66E1B"/>
    <w:rsid w:val="00FB3BBA"/>
    <w:rsid w:val="00FB4523"/>
    <w:rsid w:val="00FC0D58"/>
    <w:rsid w:val="00FF46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00B12"/>
    <w:pPr>
      <w:keepNext/>
      <w:keepLines/>
      <w:spacing w:before="240" w:after="0" w:line="360" w:lineRule="auto"/>
      <w:outlineLvl w:val="0"/>
    </w:pPr>
    <w:rPr>
      <w:rFonts w:ascii="Arial" w:eastAsiaTheme="majorEastAsia" w:hAnsi="Arial"/>
      <w:b/>
      <w:color w:val="EE0000"/>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B12"/>
    <w:rPr>
      <w:rFonts w:ascii="Arial" w:eastAsiaTheme="majorEastAsia" w:hAnsi="Arial"/>
      <w:b/>
      <w:color w:val="EE0000"/>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C00C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882</TotalTime>
  <Pages>7</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Liudmyla Holoporova (2510891)</cp:lastModifiedBy>
  <cp:revision>18</cp:revision>
  <dcterms:created xsi:type="dcterms:W3CDTF">2021-10-31T12:16:00Z</dcterms:created>
  <dcterms:modified xsi:type="dcterms:W3CDTF">2026-04-23T09:57:00Z</dcterms:modified>
</cp:coreProperties>
</file>