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9D333" w14:textId="5674FD4C" w:rsidR="00FD456A" w:rsidRPr="00FD456A" w:rsidRDefault="00FD456A" w:rsidP="00FD456A">
      <w:pPr>
        <w:ind w:left="36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FD456A">
        <w:rPr>
          <w:rFonts w:ascii="Times New Roman" w:hAnsi="Times New Roman" w:cs="Times New Roman"/>
          <w:b/>
          <w:bCs/>
          <w:sz w:val="24"/>
          <w:szCs w:val="24"/>
        </w:rPr>
        <w:t>Reference List</w:t>
      </w:r>
    </w:p>
    <w:p w14:paraId="34D850C8" w14:textId="5CB00F5A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Alison Ollerenshaw (2012) ‘Literacy Trails: A whole-of-community program to encourage literacy and numeracy awareness for children in preschool and early primary’,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Australasian Journal of Early Childhood</w:t>
      </w:r>
      <w:r w:rsidRPr="00BA19AC">
        <w:rPr>
          <w:rFonts w:ascii="Times New Roman" w:hAnsi="Times New Roman" w:cs="Times New Roman"/>
          <w:sz w:val="24"/>
          <w:szCs w:val="24"/>
        </w:rPr>
        <w:t>, 37(3), pp. 147–153. doi: 10.1177/183693911203700319.</w:t>
      </w:r>
    </w:p>
    <w:p w14:paraId="7683588E" w14:textId="67DE8C01" w:rsidR="00FD456A" w:rsidRPr="00FD456A" w:rsidRDefault="00FD456A" w:rsidP="00FD456A">
      <w:pPr>
        <w:spacing w:line="360" w:lineRule="auto"/>
        <w:ind w:left="36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FD45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Bonell, C. </w:t>
      </w:r>
      <w:r w:rsidRPr="00FD456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et al.</w:t>
      </w:r>
      <w:r w:rsidRPr="00FD45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(2014) ‘Why schools should promote students’ health and wellbeing’, </w:t>
      </w:r>
      <w:r w:rsidRPr="00FD456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BMJ (Online)</w:t>
      </w:r>
      <w:r w:rsidRPr="00FD45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348, pp. g3078–g3078. Available at: https://doi.org/10.1136/bmj.g3078.</w:t>
      </w:r>
    </w:p>
    <w:p w14:paraId="0BE6618F" w14:textId="0859C265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 xml:space="preserve">Bronfenbrenner, U. (2005)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Making Human Beings Human: Bioecological Perspectives on Human Development</w:t>
      </w:r>
      <w:r w:rsidRPr="00BA19AC">
        <w:rPr>
          <w:rFonts w:ascii="Times New Roman" w:hAnsi="Times New Roman" w:cs="Times New Roman"/>
          <w:sz w:val="24"/>
          <w:szCs w:val="24"/>
        </w:rPr>
        <w:t>. London: Sage.</w:t>
      </w:r>
    </w:p>
    <w:p w14:paraId="4EFE6893" w14:textId="4B511459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Brown, M. and Goulding, A. (2020) ‘Improving Pupils’ Health &amp; Wellbeing: Team around the School Pilot and Evaluation’,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European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J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ournal of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ublic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ealth</w:t>
      </w:r>
      <w:r w:rsidRPr="00BA19AC">
        <w:rPr>
          <w:rFonts w:ascii="Times New Roman" w:hAnsi="Times New Roman" w:cs="Times New Roman"/>
          <w:sz w:val="24"/>
          <w:szCs w:val="24"/>
        </w:rPr>
        <w:t>, 30</w:t>
      </w:r>
      <w:r w:rsidR="00FD456A">
        <w:rPr>
          <w:rFonts w:ascii="Times New Roman" w:hAnsi="Times New Roman" w:cs="Times New Roman"/>
          <w:sz w:val="24"/>
          <w:szCs w:val="24"/>
        </w:rPr>
        <w:t xml:space="preserve">. </w:t>
      </w:r>
      <w:r w:rsidRPr="00BA19AC"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FD456A">
        <w:rPr>
          <w:rFonts w:ascii="Times New Roman" w:hAnsi="Times New Roman" w:cs="Times New Roman"/>
          <w:sz w:val="24"/>
          <w:szCs w:val="24"/>
        </w:rPr>
        <w:t>https://doi.org/10.1093/eurpub/ckaa166.263</w:t>
      </w:r>
      <w:r w:rsidRPr="00BA19AC">
        <w:rPr>
          <w:rFonts w:ascii="Times New Roman" w:hAnsi="Times New Roman" w:cs="Times New Roman"/>
          <w:sz w:val="24"/>
          <w:szCs w:val="24"/>
        </w:rPr>
        <w:t>.</w:t>
      </w:r>
    </w:p>
    <w:p w14:paraId="32F0F31B" w14:textId="6FA12E07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Domina, T. (2005) ‘</w:t>
      </w:r>
      <w:r w:rsidR="00FD456A" w:rsidRPr="00BA19AC">
        <w:rPr>
          <w:rFonts w:ascii="Times New Roman" w:hAnsi="Times New Roman" w:cs="Times New Roman"/>
          <w:sz w:val="24"/>
          <w:szCs w:val="24"/>
        </w:rPr>
        <w:t>Levelling</w:t>
      </w:r>
      <w:r w:rsidRPr="00BA19AC">
        <w:rPr>
          <w:rFonts w:ascii="Times New Roman" w:hAnsi="Times New Roman" w:cs="Times New Roman"/>
          <w:sz w:val="24"/>
          <w:szCs w:val="24"/>
        </w:rPr>
        <w:t xml:space="preserve"> the home advantage: Assessing the effectiveness of parental involvement in elementary school’.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Sociology of Education</w:t>
      </w:r>
      <w:r w:rsidRPr="00BA19AC">
        <w:rPr>
          <w:rFonts w:ascii="Times New Roman" w:hAnsi="Times New Roman" w:cs="Times New Roman"/>
          <w:sz w:val="24"/>
          <w:szCs w:val="24"/>
        </w:rPr>
        <w:t>, 78(3), 233–249. doi: 10.1177/003804070507800303.</w:t>
      </w:r>
    </w:p>
    <w:p w14:paraId="6B0A053C" w14:textId="77777777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Donaldson, G. (2015)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Successful Futures: Independent Review of Curriculum and Assessment Arrangements in Wales. </w:t>
      </w:r>
      <w:r w:rsidRPr="00BA19AC">
        <w:rPr>
          <w:rFonts w:ascii="Times New Roman" w:hAnsi="Times New Roman" w:cs="Times New Roman"/>
          <w:sz w:val="24"/>
          <w:szCs w:val="24"/>
        </w:rPr>
        <w:t>Available at: https://www.gov.wales/sites/default/files/publications/2018-03/successful-futures.pdf</w:t>
      </w:r>
    </w:p>
    <w:p w14:paraId="61DCB49E" w14:textId="632AD3AF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Estyn (2015)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A Report on </w:t>
      </w:r>
      <w:r w:rsidRPr="00BA19AC">
        <w:rPr>
          <w:rFonts w:ascii="Times New Roman" w:hAnsi="Times New Roman" w:cs="Times New Roman"/>
          <w:i/>
          <w:iCs/>
          <w:sz w:val="24"/>
          <w:szCs w:val="24"/>
          <w:highlight w:val="black"/>
        </w:rPr>
        <w:t>Ysgol Golwg Y Cwm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. </w:t>
      </w:r>
      <w:r w:rsidRPr="00BA19AC">
        <w:rPr>
          <w:rFonts w:ascii="Times New Roman" w:hAnsi="Times New Roman" w:cs="Times New Roman"/>
          <w:sz w:val="24"/>
          <w:szCs w:val="24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</w:rPr>
        <w:t>https://www.estyn.gov.wales/system/files/2020-08/</w:t>
      </w:r>
      <w:r w:rsidRPr="00FD456A">
        <w:rPr>
          <w:rFonts w:ascii="Times New Roman" w:hAnsi="Times New Roman" w:cs="Times New Roman"/>
          <w:sz w:val="24"/>
          <w:szCs w:val="24"/>
          <w:highlight w:val="black"/>
        </w:rPr>
        <w:t>Ysgol%2520Golwg%2520Y%2520Cwm</w:t>
      </w:r>
      <w:r w:rsidRPr="00FD456A">
        <w:rPr>
          <w:rFonts w:ascii="Times New Roman" w:hAnsi="Times New Roman" w:cs="Times New Roman"/>
          <w:sz w:val="24"/>
          <w:szCs w:val="24"/>
        </w:rPr>
        <w:t>_0.pdf</w:t>
      </w:r>
      <w:r w:rsidRPr="00C838A5">
        <w:rPr>
          <w:rFonts w:ascii="Times New Roman" w:hAnsi="Times New Roman" w:cs="Times New Roman"/>
          <w:sz w:val="24"/>
          <w:szCs w:val="24"/>
        </w:rPr>
        <w:t xml:space="preserve"> (Accessed: 5 April 2023).</w:t>
      </w:r>
    </w:p>
    <w:p w14:paraId="5513FF81" w14:textId="2E02B51C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C838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Estyn (2020) </w:t>
      </w:r>
      <w:r w:rsidRPr="00C838A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Community Schools: Families and Communities at the Heart of School Life. </w:t>
      </w:r>
      <w:r w:rsidRPr="00C838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https://www.estyn.gov.wales/system/files/2021-08/Community%2520Schools%2520en.pdf</w:t>
      </w:r>
      <w:r w:rsidRPr="00C838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 5 April 2023).</w:t>
      </w:r>
    </w:p>
    <w:p w14:paraId="6A70A1F2" w14:textId="7E01B367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 xml:space="preserve">Fitzgerald, J., Spiegel, D.L., and Cunningham, J.W. (1991) ‘The relationship between parental literacy levels and perceptions of emergent literacy’.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Journal of Reading Behaviour, </w:t>
      </w:r>
      <w:r w:rsidRPr="00BA19AC">
        <w:rPr>
          <w:rFonts w:ascii="Times New Roman" w:hAnsi="Times New Roman" w:cs="Times New Roman"/>
          <w:sz w:val="24"/>
          <w:szCs w:val="24"/>
        </w:rPr>
        <w:t>23, pp. 191–213.</w:t>
      </w:r>
    </w:p>
    <w:p w14:paraId="49919C91" w14:textId="2A443A89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 xml:space="preserve">Gatley, J. (2020) ‘Can the New Welsh Curriculum </w:t>
      </w:r>
      <w:r w:rsidR="00FD456A">
        <w:rPr>
          <w:rFonts w:ascii="Times New Roman" w:hAnsi="Times New Roman" w:cs="Times New Roman"/>
          <w:sz w:val="24"/>
          <w:szCs w:val="24"/>
        </w:rPr>
        <w:t>A</w:t>
      </w:r>
      <w:r w:rsidRPr="00BA19AC">
        <w:rPr>
          <w:rFonts w:ascii="Times New Roman" w:hAnsi="Times New Roman" w:cs="Times New Roman"/>
          <w:sz w:val="24"/>
          <w:szCs w:val="24"/>
        </w:rPr>
        <w:t xml:space="preserve">chieve its </w:t>
      </w:r>
      <w:r w:rsidR="00FD456A">
        <w:rPr>
          <w:rFonts w:ascii="Times New Roman" w:hAnsi="Times New Roman" w:cs="Times New Roman"/>
          <w:sz w:val="24"/>
          <w:szCs w:val="24"/>
        </w:rPr>
        <w:t>P</w:t>
      </w:r>
      <w:r w:rsidRPr="00BA19AC">
        <w:rPr>
          <w:rFonts w:ascii="Times New Roman" w:hAnsi="Times New Roman" w:cs="Times New Roman"/>
          <w:sz w:val="24"/>
          <w:szCs w:val="24"/>
        </w:rPr>
        <w:t>urposes?’,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Curriculum Journal, </w:t>
      </w:r>
      <w:r w:rsidRPr="00BA19AC">
        <w:rPr>
          <w:rFonts w:ascii="Times New Roman" w:hAnsi="Times New Roman" w:cs="Times New Roman"/>
          <w:sz w:val="24"/>
          <w:szCs w:val="24"/>
        </w:rPr>
        <w:t>31(2), pp. 202–214. doi: 10.1002/curj.26.</w:t>
      </w:r>
    </w:p>
    <w:p w14:paraId="67D4A183" w14:textId="3CE1EFEF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lastRenderedPageBreak/>
        <w:t>Higgins, S.</w:t>
      </w:r>
      <w:r w:rsidR="00FD456A">
        <w:rPr>
          <w:rFonts w:ascii="Times New Roman" w:hAnsi="Times New Roman" w:cs="Times New Roman"/>
          <w:sz w:val="24"/>
          <w:szCs w:val="24"/>
        </w:rPr>
        <w:t xml:space="preserve"> </w:t>
      </w:r>
      <w:r w:rsidR="00FD456A" w:rsidRPr="00FD456A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FD45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BA19AC">
        <w:rPr>
          <w:rFonts w:ascii="Times New Roman" w:hAnsi="Times New Roman" w:cs="Times New Roman"/>
          <w:sz w:val="24"/>
          <w:szCs w:val="24"/>
        </w:rPr>
        <w:t xml:space="preserve">(2016)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The Sutton Trust-Education Endowment Foundation Teaching and Learning Toolkit</w:t>
      </w:r>
      <w:r w:rsidRPr="00BA19AC">
        <w:rPr>
          <w:rFonts w:ascii="Times New Roman" w:hAnsi="Times New Roman" w:cs="Times New Roman"/>
          <w:sz w:val="24"/>
          <w:szCs w:val="24"/>
        </w:rPr>
        <w:t xml:space="preserve">. Education Endowment Foundation, London. </w:t>
      </w:r>
    </w:p>
    <w:p w14:paraId="7E33E34F" w14:textId="4EB9478E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Maholmes, V. and King, R.B. (2012)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The Oxford Handbook of Poverty and Child Development</w:t>
      </w:r>
      <w:r w:rsidRPr="00BA19AC">
        <w:rPr>
          <w:rFonts w:ascii="Times New Roman" w:hAnsi="Times New Roman" w:cs="Times New Roman"/>
          <w:sz w:val="24"/>
          <w:szCs w:val="24"/>
        </w:rPr>
        <w:t>. New York: Oxford University Press.</w:t>
      </w:r>
    </w:p>
    <w:p w14:paraId="34FB02FB" w14:textId="21B3CA2E" w:rsidR="00A438FF" w:rsidRPr="00C838A5" w:rsidRDefault="00A438FF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C838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McLeod, S. (2023) </w:t>
      </w:r>
      <w:r w:rsidRPr="00C838A5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Bronfenbrenner's Ecological Systems Theory. </w:t>
      </w:r>
      <w:r w:rsidRPr="00C838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  <w:shd w:val="clear" w:color="auto" w:fill="FFFFFF"/>
        </w:rPr>
        <w:t>https://simplypsychology.org/bronfenbrenner.html</w:t>
      </w:r>
      <w:r w:rsidRPr="00C838A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(Accessed: 5 April 2023).</w:t>
      </w:r>
    </w:p>
    <w:p w14:paraId="16363775" w14:textId="77777777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Moore, G.F. and Littlecott, H.J. (2015) ‘School- and Family-Level Socioeconomic Status and Health Behaviours: Multilevel Analysis of a National Survey in Wales, United Kingdom’,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The Journal of School Health</w:t>
      </w:r>
      <w:r w:rsidRPr="00BA19AC">
        <w:rPr>
          <w:rFonts w:ascii="Times New Roman" w:hAnsi="Times New Roman" w:cs="Times New Roman"/>
          <w:sz w:val="24"/>
          <w:szCs w:val="24"/>
        </w:rPr>
        <w:t>, 85(4), pp. 267–275. doi: doi.org/10.1111/josh.12242.</w:t>
      </w:r>
    </w:p>
    <w:p w14:paraId="331F1F0B" w14:textId="0AC0BAEC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Moore, G.F.</w:t>
      </w:r>
      <w:r w:rsidRPr="00FD456A">
        <w:rPr>
          <w:rFonts w:ascii="Times New Roman" w:hAnsi="Times New Roman" w:cs="Times New Roman"/>
          <w:sz w:val="24"/>
          <w:szCs w:val="24"/>
        </w:rPr>
        <w:t> </w:t>
      </w:r>
      <w:r w:rsidRPr="00FD456A">
        <w:rPr>
          <w:rFonts w:ascii="Times New Roman" w:hAnsi="Times New Roman" w:cs="Times New Roman"/>
          <w:i/>
          <w:iCs/>
          <w:sz w:val="24"/>
          <w:szCs w:val="24"/>
        </w:rPr>
        <w:t>et al. </w:t>
      </w:r>
      <w:r w:rsidRPr="00BA19AC">
        <w:rPr>
          <w:rFonts w:ascii="Times New Roman" w:hAnsi="Times New Roman" w:cs="Times New Roman"/>
          <w:sz w:val="24"/>
          <w:szCs w:val="24"/>
        </w:rPr>
        <w:t>(2017) ‘School composition, school culture and socioeconomic inequalities in young people’s health: Multi‐level analysis of the Health Behaviour in School‐aged Children (HBSC) survey in Wales’,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British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ducational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esearch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J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ournal</w:t>
      </w:r>
      <w:r w:rsidRPr="00BA19AC">
        <w:rPr>
          <w:rFonts w:ascii="Times New Roman" w:hAnsi="Times New Roman" w:cs="Times New Roman"/>
          <w:sz w:val="24"/>
          <w:szCs w:val="24"/>
        </w:rPr>
        <w:t>, 43(2), pp. 310–329. doi: 10.1002/berj.3265.</w:t>
      </w:r>
    </w:p>
    <w:p w14:paraId="2E433B44" w14:textId="21A84BC4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Morgan, K. </w:t>
      </w:r>
      <w:r w:rsidRPr="00FD456A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BA19AC">
        <w:rPr>
          <w:rFonts w:ascii="Times New Roman" w:hAnsi="Times New Roman" w:cs="Times New Roman"/>
          <w:sz w:val="24"/>
          <w:szCs w:val="24"/>
        </w:rPr>
        <w:t>. (2019) ‘Socio-Economic Inequalities in Adolescent Summer Holiday Experiences, and Mental Wellbeing on Return to School: Analysis of the School Health Research Network/Health Behaviour in School-Aged Children Survey in Wales’,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International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J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ournal of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nvironmental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esearch and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ublic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ealth</w:t>
      </w:r>
      <w:r w:rsidRPr="00BA19AC">
        <w:rPr>
          <w:rFonts w:ascii="Times New Roman" w:hAnsi="Times New Roman" w:cs="Times New Roman"/>
          <w:sz w:val="24"/>
          <w:szCs w:val="24"/>
        </w:rPr>
        <w:t>, 16(7), p</w:t>
      </w:r>
      <w:r w:rsidR="00FD456A">
        <w:rPr>
          <w:rFonts w:ascii="Times New Roman" w:hAnsi="Times New Roman" w:cs="Times New Roman"/>
          <w:sz w:val="24"/>
          <w:szCs w:val="24"/>
        </w:rPr>
        <w:t>p</w:t>
      </w:r>
      <w:r w:rsidRPr="00BA19AC">
        <w:rPr>
          <w:rFonts w:ascii="Times New Roman" w:hAnsi="Times New Roman" w:cs="Times New Roman"/>
          <w:sz w:val="24"/>
          <w:szCs w:val="24"/>
        </w:rPr>
        <w:t xml:space="preserve">. 1107. </w:t>
      </w:r>
      <w:r w:rsidR="00FD456A">
        <w:rPr>
          <w:rFonts w:ascii="Times New Roman" w:hAnsi="Times New Roman" w:cs="Times New Roman"/>
          <w:sz w:val="24"/>
          <w:szCs w:val="24"/>
        </w:rPr>
        <w:t>d</w:t>
      </w:r>
      <w:r w:rsidRPr="00BA19AC">
        <w:rPr>
          <w:rFonts w:ascii="Times New Roman" w:hAnsi="Times New Roman" w:cs="Times New Roman"/>
          <w:sz w:val="24"/>
          <w:szCs w:val="24"/>
        </w:rPr>
        <w:t>oi: 10.3390/ijerph16071107.</w:t>
      </w:r>
    </w:p>
    <w:p w14:paraId="13FBE2D5" w14:textId="4EF7869E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Neville, S.E.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BA19AC">
        <w:rPr>
          <w:rFonts w:ascii="Times New Roman" w:hAnsi="Times New Roman" w:cs="Times New Roman"/>
          <w:sz w:val="24"/>
          <w:szCs w:val="24"/>
        </w:rPr>
        <w:t> (2022) ‘The Link between Primary School Students’ Psychosocial Outcomes and Parental School Involvement in the Department of Intibucá, Honduras’,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Journal of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esearch in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hildhood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ducation</w:t>
      </w:r>
      <w:r w:rsidRPr="00BA19AC">
        <w:rPr>
          <w:rFonts w:ascii="Times New Roman" w:hAnsi="Times New Roman" w:cs="Times New Roman"/>
          <w:sz w:val="24"/>
          <w:szCs w:val="24"/>
        </w:rPr>
        <w:t>, 36(3), pp. 506–516. doi: 10.1080/02568543.2021.1956652.</w:t>
      </w:r>
    </w:p>
    <w:p w14:paraId="45A5AAFE" w14:textId="5881EE27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OECD (2011), ‘What Can Parents Do to Help Their Children Succeed in School?’,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PISA in Focus</w:t>
      </w:r>
      <w:r w:rsidRPr="00BA19AC">
        <w:rPr>
          <w:rFonts w:ascii="Times New Roman" w:hAnsi="Times New Roman" w:cs="Times New Roman"/>
          <w:sz w:val="24"/>
          <w:szCs w:val="24"/>
        </w:rPr>
        <w:t xml:space="preserve">, 10, doi: 10.1787/5k9h362jdgnq-en. </w:t>
      </w:r>
    </w:p>
    <w:p w14:paraId="3736A148" w14:textId="77777777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 xml:space="preserve">Ridge, T. (2002)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Childhood poverty and social exclusion: From a child’s perspective. </w:t>
      </w:r>
      <w:r w:rsidRPr="00BA19AC">
        <w:rPr>
          <w:rFonts w:ascii="Times New Roman" w:hAnsi="Times New Roman" w:cs="Times New Roman"/>
          <w:sz w:val="24"/>
          <w:szCs w:val="24"/>
        </w:rPr>
        <w:t>Bristol: Policy Press.</w:t>
      </w:r>
    </w:p>
    <w:p w14:paraId="45D62710" w14:textId="5961731C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Siegel, A.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Pr="00BA19AC">
        <w:rPr>
          <w:rFonts w:ascii="Times New Roman" w:hAnsi="Times New Roman" w:cs="Times New Roman"/>
          <w:sz w:val="24"/>
          <w:szCs w:val="24"/>
        </w:rPr>
        <w:t xml:space="preserve"> (2019) ‘Welcoming Parents to Their Child’s School: Practices Supporting Students </w:t>
      </w:r>
      <w:r w:rsidR="00FD456A" w:rsidRPr="00BA19AC">
        <w:rPr>
          <w:rFonts w:ascii="Times New Roman" w:hAnsi="Times New Roman" w:cs="Times New Roman"/>
          <w:sz w:val="24"/>
          <w:szCs w:val="24"/>
        </w:rPr>
        <w:t>with</w:t>
      </w:r>
      <w:r w:rsidRPr="00BA19AC">
        <w:rPr>
          <w:rFonts w:ascii="Times New Roman" w:hAnsi="Times New Roman" w:cs="Times New Roman"/>
          <w:sz w:val="24"/>
          <w:szCs w:val="24"/>
        </w:rPr>
        <w:t xml:space="preserve"> Diverse Needs and Backgrounds’,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Education and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Ur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 xml:space="preserve">ban </w:t>
      </w:r>
      <w:r w:rsidR="00FD456A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ociety</w:t>
      </w:r>
      <w:r w:rsidRPr="00BA19AC">
        <w:rPr>
          <w:rFonts w:ascii="Times New Roman" w:hAnsi="Times New Roman" w:cs="Times New Roman"/>
          <w:sz w:val="24"/>
          <w:szCs w:val="24"/>
        </w:rPr>
        <w:t>, 51(6), pp. 756–784. doi: 10.1177/0013124517747682.</w:t>
      </w:r>
    </w:p>
    <w:p w14:paraId="0B9A3D84" w14:textId="6BAFFCC5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lastRenderedPageBreak/>
        <w:t xml:space="preserve">Sinnema, C., Nieveen, N.M. and Priestley, M. (2020) ‘Successful futures, successful curriculum: What can Wales learn from international curriculum reforms?’,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Curriculum Journal</w:t>
      </w:r>
      <w:r w:rsidRPr="00BA19AC">
        <w:rPr>
          <w:rFonts w:ascii="Times New Roman" w:hAnsi="Times New Roman" w:cs="Times New Roman"/>
          <w:sz w:val="24"/>
          <w:szCs w:val="24"/>
        </w:rPr>
        <w:t>, 31(2), pp. 181–201. doi: 10.1002/curj.17.</w:t>
      </w:r>
    </w:p>
    <w:p w14:paraId="5980F080" w14:textId="3F2829F7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 xml:space="preserve">Sirin, S.R. (2005) ‘Socioeconomic status and academic achievement: A meta-analytic review of research’.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Review of Educational Research,</w:t>
      </w:r>
      <w:r w:rsidRPr="00BA19AC">
        <w:rPr>
          <w:rFonts w:ascii="Times New Roman" w:hAnsi="Times New Roman" w:cs="Times New Roman"/>
          <w:sz w:val="24"/>
          <w:szCs w:val="24"/>
        </w:rPr>
        <w:t> 75(3), pp. 417–453.</w:t>
      </w:r>
    </w:p>
    <w:p w14:paraId="49910028" w14:textId="71FADDC3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Welsh Government (2014)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Rewriting the Future: Raising Ambition and Attainment in Welsh Schools. </w:t>
      </w:r>
      <w:r w:rsidRPr="00BA19AC">
        <w:rPr>
          <w:rFonts w:ascii="Times New Roman" w:hAnsi="Times New Roman" w:cs="Times New Roman"/>
          <w:sz w:val="24"/>
          <w:szCs w:val="24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</w:rPr>
        <w:t>https://www.gov.wales/sites/default/files/publications/2018-03/rewriting-the-future-raising-ambition-and-attainment-in-welsh-schools.pdf</w:t>
      </w:r>
    </w:p>
    <w:p w14:paraId="5814F49F" w14:textId="511BD2D9" w:rsidR="00BA19AC" w:rsidRPr="00C838A5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Welsh Government (2017)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Education in Wales: Our National Mission. </w:t>
      </w:r>
      <w:r w:rsidRPr="00BA19AC">
        <w:rPr>
          <w:rFonts w:ascii="Times New Roman" w:hAnsi="Times New Roman" w:cs="Times New Roman"/>
          <w:sz w:val="24"/>
          <w:szCs w:val="24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</w:rPr>
        <w:t>https://www.gov.wales/sites/default/files/publications/2018-03/education-in-wales-our-national-mission.pdf</w:t>
      </w:r>
    </w:p>
    <w:p w14:paraId="24508084" w14:textId="215193CD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Welsh Government (2019)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Developing Schools and Learning Organisation in Wales: Highlights. </w:t>
      </w:r>
      <w:r w:rsidRPr="00BA19AC">
        <w:rPr>
          <w:rFonts w:ascii="Times New Roman" w:hAnsi="Times New Roman" w:cs="Times New Roman"/>
          <w:sz w:val="24"/>
          <w:szCs w:val="24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</w:rPr>
        <w:t>https://hwb.gov.wales/api/storage/3c7ac963-4059-4f15-bdf9-368b16c3ecf7/developing-schools-as-learning-organisations-in-wales-highlights_0.pdf</w:t>
      </w:r>
      <w:r w:rsidRPr="00BA19AC">
        <w:rPr>
          <w:rFonts w:ascii="Times New Roman" w:hAnsi="Times New Roman" w:cs="Times New Roman"/>
          <w:sz w:val="24"/>
          <w:szCs w:val="24"/>
        </w:rPr>
        <w:t> (Accessed: 28 March 2023).</w:t>
      </w:r>
    </w:p>
    <w:p w14:paraId="4F9FE9D0" w14:textId="7C3E5C81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 xml:space="preserve">Welsh Government (2021) 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Curriculum for Wales.</w:t>
      </w:r>
      <w:r w:rsidRPr="00BA19AC"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BA19AC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FD456A">
        <w:rPr>
          <w:rFonts w:ascii="Times New Roman" w:hAnsi="Times New Roman" w:cs="Times New Roman"/>
          <w:sz w:val="24"/>
          <w:szCs w:val="24"/>
        </w:rPr>
        <w:t>https://hwb.gov.wales/curriculum-for-wales/ (Accessed: 28 March 2023).</w:t>
      </w:r>
    </w:p>
    <w:p w14:paraId="2A641526" w14:textId="7E26114B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Welsh Government (2022)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Child Poverty Strategy: 2022 Progress Report. </w:t>
      </w:r>
      <w:r w:rsidRPr="00BA19AC">
        <w:rPr>
          <w:rFonts w:ascii="Times New Roman" w:hAnsi="Times New Roman" w:cs="Times New Roman"/>
          <w:sz w:val="24"/>
          <w:szCs w:val="24"/>
        </w:rPr>
        <w:t>Available at: </w:t>
      </w:r>
      <w:r w:rsidRPr="00FD456A">
        <w:rPr>
          <w:rFonts w:ascii="Times New Roman" w:hAnsi="Times New Roman" w:cs="Times New Roman"/>
          <w:sz w:val="24"/>
          <w:szCs w:val="24"/>
        </w:rPr>
        <w:t>https://www.gov.wales/sites/default/files/pdf-versions/2022/12/3/1671008541/child-poverty-strategy-2022-progress-report.pdf</w:t>
      </w:r>
      <w:r w:rsidRPr="00BA19AC">
        <w:rPr>
          <w:rFonts w:ascii="Times New Roman" w:hAnsi="Times New Roman" w:cs="Times New Roman"/>
          <w:sz w:val="24"/>
          <w:szCs w:val="24"/>
        </w:rPr>
        <w:t> (Accessed: 26 March 2023).</w:t>
      </w:r>
    </w:p>
    <w:p w14:paraId="0D682D1E" w14:textId="6C934C0B" w:rsidR="00BA19AC" w:rsidRPr="00BA19AC" w:rsidRDefault="00BA19AC" w:rsidP="00FD456A">
      <w:pPr>
        <w:spacing w:line="360" w:lineRule="auto"/>
        <w:ind w:left="360"/>
        <w:rPr>
          <w:rFonts w:ascii="Times New Roman" w:hAnsi="Times New Roman" w:cs="Times New Roman"/>
          <w:sz w:val="24"/>
          <w:szCs w:val="24"/>
        </w:rPr>
      </w:pPr>
      <w:r w:rsidRPr="00BA19AC">
        <w:rPr>
          <w:rFonts w:ascii="Times New Roman" w:hAnsi="Times New Roman" w:cs="Times New Roman"/>
          <w:sz w:val="24"/>
          <w:szCs w:val="24"/>
        </w:rPr>
        <w:t>Zacarian, D. and Silverstone, M.A. (2015) </w:t>
      </w:r>
      <w:r w:rsidRPr="00BA19AC">
        <w:rPr>
          <w:rFonts w:ascii="Times New Roman" w:hAnsi="Times New Roman" w:cs="Times New Roman"/>
          <w:i/>
          <w:iCs/>
          <w:sz w:val="24"/>
          <w:szCs w:val="24"/>
        </w:rPr>
        <w:t>In It Together: How Student, Family, and Community Partnerships Advance Engagement and Achievement in Diverse Classrooms</w:t>
      </w:r>
      <w:r w:rsidR="00C838A5">
        <w:rPr>
          <w:rFonts w:ascii="Times New Roman" w:hAnsi="Times New Roman" w:cs="Times New Roman"/>
          <w:sz w:val="24"/>
          <w:szCs w:val="24"/>
        </w:rPr>
        <w:t>.</w:t>
      </w:r>
      <w:r w:rsidRPr="00BA19AC">
        <w:rPr>
          <w:rFonts w:ascii="Times New Roman" w:hAnsi="Times New Roman" w:cs="Times New Roman"/>
          <w:sz w:val="24"/>
          <w:szCs w:val="24"/>
        </w:rPr>
        <w:t xml:space="preserve"> Thousand Oaks: Corwin Press. </w:t>
      </w:r>
    </w:p>
    <w:p w14:paraId="13C107BA" w14:textId="684AE1AA" w:rsidR="00F20CD8" w:rsidRPr="00C838A5" w:rsidRDefault="00F20CD8" w:rsidP="00FD45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81A45A" w14:textId="62BED9E0" w:rsidR="00540BF2" w:rsidRPr="00BA19AC" w:rsidRDefault="00540BF2" w:rsidP="00FD456A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 </w:t>
      </w:r>
    </w:p>
    <w:sectPr w:rsidR="00540BF2" w:rsidRPr="00BA1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A83E75"/>
    <w:multiLevelType w:val="hybridMultilevel"/>
    <w:tmpl w:val="96687CAE"/>
    <w:lvl w:ilvl="0" w:tplc="982A01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0CFD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3288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0CB7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D4D4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4F6EC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8E25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B0A9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4C5E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526151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9AC"/>
    <w:rsid w:val="00465074"/>
    <w:rsid w:val="00540BF2"/>
    <w:rsid w:val="006B4FFC"/>
    <w:rsid w:val="008562FB"/>
    <w:rsid w:val="008A5CAD"/>
    <w:rsid w:val="00A438FF"/>
    <w:rsid w:val="00BA19AC"/>
    <w:rsid w:val="00C838A5"/>
    <w:rsid w:val="00F20CD8"/>
    <w:rsid w:val="00F74CF6"/>
    <w:rsid w:val="00FD4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27695"/>
  <w15:chartTrackingRefBased/>
  <w15:docId w15:val="{6F533567-AB28-40AA-8EBD-DB731148D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19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9A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A19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3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49160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4330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4004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2843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2203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9766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1721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5251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9491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1165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6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2029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9768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00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</TotalTime>
  <Pages>3</Pages>
  <Words>834</Words>
  <Characters>4758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Davies</dc:creator>
  <cp:keywords/>
  <dc:description/>
  <cp:lastModifiedBy>Mollie Davies</cp:lastModifiedBy>
  <cp:revision>3</cp:revision>
  <dcterms:created xsi:type="dcterms:W3CDTF">2023-04-05T11:06:00Z</dcterms:created>
  <dcterms:modified xsi:type="dcterms:W3CDTF">2023-04-16T10:29:00Z</dcterms:modified>
</cp:coreProperties>
</file>