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AD2431" w14:textId="77777777" w:rsidR="00D052AC" w:rsidRPr="00787DF5" w:rsidRDefault="00D052AC" w:rsidP="006A7CFD">
      <w:pPr>
        <w:jc w:val="center"/>
        <w:rPr>
          <w:rFonts w:ascii="Times" w:hAnsi="Times" w:cstheme="minorHAnsi"/>
          <w:b/>
          <w:bCs/>
          <w:i/>
          <w:iCs/>
          <w:color w:val="000000" w:themeColor="text1"/>
          <w:sz w:val="36"/>
          <w:szCs w:val="36"/>
          <w14:textOutline w14:w="0" w14:cap="flat" w14:cmpd="sng" w14:algn="ctr">
            <w14:noFill/>
            <w14:prstDash w14:val="solid"/>
            <w14:round/>
          </w14:textOutline>
        </w:rPr>
      </w:pPr>
      <w:r w:rsidRPr="00787DF5">
        <w:rPr>
          <w:rFonts w:ascii="Times" w:hAnsi="Times" w:cstheme="minorHAnsi"/>
          <w:b/>
          <w:bCs/>
          <w:i/>
          <w:iCs/>
          <w:color w:val="000000" w:themeColor="text1"/>
          <w:sz w:val="36"/>
          <w:szCs w:val="36"/>
          <w14:textOutline w14:w="0" w14:cap="flat" w14:cmpd="sng" w14:algn="ctr">
            <w14:noFill/>
            <w14:prstDash w14:val="solid"/>
            <w14:round/>
          </w14:textOutline>
        </w:rPr>
        <w:t>Dissertation – Proposal</w:t>
      </w:r>
    </w:p>
    <w:p w14:paraId="615269C1" w14:textId="77777777" w:rsidR="00D052AC" w:rsidRPr="00787DF5" w:rsidRDefault="00D052AC" w:rsidP="00D052AC">
      <w:pPr>
        <w:spacing w:line="360" w:lineRule="auto"/>
        <w:jc w:val="center"/>
        <w:rPr>
          <w:rFonts w:ascii="Times" w:hAnsi="Times" w:cstheme="minorHAnsi"/>
          <w:b/>
          <w:bCs/>
          <w:i/>
          <w:iCs/>
          <w:color w:val="000000" w:themeColor="text1"/>
          <w:sz w:val="36"/>
          <w:szCs w:val="36"/>
          <w14:textOutline w14:w="0" w14:cap="flat" w14:cmpd="sng" w14:algn="ctr">
            <w14:noFill/>
            <w14:prstDash w14:val="solid"/>
            <w14:round/>
          </w14:textOutline>
        </w:rPr>
      </w:pPr>
      <w:r w:rsidRPr="00787DF5">
        <w:rPr>
          <w:rFonts w:ascii="Times" w:hAnsi="Times" w:cstheme="minorHAnsi"/>
          <w:b/>
          <w:bCs/>
          <w:i/>
          <w:iCs/>
          <w:color w:val="000000" w:themeColor="text1"/>
          <w:sz w:val="36"/>
          <w:szCs w:val="36"/>
          <w14:textOutline w14:w="0" w14:cap="flat" w14:cmpd="sng" w14:algn="ctr">
            <w14:noFill/>
            <w14:prstDash w14:val="solid"/>
            <w14:round/>
          </w14:textOutline>
        </w:rPr>
        <w:t>LCBB6000</w:t>
      </w:r>
    </w:p>
    <w:p w14:paraId="31AFF7EB" w14:textId="77777777" w:rsidR="00D052AC" w:rsidRPr="00787DF5" w:rsidRDefault="00D052AC" w:rsidP="00D052AC">
      <w:pPr>
        <w:spacing w:line="360" w:lineRule="auto"/>
        <w:jc w:val="center"/>
        <w:rPr>
          <w:rFonts w:ascii="Times" w:hAnsi="Times" w:cstheme="minorHAnsi"/>
          <w:b/>
          <w:bCs/>
          <w:i/>
          <w:iCs/>
          <w:color w:val="000000" w:themeColor="text1"/>
          <w:sz w:val="36"/>
          <w:szCs w:val="36"/>
          <w14:textOutline w14:w="0" w14:cap="flat" w14:cmpd="sng" w14:algn="ctr">
            <w14:noFill/>
            <w14:prstDash w14:val="solid"/>
            <w14:round/>
          </w14:textOutline>
        </w:rPr>
      </w:pPr>
      <w:r w:rsidRPr="00787DF5">
        <w:rPr>
          <w:rFonts w:ascii="Times" w:hAnsi="Times" w:cstheme="minorHAnsi"/>
          <w:b/>
          <w:bCs/>
          <w:i/>
          <w:iCs/>
          <w:color w:val="000000" w:themeColor="text1"/>
          <w:sz w:val="36"/>
          <w:szCs w:val="36"/>
          <w14:textOutline w14:w="0" w14:cap="flat" w14:cmpd="sng" w14:algn="ctr">
            <w14:noFill/>
            <w14:prstDash w14:val="solid"/>
            <w14:round/>
          </w14:textOutline>
        </w:rPr>
        <w:t xml:space="preserve">BA (Hons) Business Management </w:t>
      </w:r>
    </w:p>
    <w:p w14:paraId="46C6ADF0" w14:textId="77777777" w:rsidR="00D052AC" w:rsidRPr="00787DF5" w:rsidRDefault="00D052AC" w:rsidP="00D052AC">
      <w:pPr>
        <w:spacing w:line="360" w:lineRule="auto"/>
        <w:jc w:val="center"/>
        <w:rPr>
          <w:rFonts w:ascii="Times" w:hAnsi="Times" w:cstheme="minorHAnsi"/>
          <w:b/>
          <w:bCs/>
          <w:i/>
          <w:iCs/>
          <w:color w:val="000000" w:themeColor="text1"/>
          <w:sz w:val="36"/>
          <w:szCs w:val="36"/>
          <w14:textOutline w14:w="0" w14:cap="flat" w14:cmpd="sng" w14:algn="ctr">
            <w14:noFill/>
            <w14:prstDash w14:val="solid"/>
            <w14:round/>
          </w14:textOutline>
        </w:rPr>
      </w:pPr>
      <w:r w:rsidRPr="00787DF5">
        <w:rPr>
          <w:rFonts w:ascii="Times" w:hAnsi="Times" w:cstheme="minorHAnsi"/>
          <w:b/>
          <w:bCs/>
          <w:i/>
          <w:iCs/>
          <w:color w:val="000000" w:themeColor="text1"/>
          <w:sz w:val="36"/>
          <w:szCs w:val="36"/>
          <w14:textOutline w14:w="0" w14:cap="flat" w14:cmpd="sng" w14:algn="ctr">
            <w14:noFill/>
            <w14:prstDash w14:val="solid"/>
            <w14:round/>
          </w14:textOutline>
        </w:rPr>
        <w:t>University of Wales Trinity Saint David (London Campus)</w:t>
      </w:r>
    </w:p>
    <w:p w14:paraId="7C09D079" w14:textId="406D2A00" w:rsidR="00C573F9" w:rsidRDefault="00D052AC" w:rsidP="00D052AC">
      <w:pPr>
        <w:spacing w:line="360" w:lineRule="auto"/>
        <w:jc w:val="center"/>
        <w:rPr>
          <w:rFonts w:ascii="Times" w:hAnsi="Times" w:cstheme="minorHAnsi"/>
          <w:b/>
          <w:bCs/>
          <w:i/>
          <w:iCs/>
          <w:color w:val="000000" w:themeColor="text1"/>
          <w:sz w:val="36"/>
          <w:szCs w:val="36"/>
          <w:shd w:val="clear" w:color="auto" w:fill="FFFFFF"/>
          <w14:textOutline w14:w="0" w14:cap="flat" w14:cmpd="sng" w14:algn="ctr">
            <w14:noFill/>
            <w14:prstDash w14:val="solid"/>
            <w14:round/>
          </w14:textOutline>
        </w:rPr>
      </w:pPr>
      <w:r w:rsidRPr="00787DF5">
        <w:rPr>
          <w:rFonts w:ascii="Times" w:hAnsi="Times" w:cstheme="minorHAnsi"/>
          <w:b/>
          <w:bCs/>
          <w:i/>
          <w:iCs/>
          <w:color w:val="000000" w:themeColor="text1"/>
          <w:sz w:val="36"/>
          <w:szCs w:val="36"/>
          <w:shd w:val="clear" w:color="auto" w:fill="FFFFFF"/>
          <w14:textOutline w14:w="0" w14:cap="flat" w14:cmpd="sng" w14:algn="ctr">
            <w14:noFill/>
            <w14:prstDash w14:val="solid"/>
            <w14:round/>
          </w14:textOutline>
        </w:rPr>
        <w:t xml:space="preserve">Irina </w:t>
      </w:r>
      <w:proofErr w:type="spellStart"/>
      <w:r w:rsidRPr="00787DF5">
        <w:rPr>
          <w:rFonts w:ascii="Times" w:hAnsi="Times" w:cstheme="minorHAnsi"/>
          <w:b/>
          <w:bCs/>
          <w:i/>
          <w:iCs/>
          <w:color w:val="000000" w:themeColor="text1"/>
          <w:sz w:val="36"/>
          <w:szCs w:val="36"/>
          <w:shd w:val="clear" w:color="auto" w:fill="FFFFFF"/>
          <w14:textOutline w14:w="0" w14:cap="flat" w14:cmpd="sng" w14:algn="ctr">
            <w14:noFill/>
            <w14:prstDash w14:val="solid"/>
            <w14:round/>
          </w14:textOutline>
        </w:rPr>
        <w:t>Comendant</w:t>
      </w:r>
      <w:proofErr w:type="spellEnd"/>
      <w:r w:rsidRPr="00787DF5">
        <w:rPr>
          <w:rFonts w:ascii="Times" w:hAnsi="Times" w:cstheme="minorHAnsi"/>
          <w:b/>
          <w:bCs/>
          <w:i/>
          <w:iCs/>
          <w:color w:val="000000" w:themeColor="text1"/>
          <w:sz w:val="36"/>
          <w:szCs w:val="36"/>
          <w:shd w:val="clear" w:color="auto" w:fill="FFFFFF"/>
          <w14:textOutline w14:w="0" w14:cap="flat" w14:cmpd="sng" w14:algn="ctr">
            <w14:noFill/>
            <w14:prstDash w14:val="solid"/>
            <w14:round/>
          </w14:textOutline>
        </w:rPr>
        <w:t xml:space="preserve"> (2027756)</w:t>
      </w:r>
    </w:p>
    <w:p w14:paraId="36F121D6" w14:textId="5BABCE6E" w:rsidR="00FF7FD8" w:rsidRDefault="00FF7FD8" w:rsidP="00D052AC">
      <w:pPr>
        <w:spacing w:line="360" w:lineRule="auto"/>
        <w:jc w:val="center"/>
        <w:rPr>
          <w:rFonts w:ascii="Times" w:hAnsi="Times" w:cstheme="minorHAnsi"/>
          <w:b/>
          <w:bCs/>
          <w:i/>
          <w:iCs/>
          <w:color w:val="000000" w:themeColor="text1"/>
          <w:sz w:val="36"/>
          <w:szCs w:val="36"/>
          <w:shd w:val="clear" w:color="auto" w:fill="FFFFFF"/>
          <w14:textOutline w14:w="0" w14:cap="flat" w14:cmpd="sng" w14:algn="ctr">
            <w14:noFill/>
            <w14:prstDash w14:val="solid"/>
            <w14:round/>
          </w14:textOutline>
        </w:rPr>
      </w:pPr>
    </w:p>
    <w:p w14:paraId="691B3AEF" w14:textId="77777777" w:rsidR="00FF7FD8" w:rsidRDefault="00FF7FD8" w:rsidP="00D052AC">
      <w:pPr>
        <w:spacing w:line="360" w:lineRule="auto"/>
        <w:jc w:val="center"/>
        <w:rPr>
          <w:rFonts w:ascii="Times" w:hAnsi="Times" w:cstheme="minorHAnsi"/>
          <w:b/>
          <w:bCs/>
          <w:i/>
          <w:iCs/>
          <w:color w:val="000000" w:themeColor="text1"/>
          <w:sz w:val="36"/>
          <w:szCs w:val="36"/>
          <w:shd w:val="clear" w:color="auto" w:fill="FFFFFF"/>
          <w14:textOutline w14:w="0" w14:cap="flat" w14:cmpd="sng" w14:algn="ctr">
            <w14:noFill/>
            <w14:prstDash w14:val="solid"/>
            <w14:round/>
          </w14:textOutline>
        </w:rPr>
      </w:pPr>
    </w:p>
    <w:p w14:paraId="731422D1" w14:textId="3FD3E495" w:rsidR="00787DF5" w:rsidRPr="00787DF5" w:rsidRDefault="00FF7FD8" w:rsidP="00D052AC">
      <w:pPr>
        <w:spacing w:line="360" w:lineRule="auto"/>
        <w:jc w:val="center"/>
        <w:rPr>
          <w:rFonts w:ascii="Times" w:hAnsi="Times" w:cstheme="minorHAnsi"/>
          <w:b/>
          <w:bCs/>
          <w:i/>
          <w:iCs/>
          <w:color w:val="000000" w:themeColor="text1"/>
          <w:sz w:val="36"/>
          <w:szCs w:val="36"/>
          <w:shd w:val="clear" w:color="auto" w:fill="FFFFFF"/>
          <w14:textOutline w14:w="0" w14:cap="flat" w14:cmpd="sng" w14:algn="ctr">
            <w14:noFill/>
            <w14:prstDash w14:val="solid"/>
            <w14:round/>
          </w14:textOutline>
        </w:rPr>
      </w:pPr>
      <w:r>
        <w:rPr>
          <w:rFonts w:ascii="Times" w:hAnsi="Times" w:cstheme="minorHAnsi"/>
          <w:b/>
          <w:bCs/>
          <w:i/>
          <w:iCs/>
          <w:color w:val="000000" w:themeColor="text1"/>
          <w:sz w:val="36"/>
          <w:szCs w:val="36"/>
          <w:shd w:val="clear" w:color="auto" w:fill="FFFFFF"/>
          <w14:textOutline w14:w="0" w14:cap="flat" w14:cmpd="sng" w14:algn="ctr">
            <w14:noFill/>
            <w14:prstDash w14:val="solid"/>
            <w14:round/>
          </w14:textOutline>
        </w:rPr>
        <w:t>“</w:t>
      </w:r>
      <w:r w:rsidR="00787DF5">
        <w:rPr>
          <w:rFonts w:ascii="Times" w:hAnsi="Times" w:cstheme="minorHAnsi"/>
          <w:b/>
          <w:bCs/>
          <w:i/>
          <w:iCs/>
          <w:color w:val="000000" w:themeColor="text1"/>
          <w:sz w:val="36"/>
          <w:szCs w:val="36"/>
          <w:shd w:val="clear" w:color="auto" w:fill="FFFFFF"/>
          <w14:textOutline w14:w="0" w14:cap="flat" w14:cmpd="sng" w14:algn="ctr">
            <w14:noFill/>
            <w14:prstDash w14:val="solid"/>
            <w14:round/>
          </w14:textOutline>
        </w:rPr>
        <w:t xml:space="preserve">Examination of External Business Factors Impact on Business Survival: A Case </w:t>
      </w:r>
      <w:r>
        <w:rPr>
          <w:rFonts w:ascii="Times" w:hAnsi="Times" w:cstheme="minorHAnsi"/>
          <w:b/>
          <w:bCs/>
          <w:i/>
          <w:iCs/>
          <w:color w:val="000000" w:themeColor="text1"/>
          <w:sz w:val="36"/>
          <w:szCs w:val="36"/>
          <w:shd w:val="clear" w:color="auto" w:fill="FFFFFF"/>
          <w14:textOutline w14:w="0" w14:cap="flat" w14:cmpd="sng" w14:algn="ctr">
            <w14:noFill/>
            <w14:prstDash w14:val="solid"/>
            <w14:round/>
          </w14:textOutline>
        </w:rPr>
        <w:t>Study on Debenhams”</w:t>
      </w:r>
    </w:p>
    <w:p w14:paraId="7BD47F05" w14:textId="07F96D25" w:rsidR="00C573F9" w:rsidRPr="00787DF5" w:rsidRDefault="00C573F9" w:rsidP="00D052AC">
      <w:pPr>
        <w:spacing w:line="360" w:lineRule="auto"/>
        <w:rPr>
          <w:rFonts w:ascii="Times" w:hAnsi="Times" w:cstheme="minorHAnsi"/>
          <w:b/>
          <w:bCs/>
          <w:i/>
          <w:iCs/>
          <w:color w:val="555555"/>
          <w:shd w:val="clear" w:color="auto" w:fill="FFFFFF"/>
        </w:rPr>
      </w:pPr>
      <w:r w:rsidRPr="00787DF5">
        <w:rPr>
          <w:rFonts w:ascii="Times" w:hAnsi="Times" w:cstheme="minorHAnsi"/>
          <w:b/>
          <w:bCs/>
          <w:i/>
          <w:iCs/>
          <w:color w:val="555555"/>
          <w:shd w:val="clear" w:color="auto" w:fill="FFFFFF"/>
        </w:rPr>
        <w:t xml:space="preserve"> </w:t>
      </w:r>
    </w:p>
    <w:p w14:paraId="5A63B801" w14:textId="6FDD9ACB" w:rsidR="006B4AE7" w:rsidRPr="00787DF5" w:rsidRDefault="00000000" w:rsidP="00D052AC">
      <w:pPr>
        <w:spacing w:after="120" w:line="360" w:lineRule="auto"/>
        <w:rPr>
          <w:rFonts w:ascii="Times" w:hAnsi="Times" w:cstheme="minorHAnsi"/>
          <w:b/>
          <w:bCs/>
          <w:i/>
          <w:iCs/>
          <w:color w:val="555555"/>
          <w:shd w:val="clear" w:color="auto" w:fill="FFFFFF"/>
        </w:rPr>
      </w:pPr>
    </w:p>
    <w:p w14:paraId="238846DF" w14:textId="3E13ACDB" w:rsidR="00D052AC" w:rsidRPr="00787DF5" w:rsidRDefault="00D052AC" w:rsidP="00D052AC">
      <w:pPr>
        <w:spacing w:after="120" w:line="360" w:lineRule="auto"/>
        <w:rPr>
          <w:rFonts w:ascii="Times" w:hAnsi="Times" w:cstheme="minorHAnsi"/>
          <w:b/>
          <w:bCs/>
          <w:i/>
          <w:iCs/>
          <w:color w:val="555555"/>
          <w:shd w:val="clear" w:color="auto" w:fill="FFFFFF"/>
        </w:rPr>
      </w:pPr>
    </w:p>
    <w:p w14:paraId="13DB3137" w14:textId="5AFBD4C9" w:rsidR="00D052AC" w:rsidRDefault="00D052AC" w:rsidP="00D052AC">
      <w:pPr>
        <w:spacing w:after="120" w:line="360" w:lineRule="auto"/>
        <w:rPr>
          <w:rFonts w:ascii="Times" w:hAnsi="Times" w:cstheme="minorHAnsi"/>
          <w:color w:val="555555"/>
          <w:shd w:val="clear" w:color="auto" w:fill="FFFFFF"/>
        </w:rPr>
      </w:pPr>
    </w:p>
    <w:p w14:paraId="0A1EF9A4" w14:textId="615BBB27" w:rsidR="00D052AC" w:rsidRDefault="00D052AC" w:rsidP="00D052AC">
      <w:pPr>
        <w:spacing w:after="120" w:line="360" w:lineRule="auto"/>
        <w:rPr>
          <w:rFonts w:ascii="Times" w:hAnsi="Times" w:cstheme="minorHAnsi"/>
          <w:color w:val="555555"/>
          <w:shd w:val="clear" w:color="auto" w:fill="FFFFFF"/>
        </w:rPr>
      </w:pPr>
    </w:p>
    <w:p w14:paraId="1727B850" w14:textId="69D6932D" w:rsidR="00D052AC" w:rsidRDefault="00D052AC" w:rsidP="00D052AC">
      <w:pPr>
        <w:spacing w:after="120" w:line="360" w:lineRule="auto"/>
        <w:rPr>
          <w:rFonts w:ascii="Times" w:hAnsi="Times" w:cstheme="minorHAnsi"/>
          <w:color w:val="555555"/>
          <w:shd w:val="clear" w:color="auto" w:fill="FFFFFF"/>
        </w:rPr>
      </w:pPr>
    </w:p>
    <w:p w14:paraId="67D91570" w14:textId="0E185FB4" w:rsidR="00D052AC" w:rsidRDefault="00D052AC" w:rsidP="00D052AC">
      <w:pPr>
        <w:spacing w:after="120" w:line="360" w:lineRule="auto"/>
        <w:rPr>
          <w:rFonts w:ascii="Times" w:hAnsi="Times" w:cstheme="minorHAnsi"/>
          <w:color w:val="555555"/>
          <w:shd w:val="clear" w:color="auto" w:fill="FFFFFF"/>
        </w:rPr>
      </w:pPr>
    </w:p>
    <w:p w14:paraId="581C3316" w14:textId="4CE0C3C2" w:rsidR="00D052AC" w:rsidRDefault="00D052AC" w:rsidP="00D052AC">
      <w:pPr>
        <w:spacing w:after="120" w:line="360" w:lineRule="auto"/>
        <w:rPr>
          <w:rFonts w:ascii="Times" w:hAnsi="Times" w:cstheme="minorHAnsi"/>
          <w:color w:val="555555"/>
          <w:shd w:val="clear" w:color="auto" w:fill="FFFFFF"/>
        </w:rPr>
      </w:pPr>
    </w:p>
    <w:p w14:paraId="65C2D17A" w14:textId="7DEB13A7" w:rsidR="00D052AC" w:rsidRDefault="00D052AC" w:rsidP="00D052AC">
      <w:pPr>
        <w:spacing w:after="120" w:line="360" w:lineRule="auto"/>
        <w:rPr>
          <w:rFonts w:ascii="Times" w:hAnsi="Times" w:cstheme="minorHAnsi"/>
          <w:color w:val="555555"/>
          <w:shd w:val="clear" w:color="auto" w:fill="FFFFFF"/>
        </w:rPr>
      </w:pPr>
    </w:p>
    <w:p w14:paraId="3E5DE1CF" w14:textId="32AC8AA8" w:rsidR="00D052AC" w:rsidRDefault="00D052AC" w:rsidP="00D052AC">
      <w:pPr>
        <w:spacing w:after="120" w:line="360" w:lineRule="auto"/>
        <w:rPr>
          <w:rFonts w:ascii="Times" w:hAnsi="Times" w:cstheme="minorHAnsi"/>
          <w:color w:val="555555"/>
          <w:shd w:val="clear" w:color="auto" w:fill="FFFFFF"/>
        </w:rPr>
      </w:pPr>
    </w:p>
    <w:p w14:paraId="20501B4F" w14:textId="3C347C18" w:rsidR="00D052AC" w:rsidRDefault="00D052AC" w:rsidP="00D052AC">
      <w:pPr>
        <w:spacing w:after="120" w:line="360" w:lineRule="auto"/>
        <w:rPr>
          <w:rFonts w:ascii="Times" w:hAnsi="Times" w:cstheme="minorHAnsi"/>
          <w:color w:val="555555"/>
          <w:shd w:val="clear" w:color="auto" w:fill="FFFFFF"/>
        </w:rPr>
      </w:pPr>
    </w:p>
    <w:p w14:paraId="448968C1" w14:textId="66848B41" w:rsidR="00D052AC" w:rsidRDefault="00D052AC" w:rsidP="00D052AC">
      <w:pPr>
        <w:spacing w:after="120" w:line="360" w:lineRule="auto"/>
        <w:rPr>
          <w:rFonts w:ascii="Times" w:hAnsi="Times" w:cstheme="minorHAnsi"/>
          <w:color w:val="555555"/>
          <w:shd w:val="clear" w:color="auto" w:fill="FFFFFF"/>
        </w:rPr>
      </w:pPr>
    </w:p>
    <w:p w14:paraId="05DF1FF9" w14:textId="5BDA4163" w:rsidR="00D052AC" w:rsidRDefault="00D052AC" w:rsidP="00D052AC">
      <w:pPr>
        <w:spacing w:after="120" w:line="360" w:lineRule="auto"/>
        <w:rPr>
          <w:rFonts w:ascii="Times" w:hAnsi="Times" w:cstheme="minorHAnsi"/>
          <w:color w:val="555555"/>
          <w:shd w:val="clear" w:color="auto" w:fill="FFFFFF"/>
        </w:rPr>
      </w:pPr>
    </w:p>
    <w:p w14:paraId="5F0B5A11" w14:textId="518B159E" w:rsidR="00D052AC" w:rsidRDefault="00D052AC" w:rsidP="00D052AC">
      <w:pPr>
        <w:spacing w:after="120" w:line="360" w:lineRule="auto"/>
        <w:rPr>
          <w:rFonts w:ascii="Times" w:hAnsi="Times" w:cstheme="minorHAnsi"/>
          <w:color w:val="555555"/>
          <w:shd w:val="clear" w:color="auto" w:fill="FFFFFF"/>
        </w:rPr>
      </w:pPr>
    </w:p>
    <w:p w14:paraId="7F984E29" w14:textId="3EF4EBB7" w:rsidR="00D052AC" w:rsidRDefault="00D052AC" w:rsidP="00D052AC">
      <w:pPr>
        <w:spacing w:after="120" w:line="360" w:lineRule="auto"/>
        <w:rPr>
          <w:rFonts w:ascii="Times" w:hAnsi="Times" w:cstheme="minorHAnsi"/>
          <w:color w:val="555555"/>
          <w:shd w:val="clear" w:color="auto" w:fill="FFFFFF"/>
        </w:rPr>
      </w:pPr>
    </w:p>
    <w:p w14:paraId="55039F2D" w14:textId="77777777" w:rsidR="00FF7FD8" w:rsidRDefault="00FF7FD8" w:rsidP="00D052AC">
      <w:pPr>
        <w:spacing w:after="120" w:line="360" w:lineRule="auto"/>
        <w:rPr>
          <w:rFonts w:ascii="Times" w:hAnsi="Times" w:cstheme="minorHAnsi"/>
          <w:color w:val="555555"/>
          <w:shd w:val="clear" w:color="auto" w:fill="FFFFFF"/>
        </w:rPr>
      </w:pPr>
    </w:p>
    <w:p w14:paraId="1A078755" w14:textId="3E754097" w:rsidR="00D052AC" w:rsidRPr="000E1764" w:rsidRDefault="00D052AC" w:rsidP="000E1764">
      <w:pPr>
        <w:spacing w:after="120" w:line="360" w:lineRule="auto"/>
        <w:jc w:val="center"/>
        <w:rPr>
          <w:rFonts w:ascii="Times" w:hAnsi="Times" w:cstheme="minorHAnsi"/>
          <w:color w:val="000000" w:themeColor="text1"/>
          <w:sz w:val="36"/>
          <w:szCs w:val="36"/>
          <w:shd w:val="clear" w:color="auto" w:fill="FFFFFF"/>
          <w14:textOutline w14:w="0" w14:cap="flat" w14:cmpd="sng" w14:algn="ctr">
            <w14:noFill/>
            <w14:prstDash w14:val="solid"/>
            <w14:round/>
          </w14:textOutline>
        </w:rPr>
      </w:pPr>
      <w:r w:rsidRPr="000E1764">
        <w:rPr>
          <w:rFonts w:ascii="Times" w:hAnsi="Times" w:cstheme="minorHAnsi"/>
          <w:color w:val="000000" w:themeColor="text1"/>
          <w:sz w:val="36"/>
          <w:szCs w:val="36"/>
          <w:shd w:val="clear" w:color="auto" w:fill="FFFFFF"/>
          <w14:textOutline w14:w="0" w14:cap="flat" w14:cmpd="sng" w14:algn="ctr">
            <w14:noFill/>
            <w14:prstDash w14:val="solid"/>
            <w14:round/>
          </w14:textOutline>
        </w:rPr>
        <w:lastRenderedPageBreak/>
        <w:t>Introduction</w:t>
      </w:r>
    </w:p>
    <w:p w14:paraId="50B8D10B" w14:textId="1A4977DC" w:rsidR="00FF7FD8" w:rsidRPr="000E1764" w:rsidRDefault="00FF7FD8" w:rsidP="000E1764">
      <w:pPr>
        <w:spacing w:after="120" w:line="360" w:lineRule="auto"/>
        <w:rPr>
          <w:rStyle w:val="ui-provider"/>
          <w:rFonts w:ascii="Times" w:hAnsi="Times" w:cs="Segoe UI"/>
        </w:rPr>
      </w:pPr>
      <w:r w:rsidRPr="000E1764">
        <w:rPr>
          <w:rStyle w:val="ui-provider"/>
          <w:rFonts w:ascii="Times" w:hAnsi="Times" w:cs="Segoe UI"/>
        </w:rPr>
        <w:t xml:space="preserve">   This case study examines how external business factors impact the survival of Debenhams, a renowned British department store chain. Understanding these factors is crucial for businesses to navigate the competitive landscape and make informed strategic decisions.</w:t>
      </w:r>
      <w:r w:rsidRPr="000E1764">
        <w:rPr>
          <w:rFonts w:ascii="Times" w:hAnsi="Times" w:cs="Segoe UI"/>
        </w:rPr>
        <w:br/>
      </w:r>
      <w:r w:rsidRPr="000E1764">
        <w:rPr>
          <w:rStyle w:val="ui-provider"/>
          <w:rFonts w:ascii="Times" w:hAnsi="Times" w:cs="Segoe UI"/>
        </w:rPr>
        <w:t xml:space="preserve">   Analysing the impact of external factors on business survival helps organizations identify risks and opportunities. The case study on Debenhams provides insights into the challenges faced by a well-known retail brand and highlights the importance of managing external factors for survival.</w:t>
      </w:r>
      <w:r w:rsidRPr="000E1764">
        <w:rPr>
          <w:rFonts w:ascii="Times" w:hAnsi="Times" w:cs="Segoe UI"/>
        </w:rPr>
        <w:br/>
      </w:r>
      <w:r w:rsidRPr="000E1764">
        <w:rPr>
          <w:rStyle w:val="ui-provider"/>
          <w:rFonts w:ascii="Times" w:hAnsi="Times" w:cs="Segoe UI"/>
        </w:rPr>
        <w:t xml:space="preserve">   The research aims to evaluate the influence of external business factors on Debenhams' survival and draw lessons for similar businesses. This study will provide valuable insights for managers and industry practitioners seeking to enhance their chances of survival in a competitive market.</w:t>
      </w:r>
      <w:r w:rsidRPr="000E1764">
        <w:rPr>
          <w:rFonts w:ascii="Times" w:hAnsi="Times" w:cs="Segoe UI"/>
        </w:rPr>
        <w:br/>
      </w:r>
      <w:r w:rsidRPr="000E1764">
        <w:rPr>
          <w:rStyle w:val="ui-provider"/>
          <w:rFonts w:ascii="Times" w:hAnsi="Times" w:cs="Segoe UI"/>
        </w:rPr>
        <w:t xml:space="preserve">   Objectives:</w:t>
      </w:r>
      <w:r w:rsidRPr="000E1764">
        <w:rPr>
          <w:rFonts w:ascii="Times" w:hAnsi="Times" w:cs="Segoe UI"/>
        </w:rPr>
        <w:br/>
      </w:r>
      <w:r w:rsidRPr="000E1764">
        <w:rPr>
          <w:rStyle w:val="ui-provider"/>
          <w:rFonts w:ascii="Times" w:hAnsi="Times" w:cs="Segoe UI"/>
        </w:rPr>
        <w:t>1. Analyse economic conditions and market trends affecting Debenhams' performance.</w:t>
      </w:r>
      <w:r w:rsidRPr="000E1764">
        <w:rPr>
          <w:rFonts w:ascii="Times" w:hAnsi="Times" w:cs="Segoe UI"/>
        </w:rPr>
        <w:br/>
      </w:r>
      <w:r w:rsidRPr="000E1764">
        <w:rPr>
          <w:rStyle w:val="ui-provider"/>
          <w:rFonts w:ascii="Times" w:hAnsi="Times" w:cs="Segoe UI"/>
        </w:rPr>
        <w:t>2. Assess the impact of technological advancements on Debenhams' competitiveness.</w:t>
      </w:r>
      <w:r w:rsidRPr="000E1764">
        <w:rPr>
          <w:rFonts w:ascii="Times" w:hAnsi="Times" w:cs="Segoe UI"/>
        </w:rPr>
        <w:br/>
      </w:r>
      <w:r w:rsidRPr="000E1764">
        <w:rPr>
          <w:rStyle w:val="ui-provider"/>
          <w:rFonts w:ascii="Times" w:hAnsi="Times" w:cs="Segoe UI"/>
        </w:rPr>
        <w:t>3. Examine the influence of competitive forces on Debenhams' market share and profitability.</w:t>
      </w:r>
      <w:r w:rsidRPr="000E1764">
        <w:rPr>
          <w:rFonts w:ascii="Times" w:hAnsi="Times" w:cs="Segoe UI"/>
        </w:rPr>
        <w:br/>
      </w:r>
      <w:r w:rsidRPr="000E1764">
        <w:rPr>
          <w:rStyle w:val="ui-provider"/>
          <w:rFonts w:ascii="Times" w:hAnsi="Times" w:cs="Segoe UI"/>
        </w:rPr>
        <w:t>4. Identify strategic decisions and actions taken by Debenhams in response to external challenges.</w:t>
      </w:r>
      <w:r w:rsidRPr="000E1764">
        <w:rPr>
          <w:rFonts w:ascii="Times" w:hAnsi="Times" w:cs="Segoe UI"/>
        </w:rPr>
        <w:br/>
      </w:r>
      <w:r w:rsidRPr="000E1764">
        <w:rPr>
          <w:rStyle w:val="ui-provider"/>
          <w:rFonts w:ascii="Times" w:hAnsi="Times" w:cs="Segoe UI"/>
        </w:rPr>
        <w:t>5. Provide recommendations for businesses in the retail industry to enhance their survival prospects.</w:t>
      </w:r>
      <w:r w:rsidRPr="000E1764">
        <w:rPr>
          <w:rFonts w:ascii="Times" w:hAnsi="Times" w:cs="Segoe UI"/>
        </w:rPr>
        <w:br/>
      </w:r>
      <w:r w:rsidRPr="000E1764">
        <w:rPr>
          <w:rStyle w:val="ui-provider"/>
          <w:rFonts w:ascii="Times" w:hAnsi="Times" w:cs="Segoe UI"/>
        </w:rPr>
        <w:t xml:space="preserve">   Research Questions:</w:t>
      </w:r>
      <w:r w:rsidRPr="000E1764">
        <w:rPr>
          <w:rFonts w:ascii="Times" w:hAnsi="Times" w:cs="Segoe UI"/>
        </w:rPr>
        <w:br/>
      </w:r>
      <w:r w:rsidRPr="000E1764">
        <w:rPr>
          <w:rStyle w:val="ui-provider"/>
          <w:rFonts w:ascii="Times" w:hAnsi="Times" w:cs="Segoe UI"/>
        </w:rPr>
        <w:t>1. How did economic conditions and market trends impact Debenhams' performance?</w:t>
      </w:r>
      <w:r w:rsidRPr="000E1764">
        <w:rPr>
          <w:rFonts w:ascii="Times" w:hAnsi="Times" w:cs="Segoe UI"/>
        </w:rPr>
        <w:br/>
      </w:r>
      <w:r w:rsidRPr="000E1764">
        <w:rPr>
          <w:rStyle w:val="ui-provider"/>
          <w:rFonts w:ascii="Times" w:hAnsi="Times" w:cs="Segoe UI"/>
        </w:rPr>
        <w:t>2. What role did technological advancements play in shaping Debenhams' competitiveness?</w:t>
      </w:r>
      <w:r w:rsidRPr="000E1764">
        <w:rPr>
          <w:rFonts w:ascii="Times" w:hAnsi="Times" w:cs="Segoe UI"/>
        </w:rPr>
        <w:br/>
      </w:r>
      <w:r w:rsidRPr="000E1764">
        <w:rPr>
          <w:rStyle w:val="ui-provider"/>
          <w:rFonts w:ascii="Times" w:hAnsi="Times" w:cs="Segoe UI"/>
        </w:rPr>
        <w:t>3. How did competitive forces affect Debenhams' market share and profitability?</w:t>
      </w:r>
      <w:r w:rsidRPr="000E1764">
        <w:rPr>
          <w:rFonts w:ascii="Times" w:hAnsi="Times" w:cs="Segoe UI"/>
        </w:rPr>
        <w:br/>
      </w:r>
      <w:r w:rsidRPr="000E1764">
        <w:rPr>
          <w:rStyle w:val="ui-provider"/>
          <w:rFonts w:ascii="Times" w:hAnsi="Times" w:cs="Segoe UI"/>
        </w:rPr>
        <w:t>4. What strategic decisions and actions did Debenhams take in response to external challenges?</w:t>
      </w:r>
      <w:r w:rsidRPr="000E1764">
        <w:rPr>
          <w:rFonts w:ascii="Times" w:hAnsi="Times" w:cs="Segoe UI"/>
        </w:rPr>
        <w:br/>
      </w:r>
      <w:r w:rsidRPr="000E1764">
        <w:rPr>
          <w:rStyle w:val="ui-provider"/>
          <w:rFonts w:ascii="Times" w:hAnsi="Times" w:cs="Segoe UI"/>
        </w:rPr>
        <w:t>5. What lessons and recommendations can be derived from Debenhams' experience for the retail industry?</w:t>
      </w:r>
      <w:r w:rsidRPr="000E1764">
        <w:rPr>
          <w:rFonts w:ascii="Times" w:hAnsi="Times" w:cs="Segoe UI"/>
        </w:rPr>
        <w:br/>
      </w:r>
      <w:r w:rsidRPr="000E1764">
        <w:rPr>
          <w:rStyle w:val="ui-provider"/>
          <w:rFonts w:ascii="Times" w:hAnsi="Times" w:cs="Segoe UI"/>
        </w:rPr>
        <w:t xml:space="preserve">   By addressing these research questions, this study aims to provide a comprehensive understanding of the external factors influencing Debenhams' survival and offer valuable insights for businesses in similar industries.</w:t>
      </w:r>
    </w:p>
    <w:p w14:paraId="0F87F649" w14:textId="6E000D4F" w:rsidR="00185E87" w:rsidRPr="000E1764" w:rsidRDefault="00185E87" w:rsidP="000E1764">
      <w:pPr>
        <w:spacing w:after="120" w:line="360" w:lineRule="auto"/>
        <w:rPr>
          <w:rStyle w:val="ui-provider"/>
          <w:rFonts w:ascii="Times" w:hAnsi="Times" w:cs="Segoe UI"/>
        </w:rPr>
      </w:pPr>
    </w:p>
    <w:p w14:paraId="130B71C9" w14:textId="3918D6A8" w:rsidR="00185E87" w:rsidRPr="000E1764" w:rsidRDefault="00185E87" w:rsidP="000E1764">
      <w:pPr>
        <w:spacing w:after="120" w:line="360" w:lineRule="auto"/>
        <w:rPr>
          <w:rStyle w:val="ui-provider"/>
          <w:rFonts w:ascii="Times" w:hAnsi="Times" w:cs="Segoe UI"/>
        </w:rPr>
      </w:pPr>
    </w:p>
    <w:p w14:paraId="45B90A5C" w14:textId="66CF4D34" w:rsidR="00185E87" w:rsidRPr="000E1764" w:rsidRDefault="00185E87" w:rsidP="000E1764">
      <w:pPr>
        <w:spacing w:after="120" w:line="360" w:lineRule="auto"/>
        <w:rPr>
          <w:rStyle w:val="ui-provider"/>
          <w:rFonts w:ascii="Times" w:hAnsi="Times" w:cs="Segoe UI"/>
        </w:rPr>
      </w:pPr>
    </w:p>
    <w:p w14:paraId="6A5533DF" w14:textId="7B0D350E" w:rsidR="00185E87" w:rsidRPr="000E1764" w:rsidRDefault="00185E87" w:rsidP="000E1764">
      <w:pPr>
        <w:spacing w:after="120" w:line="360" w:lineRule="auto"/>
        <w:jc w:val="center"/>
        <w:rPr>
          <w:rStyle w:val="ui-provider"/>
          <w:rFonts w:ascii="Times" w:hAnsi="Times" w:cstheme="minorHAnsi"/>
          <w:color w:val="000000" w:themeColor="text1"/>
          <w:sz w:val="36"/>
          <w:szCs w:val="36"/>
          <w:shd w:val="clear" w:color="auto" w:fill="FFFFFF"/>
          <w14:textOutline w14:w="0" w14:cap="flat" w14:cmpd="sng" w14:algn="ctr">
            <w14:noFill/>
            <w14:prstDash w14:val="solid"/>
            <w14:round/>
          </w14:textOutline>
        </w:rPr>
      </w:pPr>
      <w:r w:rsidRPr="000E1764">
        <w:rPr>
          <w:rFonts w:ascii="Times" w:hAnsi="Times" w:cstheme="minorHAnsi"/>
          <w:color w:val="000000" w:themeColor="text1"/>
          <w:sz w:val="36"/>
          <w:szCs w:val="36"/>
          <w:shd w:val="clear" w:color="auto" w:fill="FFFFFF"/>
          <w14:textOutline w14:w="0" w14:cap="flat" w14:cmpd="sng" w14:algn="ctr">
            <w14:noFill/>
            <w14:prstDash w14:val="solid"/>
            <w14:round/>
          </w14:textOutline>
        </w:rPr>
        <w:t>Literature Review</w:t>
      </w:r>
    </w:p>
    <w:p w14:paraId="53A6ED44" w14:textId="044E896D" w:rsidR="00185E87" w:rsidRPr="000E1764" w:rsidRDefault="00185E87" w:rsidP="000E1764">
      <w:pPr>
        <w:spacing w:after="120" w:line="360" w:lineRule="auto"/>
        <w:rPr>
          <w:rFonts w:ascii="Times" w:hAnsi="Times" w:cstheme="minorHAnsi"/>
          <w:color w:val="000000" w:themeColor="text1"/>
          <w:shd w:val="clear" w:color="auto" w:fill="FFFFFF"/>
          <w14:textOutline w14:w="0" w14:cap="flat" w14:cmpd="sng" w14:algn="ctr">
            <w14:noFill/>
            <w14:prstDash w14:val="solid"/>
            <w14:round/>
          </w14:textOutline>
        </w:rPr>
      </w:pPr>
      <w:r w:rsidRPr="000E1764">
        <w:rPr>
          <w:rStyle w:val="ui-provider"/>
          <w:rFonts w:ascii="Times" w:hAnsi="Times" w:cs="Segoe UI"/>
        </w:rPr>
        <w:t xml:space="preserve">   Examining the impact of external business factors on business survival involves analysing the external environment in which a business operates and identifying the factors that can influence its ability to survive and thrive. These factors can include economic conditions, market trends, technological advancements, competitive forces, and more.</w:t>
      </w:r>
      <w:r w:rsidRPr="000E1764">
        <w:rPr>
          <w:rFonts w:ascii="Times" w:hAnsi="Times" w:cs="Segoe UI"/>
        </w:rPr>
        <w:br/>
      </w:r>
      <w:r w:rsidRPr="000E1764">
        <w:rPr>
          <w:rStyle w:val="ui-provider"/>
          <w:rFonts w:ascii="Times" w:hAnsi="Times" w:cs="Segoe UI"/>
        </w:rPr>
        <w:t xml:space="preserve">   The examination of external business factors is a multifaceted process that requires a comprehensive understanding of the business environment. It involves assessing both the macro-level factors that affect industries as a whole and the micro-level factors that impact individual businesses. Additionally, it requires a thorough analysis of various aspects such as economic, technological, and competitive factors.</w:t>
      </w:r>
      <w:r w:rsidRPr="000E1764">
        <w:rPr>
          <w:rFonts w:ascii="Times" w:hAnsi="Times" w:cs="Segoe UI"/>
        </w:rPr>
        <w:br/>
      </w:r>
      <w:r w:rsidRPr="000E1764">
        <w:rPr>
          <w:rStyle w:val="ui-provider"/>
          <w:rFonts w:ascii="Times" w:hAnsi="Times" w:cs="Segoe UI"/>
        </w:rPr>
        <w:t xml:space="preserve">   Understanding the impact of external business factors on survival is crucial for businesses to proactively adapt to changing circumstances and make informed strategic decisions. By recognizing these factors, businesses can identify potential risks and opportunities, develop effective strategies, and enhance their chances of long-term survival in a competitive market.</w:t>
      </w:r>
      <w:r w:rsidRPr="000E1764">
        <w:rPr>
          <w:rFonts w:ascii="Times" w:hAnsi="Times" w:cs="Segoe UI"/>
        </w:rPr>
        <w:br/>
      </w:r>
      <w:r w:rsidRPr="000E1764">
        <w:rPr>
          <w:rStyle w:val="ui-provider"/>
          <w:rFonts w:ascii="Times" w:hAnsi="Times" w:cs="Segoe UI"/>
        </w:rPr>
        <w:t xml:space="preserve">   Several models and theories are used to analyse the impact of external business factors on survival. These include Porter's Five Forces, PESTEL analysis, SWOT analysis, and the resource-based view theory. These frameworks provide structured approaches to assess the external environment and understand the dynamics that influence business survival.</w:t>
      </w:r>
      <w:r w:rsidRPr="000E1764">
        <w:rPr>
          <w:rFonts w:ascii="Times" w:hAnsi="Times" w:cs="Segoe UI"/>
        </w:rPr>
        <w:br/>
      </w:r>
      <w:r w:rsidRPr="000E1764">
        <w:rPr>
          <w:rStyle w:val="ui-provider"/>
          <w:rFonts w:ascii="Times" w:hAnsi="Times" w:cs="Segoe UI"/>
        </w:rPr>
        <w:t xml:space="preserve">   Examining external business factors offers several advantages. It enables businesses to stay ahead of industry trends, anticipate changes, and align their strategies accordingly. It also helps in identifying potential threats and developing contingency plans. Additionally, understanding these factors facilitates strategic decision-making and enhances the overall competitiveness of the business.</w:t>
      </w:r>
      <w:r w:rsidRPr="000E1764">
        <w:rPr>
          <w:rFonts w:ascii="Times" w:hAnsi="Times" w:cs="Segoe UI"/>
        </w:rPr>
        <w:br/>
      </w:r>
      <w:r w:rsidRPr="000E1764">
        <w:rPr>
          <w:rStyle w:val="ui-provider"/>
          <w:rFonts w:ascii="Times" w:hAnsi="Times" w:cs="Segoe UI"/>
        </w:rPr>
        <w:t xml:space="preserve">   There are some challenges associated with examining external business factors. The external environment is dynamic and constantly evolving, making it difficult to accurately predict future trends and outcomes. Additionally, businesses may face information gaps or limited access to relevant data, which can hinder their analysis. Moreover, external factors are often interconnected, making it challenging to isolate their individual impacts on survival.</w:t>
      </w:r>
      <w:r w:rsidRPr="000E1764">
        <w:rPr>
          <w:rFonts w:ascii="Times" w:hAnsi="Times" w:cs="Segoe UI"/>
        </w:rPr>
        <w:br/>
      </w:r>
      <w:r w:rsidRPr="000E1764">
        <w:rPr>
          <w:rStyle w:val="ui-provider"/>
          <w:rFonts w:ascii="Times" w:hAnsi="Times" w:cs="Segoe UI"/>
        </w:rPr>
        <w:t xml:space="preserve">   Examining external business factors poses certain challenges. It requires continuous monitoring and analysis of the external environment, which can be time-consuming and </w:t>
      </w:r>
      <w:r w:rsidRPr="000E1764">
        <w:rPr>
          <w:rStyle w:val="ui-provider"/>
          <w:rFonts w:ascii="Times" w:hAnsi="Times" w:cs="Segoe UI"/>
        </w:rPr>
        <w:lastRenderedPageBreak/>
        <w:t>resource intensive. Additionally, businesses need to stay updated with the latest trends and developments to effectively respond to changes. Moreover, understanding the complex interplay between different external factors and their impact on survival requires a comprehensive and holistic approach.</w:t>
      </w:r>
      <w:r w:rsidRPr="000E1764">
        <w:rPr>
          <w:rFonts w:ascii="Times" w:hAnsi="Times" w:cs="Segoe UI"/>
        </w:rPr>
        <w:br/>
      </w:r>
      <w:r w:rsidRPr="000E1764">
        <w:rPr>
          <w:rFonts w:ascii="Times" w:hAnsi="Times" w:cs="Segoe UI"/>
        </w:rPr>
        <w:br/>
      </w:r>
    </w:p>
    <w:p w14:paraId="53FABC64" w14:textId="6DA9C364" w:rsidR="00185E87" w:rsidRPr="000E1764" w:rsidRDefault="00185E87" w:rsidP="000E1764">
      <w:pPr>
        <w:spacing w:after="120" w:line="360" w:lineRule="auto"/>
        <w:jc w:val="center"/>
        <w:rPr>
          <w:rFonts w:ascii="Times" w:hAnsi="Times" w:cstheme="minorHAnsi"/>
          <w:color w:val="000000" w:themeColor="text1"/>
          <w:sz w:val="36"/>
          <w:szCs w:val="36"/>
          <w:shd w:val="clear" w:color="auto" w:fill="FFFFFF"/>
          <w14:textOutline w14:w="0" w14:cap="flat" w14:cmpd="sng" w14:algn="ctr">
            <w14:noFill/>
            <w14:prstDash w14:val="solid"/>
            <w14:round/>
          </w14:textOutline>
        </w:rPr>
      </w:pPr>
      <w:r w:rsidRPr="000E1764">
        <w:rPr>
          <w:rFonts w:ascii="Times" w:hAnsi="Times" w:cstheme="minorHAnsi"/>
          <w:color w:val="000000" w:themeColor="text1"/>
          <w:sz w:val="36"/>
          <w:szCs w:val="36"/>
          <w:shd w:val="clear" w:color="auto" w:fill="FFFFFF"/>
          <w14:textOutline w14:w="0" w14:cap="flat" w14:cmpd="sng" w14:algn="ctr">
            <w14:noFill/>
            <w14:prstDash w14:val="solid"/>
            <w14:round/>
          </w14:textOutline>
        </w:rPr>
        <w:t>Research Methods and Methodology</w:t>
      </w:r>
    </w:p>
    <w:p w14:paraId="0C801061" w14:textId="133016DF" w:rsidR="00696296" w:rsidRPr="000E1764" w:rsidRDefault="00696296" w:rsidP="000E1764">
      <w:pPr>
        <w:spacing w:after="120" w:line="360" w:lineRule="auto"/>
        <w:rPr>
          <w:rStyle w:val="ui-provider"/>
          <w:rFonts w:ascii="Times" w:hAnsi="Times" w:cs="Segoe UI"/>
        </w:rPr>
      </w:pPr>
      <w:r w:rsidRPr="000E1764">
        <w:rPr>
          <w:rStyle w:val="ui-provider"/>
          <w:rFonts w:ascii="Times" w:hAnsi="Times" w:cs="Segoe UI"/>
        </w:rPr>
        <w:t xml:space="preserve">   The research philosophy for examining the impact of external business factors on business survival in the case study of Debenhams can be pragmatism. Pragmatism emphasizes practicality and focuses on finding solutions to real-world problems. In this case, the aim is to understand how external factors impact the survival of Debenhams and provide actionable insights for businesses in similar situations. Pragmatism allows for a flexible approach that combines both quantitative and qualitative methods to gather relevant data and draw meaningful conclusions.</w:t>
      </w:r>
      <w:r w:rsidRPr="000E1764">
        <w:rPr>
          <w:rFonts w:ascii="Times" w:hAnsi="Times" w:cs="Segoe UI"/>
        </w:rPr>
        <w:br/>
      </w:r>
      <w:r w:rsidRPr="000E1764">
        <w:rPr>
          <w:rStyle w:val="ui-provider"/>
          <w:rFonts w:ascii="Times" w:hAnsi="Times" w:cs="Segoe UI"/>
        </w:rPr>
        <w:t xml:space="preserve">   The research paradigm for this study can be considered as a combination of positivism and interpretivism. Positivism emphasizes objectivity and the use of scientific methods to study phenomena, while interpretivism focuses on understanding the social and subjective aspects of human behaviour. By combining these paradigms, the study can incorporate both quantitative data analysis to identify trends and patterns, as well as qualitative analysis to gain insights into the perceptions and experiences of key stakeholders.</w:t>
      </w:r>
      <w:r w:rsidRPr="000E1764">
        <w:rPr>
          <w:rFonts w:ascii="Times" w:hAnsi="Times" w:cs="Segoe UI"/>
        </w:rPr>
        <w:br/>
      </w:r>
      <w:r w:rsidRPr="000E1764">
        <w:rPr>
          <w:rStyle w:val="ui-provider"/>
          <w:rFonts w:ascii="Times" w:hAnsi="Times" w:cs="Segoe UI"/>
        </w:rPr>
        <w:t xml:space="preserve">   The research approach for this study can be deductive. Deductive approach involves testing existing theories or hypotheses by collecting data and analysing it to draw conclusions. In this case, the study can start with existing theories and models related to the impact of external business factors on survival, and then collect data from Debenhams' case study to validate or refine these theories.</w:t>
      </w:r>
      <w:r w:rsidRPr="000E1764">
        <w:rPr>
          <w:rFonts w:ascii="Times" w:hAnsi="Times" w:cs="Segoe UI"/>
        </w:rPr>
        <w:br/>
      </w:r>
      <w:r w:rsidRPr="000E1764">
        <w:rPr>
          <w:rStyle w:val="ui-provider"/>
          <w:rFonts w:ascii="Times" w:hAnsi="Times" w:cs="Segoe UI"/>
        </w:rPr>
        <w:t xml:space="preserve">   The research methodology can include a combination of qualitative and quantitative methods. Qualitative methods such as interviews, focus groups, and case studies can be used to collect in-depth insights from key stakeholders, including employees, customers, and industry experts. Quantitative methods such as surveys and financial analysis can be used to gather numerical data on external business factors, financial performance, and market trends.</w:t>
      </w:r>
      <w:r w:rsidRPr="000E1764">
        <w:rPr>
          <w:rFonts w:ascii="Times" w:hAnsi="Times" w:cs="Segoe UI"/>
        </w:rPr>
        <w:br/>
      </w:r>
      <w:r w:rsidRPr="000E1764">
        <w:rPr>
          <w:rStyle w:val="ui-provider"/>
          <w:rFonts w:ascii="Times" w:hAnsi="Times" w:cs="Segoe UI"/>
        </w:rPr>
        <w:t xml:space="preserve">   The research strategy can be a mixed-methods approach. This involves collecting and analysing both qualitative and quantitative data to provide a comprehensive understanding of </w:t>
      </w:r>
      <w:r w:rsidRPr="000E1764">
        <w:rPr>
          <w:rStyle w:val="ui-provider"/>
          <w:rFonts w:ascii="Times" w:hAnsi="Times" w:cs="Segoe UI"/>
        </w:rPr>
        <w:lastRenderedPageBreak/>
        <w:t>the impact of external business factors on Debenhams' survival. By combining multiple data sources and analysis techniques, the study can generate a more robust and nuanced understanding of the topic.</w:t>
      </w:r>
      <w:r w:rsidRPr="000E1764">
        <w:rPr>
          <w:rFonts w:ascii="Times" w:hAnsi="Times" w:cs="Segoe UI"/>
        </w:rPr>
        <w:br/>
      </w:r>
      <w:r w:rsidRPr="000E1764">
        <w:rPr>
          <w:rStyle w:val="ui-provider"/>
          <w:rFonts w:ascii="Times" w:hAnsi="Times" w:cs="Segoe UI"/>
        </w:rPr>
        <w:t xml:space="preserve">   In summary, the research philosophy of pragmatism, the research paradigms of positivism and interpretivism, the deductive research approach, the mixed-methods research methodology, and the research strategy of combining qualitative and quantitative data can ensure a comprehensive and practical examination of the impact of external business factors on the survival of Debenhams.</w:t>
      </w:r>
    </w:p>
    <w:p w14:paraId="5790FC45" w14:textId="739C8E57" w:rsidR="006805F6" w:rsidRDefault="00696296" w:rsidP="000E1764">
      <w:pPr>
        <w:spacing w:after="120" w:line="360" w:lineRule="auto"/>
        <w:rPr>
          <w:rStyle w:val="ui-provider"/>
        </w:rPr>
      </w:pPr>
      <w:r w:rsidRPr="000E1764">
        <w:rPr>
          <w:rStyle w:val="ui-provider"/>
          <w:rFonts w:ascii="Times" w:hAnsi="Times" w:cs="Segoe UI"/>
        </w:rPr>
        <w:t xml:space="preserve">    For the examination of external business factors' impact on business survival in the case study of Debenhams, a purposive sampling method can be appropriate. Purposive sampling involves selecting participants who have specific knowledge or experience relevant to the research topic. In this case, the researcher can select key stakeholders such as Debenhams' executives, employees, customers, and industry experts who can provide valuable insights into the impact of external factors on business survival. This method ensures that participants with relevant expertise are included in the study, increasing the validity and relevance of the findings.</w:t>
      </w:r>
      <w:r w:rsidRPr="000E1764">
        <w:rPr>
          <w:rFonts w:ascii="Times" w:hAnsi="Times" w:cs="Segoe UI"/>
        </w:rPr>
        <w:br/>
      </w:r>
      <w:r w:rsidRPr="000E1764">
        <w:rPr>
          <w:rStyle w:val="ui-provider"/>
          <w:rFonts w:ascii="Times" w:hAnsi="Times" w:cs="Segoe UI"/>
        </w:rPr>
        <w:t xml:space="preserve">   To collect data for this research, a combination of primary and secondary data collection methods can be employed. Primary data can be collected through methods such as interviews, focus groups, and surveys. Interviews and focus groups can provide in-depth insights from key stakeholders, while surveys can gather quantitative data from a larger sample. Secondary data can be collected from sources such as industry reports, financial statements, and academic research.</w:t>
      </w:r>
      <w:r w:rsidRPr="000E1764">
        <w:rPr>
          <w:rFonts w:ascii="Times" w:hAnsi="Times" w:cs="Segoe UI"/>
        </w:rPr>
        <w:br/>
      </w:r>
      <w:r w:rsidRPr="000E1764">
        <w:rPr>
          <w:rStyle w:val="ui-provider"/>
          <w:rFonts w:ascii="Times" w:hAnsi="Times" w:cs="Segoe UI"/>
        </w:rPr>
        <w:t xml:space="preserve">   Data interpretation can be done through a thematic analysis approach for qualitative data and statistical analysis for quantitative data. Thematic analysis involves identifying patterns and themes in qualitative data to identify key findings and insights. Statistical analysis can involve techniques such as regression analysis, correlation analysis, and descriptive statistics to </w:t>
      </w:r>
      <w:r w:rsidR="000E1764" w:rsidRPr="000E1764">
        <w:rPr>
          <w:rStyle w:val="ui-provider"/>
          <w:rFonts w:ascii="Times" w:hAnsi="Times" w:cs="Segoe UI"/>
        </w:rPr>
        <w:t>analyse</w:t>
      </w:r>
      <w:r w:rsidRPr="000E1764">
        <w:rPr>
          <w:rStyle w:val="ui-provider"/>
          <w:rFonts w:ascii="Times" w:hAnsi="Times" w:cs="Segoe UI"/>
        </w:rPr>
        <w:t xml:space="preserve"> quantitative data and identify relationships between variables. By combining these approaches, the researcher can gain a comprehensive understanding of the data and draw meaningful conclusions.</w:t>
      </w:r>
      <w:r w:rsidR="006805F6">
        <w:br/>
      </w:r>
      <w:r w:rsidR="006805F6">
        <w:rPr>
          <w:rStyle w:val="ui-provider"/>
        </w:rPr>
        <w:t xml:space="preserve">   </w:t>
      </w:r>
      <w:r w:rsidR="006805F6">
        <w:rPr>
          <w:rStyle w:val="ui-provider"/>
        </w:rPr>
        <w:t>The</w:t>
      </w:r>
      <w:r w:rsidR="006805F6">
        <w:rPr>
          <w:rStyle w:val="ui-provider"/>
        </w:rPr>
        <w:t xml:space="preserve"> Gantt</w:t>
      </w:r>
      <w:r w:rsidR="006805F6">
        <w:rPr>
          <w:rStyle w:val="ui-provider"/>
        </w:rPr>
        <w:t xml:space="preserve"> chart starts with the initial planning phase and follows through to the final presentation of findings. The tasks are laid out sequentially, with some tasks being dependent on the completion of previous tasks. Also, some tasks may overlap, indicating that they can be worked on simultaneously.</w:t>
      </w:r>
    </w:p>
    <w:tbl>
      <w:tblPr>
        <w:tblStyle w:val="TableGrid"/>
        <w:tblW w:w="11340" w:type="dxa"/>
        <w:tblInd w:w="-1139" w:type="dxa"/>
        <w:tblLayout w:type="fixed"/>
        <w:tblLook w:val="04A0" w:firstRow="1" w:lastRow="0" w:firstColumn="1" w:lastColumn="0" w:noHBand="0" w:noVBand="1"/>
      </w:tblPr>
      <w:tblGrid>
        <w:gridCol w:w="3119"/>
        <w:gridCol w:w="1134"/>
        <w:gridCol w:w="992"/>
        <w:gridCol w:w="1134"/>
        <w:gridCol w:w="992"/>
        <w:gridCol w:w="993"/>
        <w:gridCol w:w="992"/>
        <w:gridCol w:w="992"/>
        <w:gridCol w:w="992"/>
      </w:tblGrid>
      <w:tr w:rsidR="000B0943" w14:paraId="61805819" w14:textId="77777777" w:rsidTr="00643DEB">
        <w:tc>
          <w:tcPr>
            <w:tcW w:w="3119" w:type="dxa"/>
          </w:tcPr>
          <w:p w14:paraId="69E71036" w14:textId="77777777" w:rsidR="000B0943" w:rsidRDefault="000B0943" w:rsidP="000E1764">
            <w:pPr>
              <w:spacing w:after="120" w:line="360" w:lineRule="auto"/>
              <w:rPr>
                <w:rFonts w:ascii="Times" w:hAnsi="Times" w:cs="Segoe UI"/>
              </w:rPr>
            </w:pPr>
          </w:p>
        </w:tc>
        <w:tc>
          <w:tcPr>
            <w:tcW w:w="1134" w:type="dxa"/>
            <w:tcBorders>
              <w:bottom w:val="single" w:sz="4" w:space="0" w:color="auto"/>
            </w:tcBorders>
          </w:tcPr>
          <w:p w14:paraId="6065C4D4" w14:textId="0F5412D2" w:rsidR="000B0943" w:rsidRDefault="000B0943" w:rsidP="000E1764">
            <w:pPr>
              <w:spacing w:after="120" w:line="360" w:lineRule="auto"/>
              <w:rPr>
                <w:rFonts w:ascii="Times" w:hAnsi="Times" w:cs="Segoe UI"/>
              </w:rPr>
            </w:pPr>
            <w:r>
              <w:rPr>
                <w:rFonts w:ascii="Times" w:hAnsi="Times" w:cs="Segoe UI"/>
              </w:rPr>
              <w:t>Oct 2023</w:t>
            </w:r>
          </w:p>
        </w:tc>
        <w:tc>
          <w:tcPr>
            <w:tcW w:w="992" w:type="dxa"/>
          </w:tcPr>
          <w:p w14:paraId="18152921" w14:textId="77777777" w:rsidR="000B0943" w:rsidRDefault="000B0943" w:rsidP="000E1764">
            <w:pPr>
              <w:spacing w:after="120" w:line="360" w:lineRule="auto"/>
              <w:rPr>
                <w:rFonts w:ascii="Times" w:hAnsi="Times" w:cs="Segoe UI"/>
              </w:rPr>
            </w:pPr>
            <w:r>
              <w:rPr>
                <w:rFonts w:ascii="Times" w:hAnsi="Times" w:cs="Segoe UI"/>
              </w:rPr>
              <w:t>Nov</w:t>
            </w:r>
          </w:p>
          <w:p w14:paraId="3B3CD15B" w14:textId="7030B824" w:rsidR="000B0943" w:rsidRDefault="000B0943" w:rsidP="000E1764">
            <w:pPr>
              <w:spacing w:after="120" w:line="360" w:lineRule="auto"/>
              <w:rPr>
                <w:rFonts w:ascii="Times" w:hAnsi="Times" w:cs="Segoe UI"/>
              </w:rPr>
            </w:pPr>
            <w:r>
              <w:rPr>
                <w:rFonts w:ascii="Times" w:hAnsi="Times" w:cs="Segoe UI"/>
              </w:rPr>
              <w:t xml:space="preserve"> 2023</w:t>
            </w:r>
          </w:p>
        </w:tc>
        <w:tc>
          <w:tcPr>
            <w:tcW w:w="1134" w:type="dxa"/>
          </w:tcPr>
          <w:p w14:paraId="2494814A" w14:textId="77777777" w:rsidR="000B0943" w:rsidRDefault="000B0943" w:rsidP="000E1764">
            <w:pPr>
              <w:spacing w:after="120" w:line="360" w:lineRule="auto"/>
              <w:rPr>
                <w:rFonts w:ascii="Times" w:hAnsi="Times" w:cs="Segoe UI"/>
              </w:rPr>
            </w:pPr>
            <w:r>
              <w:rPr>
                <w:rFonts w:ascii="Times" w:hAnsi="Times" w:cs="Segoe UI"/>
              </w:rPr>
              <w:t>Dec</w:t>
            </w:r>
          </w:p>
          <w:p w14:paraId="27386FD2" w14:textId="75F72006" w:rsidR="000B0943" w:rsidRDefault="000B0943" w:rsidP="000E1764">
            <w:pPr>
              <w:spacing w:after="120" w:line="360" w:lineRule="auto"/>
              <w:rPr>
                <w:rFonts w:ascii="Times" w:hAnsi="Times" w:cs="Segoe UI"/>
              </w:rPr>
            </w:pPr>
            <w:r>
              <w:rPr>
                <w:rFonts w:ascii="Times" w:hAnsi="Times" w:cs="Segoe UI"/>
              </w:rPr>
              <w:t xml:space="preserve"> 2023</w:t>
            </w:r>
          </w:p>
        </w:tc>
        <w:tc>
          <w:tcPr>
            <w:tcW w:w="992" w:type="dxa"/>
          </w:tcPr>
          <w:p w14:paraId="3B268403" w14:textId="41B9E656" w:rsidR="000B0943" w:rsidRDefault="000B0943" w:rsidP="000E1764">
            <w:pPr>
              <w:spacing w:after="120" w:line="360" w:lineRule="auto"/>
              <w:rPr>
                <w:rFonts w:ascii="Times" w:hAnsi="Times" w:cs="Segoe UI"/>
              </w:rPr>
            </w:pPr>
            <w:r>
              <w:rPr>
                <w:rFonts w:ascii="Times" w:hAnsi="Times" w:cs="Segoe UI"/>
              </w:rPr>
              <w:t>Jan 2024</w:t>
            </w:r>
          </w:p>
        </w:tc>
        <w:tc>
          <w:tcPr>
            <w:tcW w:w="993" w:type="dxa"/>
          </w:tcPr>
          <w:p w14:paraId="4FA32DD2" w14:textId="2722FD65" w:rsidR="000B0943" w:rsidRDefault="000B0943" w:rsidP="000E1764">
            <w:pPr>
              <w:spacing w:after="120" w:line="360" w:lineRule="auto"/>
              <w:rPr>
                <w:rFonts w:ascii="Times" w:hAnsi="Times" w:cs="Segoe UI"/>
              </w:rPr>
            </w:pPr>
            <w:r>
              <w:rPr>
                <w:rFonts w:ascii="Times" w:hAnsi="Times" w:cs="Segoe UI"/>
              </w:rPr>
              <w:t>Feb 2024</w:t>
            </w:r>
          </w:p>
        </w:tc>
        <w:tc>
          <w:tcPr>
            <w:tcW w:w="992" w:type="dxa"/>
          </w:tcPr>
          <w:p w14:paraId="22B43237" w14:textId="77777777" w:rsidR="000B0943" w:rsidRDefault="000B0943" w:rsidP="000E1764">
            <w:pPr>
              <w:spacing w:after="120" w:line="360" w:lineRule="auto"/>
              <w:rPr>
                <w:rFonts w:ascii="Times" w:hAnsi="Times" w:cs="Segoe UI"/>
              </w:rPr>
            </w:pPr>
            <w:r>
              <w:rPr>
                <w:rFonts w:ascii="Times" w:hAnsi="Times" w:cs="Segoe UI"/>
              </w:rPr>
              <w:t>Mar</w:t>
            </w:r>
          </w:p>
          <w:p w14:paraId="4221BD1C" w14:textId="1CCA949E" w:rsidR="000B0943" w:rsidRDefault="000B0943" w:rsidP="000E1764">
            <w:pPr>
              <w:spacing w:after="120" w:line="360" w:lineRule="auto"/>
              <w:rPr>
                <w:rFonts w:ascii="Times" w:hAnsi="Times" w:cs="Segoe UI"/>
              </w:rPr>
            </w:pPr>
            <w:r>
              <w:rPr>
                <w:rFonts w:ascii="Times" w:hAnsi="Times" w:cs="Segoe UI"/>
              </w:rPr>
              <w:t>2024</w:t>
            </w:r>
          </w:p>
        </w:tc>
        <w:tc>
          <w:tcPr>
            <w:tcW w:w="992" w:type="dxa"/>
          </w:tcPr>
          <w:p w14:paraId="0750C55A" w14:textId="77777777" w:rsidR="000B0943" w:rsidRDefault="000B0943" w:rsidP="000E1764">
            <w:pPr>
              <w:spacing w:after="120" w:line="360" w:lineRule="auto"/>
              <w:rPr>
                <w:rFonts w:ascii="Times" w:hAnsi="Times" w:cs="Segoe UI"/>
              </w:rPr>
            </w:pPr>
            <w:r>
              <w:rPr>
                <w:rFonts w:ascii="Times" w:hAnsi="Times" w:cs="Segoe UI"/>
              </w:rPr>
              <w:t>Apr</w:t>
            </w:r>
          </w:p>
          <w:p w14:paraId="2360C3A0" w14:textId="2931C10E" w:rsidR="000B0943" w:rsidRDefault="000B0943" w:rsidP="000E1764">
            <w:pPr>
              <w:spacing w:after="120" w:line="360" w:lineRule="auto"/>
              <w:rPr>
                <w:rFonts w:ascii="Times" w:hAnsi="Times" w:cs="Segoe UI"/>
              </w:rPr>
            </w:pPr>
            <w:r>
              <w:rPr>
                <w:rFonts w:ascii="Times" w:hAnsi="Times" w:cs="Segoe UI"/>
              </w:rPr>
              <w:t>2024</w:t>
            </w:r>
          </w:p>
        </w:tc>
        <w:tc>
          <w:tcPr>
            <w:tcW w:w="992" w:type="dxa"/>
          </w:tcPr>
          <w:p w14:paraId="2487E193" w14:textId="77777777" w:rsidR="000B0943" w:rsidRDefault="000B0943" w:rsidP="000E1764">
            <w:pPr>
              <w:spacing w:after="120" w:line="360" w:lineRule="auto"/>
              <w:rPr>
                <w:rFonts w:ascii="Times" w:hAnsi="Times" w:cs="Segoe UI"/>
              </w:rPr>
            </w:pPr>
            <w:r>
              <w:rPr>
                <w:rFonts w:ascii="Times" w:hAnsi="Times" w:cs="Segoe UI"/>
              </w:rPr>
              <w:t>May</w:t>
            </w:r>
          </w:p>
          <w:p w14:paraId="523D8C8B" w14:textId="7705EF66" w:rsidR="000B0943" w:rsidRDefault="000B0943" w:rsidP="000E1764">
            <w:pPr>
              <w:spacing w:after="120" w:line="360" w:lineRule="auto"/>
              <w:rPr>
                <w:rFonts w:ascii="Times" w:hAnsi="Times" w:cs="Segoe UI"/>
              </w:rPr>
            </w:pPr>
            <w:r>
              <w:rPr>
                <w:rFonts w:ascii="Times" w:hAnsi="Times" w:cs="Segoe UI"/>
              </w:rPr>
              <w:t>2024</w:t>
            </w:r>
          </w:p>
        </w:tc>
      </w:tr>
      <w:tr w:rsidR="000B0943" w14:paraId="511712E4" w14:textId="77777777" w:rsidTr="00643DEB">
        <w:tc>
          <w:tcPr>
            <w:tcW w:w="3119" w:type="dxa"/>
          </w:tcPr>
          <w:p w14:paraId="13C0B3B1" w14:textId="209A1A19" w:rsidR="000B0943" w:rsidRDefault="000B0943" w:rsidP="000E1764">
            <w:pPr>
              <w:spacing w:after="120" w:line="360" w:lineRule="auto"/>
              <w:rPr>
                <w:rFonts w:ascii="Times" w:hAnsi="Times" w:cs="Segoe UI"/>
              </w:rPr>
            </w:pPr>
            <w:r>
              <w:rPr>
                <w:rFonts w:ascii="Times" w:hAnsi="Times" w:cs="Segoe UI"/>
              </w:rPr>
              <w:t>Identify topic</w:t>
            </w:r>
          </w:p>
        </w:tc>
        <w:tc>
          <w:tcPr>
            <w:tcW w:w="1134" w:type="dxa"/>
            <w:tcBorders>
              <w:bottom w:val="single" w:sz="4" w:space="0" w:color="auto"/>
            </w:tcBorders>
            <w:shd w:val="clear" w:color="auto" w:fill="BFBFBF" w:themeFill="background1" w:themeFillShade="BF"/>
          </w:tcPr>
          <w:p w14:paraId="62BA4366" w14:textId="77777777" w:rsidR="000B0943" w:rsidRPr="000B0943" w:rsidRDefault="000B0943" w:rsidP="000E1764">
            <w:pPr>
              <w:spacing w:after="120" w:line="360" w:lineRule="auto"/>
              <w:rPr>
                <w:rFonts w:ascii="Times" w:hAnsi="Times" w:cs="Segoe UI"/>
                <w14:glow w14:rad="0">
                  <w14:srgbClr w14:val="00B0F0"/>
                </w14:glow>
              </w:rPr>
            </w:pPr>
          </w:p>
        </w:tc>
        <w:tc>
          <w:tcPr>
            <w:tcW w:w="992" w:type="dxa"/>
          </w:tcPr>
          <w:p w14:paraId="1EB87F71" w14:textId="77777777" w:rsidR="000B0943" w:rsidRDefault="000B0943" w:rsidP="000E1764">
            <w:pPr>
              <w:spacing w:after="120" w:line="360" w:lineRule="auto"/>
              <w:rPr>
                <w:rFonts w:ascii="Times" w:hAnsi="Times" w:cs="Segoe UI"/>
              </w:rPr>
            </w:pPr>
          </w:p>
        </w:tc>
        <w:tc>
          <w:tcPr>
            <w:tcW w:w="1134" w:type="dxa"/>
          </w:tcPr>
          <w:p w14:paraId="26FDCE4C" w14:textId="77777777" w:rsidR="000B0943" w:rsidRDefault="000B0943" w:rsidP="000E1764">
            <w:pPr>
              <w:spacing w:after="120" w:line="360" w:lineRule="auto"/>
              <w:rPr>
                <w:rFonts w:ascii="Times" w:hAnsi="Times" w:cs="Segoe UI"/>
              </w:rPr>
            </w:pPr>
          </w:p>
        </w:tc>
        <w:tc>
          <w:tcPr>
            <w:tcW w:w="992" w:type="dxa"/>
          </w:tcPr>
          <w:p w14:paraId="71DFEE95" w14:textId="77777777" w:rsidR="000B0943" w:rsidRDefault="000B0943" w:rsidP="000E1764">
            <w:pPr>
              <w:spacing w:after="120" w:line="360" w:lineRule="auto"/>
              <w:rPr>
                <w:rFonts w:ascii="Times" w:hAnsi="Times" w:cs="Segoe UI"/>
              </w:rPr>
            </w:pPr>
          </w:p>
        </w:tc>
        <w:tc>
          <w:tcPr>
            <w:tcW w:w="993" w:type="dxa"/>
          </w:tcPr>
          <w:p w14:paraId="36D0B414" w14:textId="77777777" w:rsidR="000B0943" w:rsidRDefault="000B0943" w:rsidP="000E1764">
            <w:pPr>
              <w:spacing w:after="120" w:line="360" w:lineRule="auto"/>
              <w:rPr>
                <w:rFonts w:ascii="Times" w:hAnsi="Times" w:cs="Segoe UI"/>
              </w:rPr>
            </w:pPr>
          </w:p>
        </w:tc>
        <w:tc>
          <w:tcPr>
            <w:tcW w:w="992" w:type="dxa"/>
          </w:tcPr>
          <w:p w14:paraId="7F99371B" w14:textId="77777777" w:rsidR="000B0943" w:rsidRDefault="000B0943" w:rsidP="000E1764">
            <w:pPr>
              <w:spacing w:after="120" w:line="360" w:lineRule="auto"/>
              <w:rPr>
                <w:rFonts w:ascii="Times" w:hAnsi="Times" w:cs="Segoe UI"/>
              </w:rPr>
            </w:pPr>
          </w:p>
        </w:tc>
        <w:tc>
          <w:tcPr>
            <w:tcW w:w="992" w:type="dxa"/>
          </w:tcPr>
          <w:p w14:paraId="33E410D4" w14:textId="77777777" w:rsidR="000B0943" w:rsidRDefault="000B0943" w:rsidP="000E1764">
            <w:pPr>
              <w:spacing w:after="120" w:line="360" w:lineRule="auto"/>
              <w:rPr>
                <w:rFonts w:ascii="Times" w:hAnsi="Times" w:cs="Segoe UI"/>
              </w:rPr>
            </w:pPr>
          </w:p>
        </w:tc>
        <w:tc>
          <w:tcPr>
            <w:tcW w:w="992" w:type="dxa"/>
          </w:tcPr>
          <w:p w14:paraId="4F665EF8" w14:textId="77777777" w:rsidR="000B0943" w:rsidRDefault="000B0943" w:rsidP="000E1764">
            <w:pPr>
              <w:spacing w:after="120" w:line="360" w:lineRule="auto"/>
              <w:rPr>
                <w:rFonts w:ascii="Times" w:hAnsi="Times" w:cs="Segoe UI"/>
              </w:rPr>
            </w:pPr>
          </w:p>
        </w:tc>
      </w:tr>
      <w:tr w:rsidR="000B0943" w14:paraId="55104B3F" w14:textId="77777777" w:rsidTr="00643DEB">
        <w:tc>
          <w:tcPr>
            <w:tcW w:w="3119" w:type="dxa"/>
          </w:tcPr>
          <w:p w14:paraId="7D3C9243" w14:textId="4E587DAA" w:rsidR="000B0943" w:rsidRDefault="000B0943" w:rsidP="000E1764">
            <w:pPr>
              <w:spacing w:after="120" w:line="360" w:lineRule="auto"/>
              <w:rPr>
                <w:rFonts w:ascii="Times" w:hAnsi="Times" w:cs="Segoe UI"/>
              </w:rPr>
            </w:pPr>
            <w:r w:rsidRPr="000B0943">
              <w:rPr>
                <w:rFonts w:ascii="Times" w:hAnsi="Times" w:cs="Segoe UI"/>
                <w14:glow w14:rad="0">
                  <w14:schemeClr w14:val="accent1">
                    <w14:lumMod w14:val="20000"/>
                    <w14:lumOff w14:val="80000"/>
                  </w14:schemeClr>
                </w14:glow>
              </w:rPr>
              <w:t>Questions</w:t>
            </w:r>
            <w:r>
              <w:rPr>
                <w:rFonts w:ascii="Times" w:hAnsi="Times" w:cs="Segoe UI"/>
              </w:rPr>
              <w:t>, strategy, methods</w:t>
            </w:r>
          </w:p>
        </w:tc>
        <w:tc>
          <w:tcPr>
            <w:tcW w:w="1134" w:type="dxa"/>
            <w:tcBorders>
              <w:top w:val="single" w:sz="4" w:space="0" w:color="auto"/>
            </w:tcBorders>
          </w:tcPr>
          <w:p w14:paraId="17C40197" w14:textId="77777777" w:rsidR="000B0943" w:rsidRDefault="000B0943" w:rsidP="000E1764">
            <w:pPr>
              <w:spacing w:after="120" w:line="360" w:lineRule="auto"/>
              <w:rPr>
                <w:rFonts w:ascii="Times" w:hAnsi="Times" w:cs="Segoe UI"/>
              </w:rPr>
            </w:pPr>
          </w:p>
        </w:tc>
        <w:tc>
          <w:tcPr>
            <w:tcW w:w="992" w:type="dxa"/>
            <w:shd w:val="clear" w:color="auto" w:fill="BFBFBF" w:themeFill="background1" w:themeFillShade="BF"/>
          </w:tcPr>
          <w:p w14:paraId="557DAB09" w14:textId="77777777" w:rsidR="000B0943" w:rsidRDefault="000B0943" w:rsidP="000E1764">
            <w:pPr>
              <w:spacing w:after="120" w:line="360" w:lineRule="auto"/>
              <w:rPr>
                <w:rFonts w:ascii="Times" w:hAnsi="Times" w:cs="Segoe UI"/>
              </w:rPr>
            </w:pPr>
          </w:p>
        </w:tc>
        <w:tc>
          <w:tcPr>
            <w:tcW w:w="1134" w:type="dxa"/>
          </w:tcPr>
          <w:p w14:paraId="5117666A" w14:textId="77777777" w:rsidR="000B0943" w:rsidRDefault="000B0943" w:rsidP="000E1764">
            <w:pPr>
              <w:spacing w:after="120" w:line="360" w:lineRule="auto"/>
              <w:rPr>
                <w:rFonts w:ascii="Times" w:hAnsi="Times" w:cs="Segoe UI"/>
              </w:rPr>
            </w:pPr>
          </w:p>
        </w:tc>
        <w:tc>
          <w:tcPr>
            <w:tcW w:w="992" w:type="dxa"/>
          </w:tcPr>
          <w:p w14:paraId="09C0CACD" w14:textId="77777777" w:rsidR="000B0943" w:rsidRDefault="000B0943" w:rsidP="000E1764">
            <w:pPr>
              <w:spacing w:after="120" w:line="360" w:lineRule="auto"/>
              <w:rPr>
                <w:rFonts w:ascii="Times" w:hAnsi="Times" w:cs="Segoe UI"/>
              </w:rPr>
            </w:pPr>
          </w:p>
        </w:tc>
        <w:tc>
          <w:tcPr>
            <w:tcW w:w="993" w:type="dxa"/>
          </w:tcPr>
          <w:p w14:paraId="4430C93A" w14:textId="77777777" w:rsidR="000B0943" w:rsidRDefault="000B0943" w:rsidP="000E1764">
            <w:pPr>
              <w:spacing w:after="120" w:line="360" w:lineRule="auto"/>
              <w:rPr>
                <w:rFonts w:ascii="Times" w:hAnsi="Times" w:cs="Segoe UI"/>
              </w:rPr>
            </w:pPr>
          </w:p>
        </w:tc>
        <w:tc>
          <w:tcPr>
            <w:tcW w:w="992" w:type="dxa"/>
          </w:tcPr>
          <w:p w14:paraId="1EA49D19" w14:textId="77777777" w:rsidR="000B0943" w:rsidRDefault="000B0943" w:rsidP="000E1764">
            <w:pPr>
              <w:spacing w:after="120" w:line="360" w:lineRule="auto"/>
              <w:rPr>
                <w:rFonts w:ascii="Times" w:hAnsi="Times" w:cs="Segoe UI"/>
              </w:rPr>
            </w:pPr>
          </w:p>
        </w:tc>
        <w:tc>
          <w:tcPr>
            <w:tcW w:w="992" w:type="dxa"/>
          </w:tcPr>
          <w:p w14:paraId="2C2B988E" w14:textId="77777777" w:rsidR="000B0943" w:rsidRDefault="000B0943" w:rsidP="000E1764">
            <w:pPr>
              <w:spacing w:after="120" w:line="360" w:lineRule="auto"/>
              <w:rPr>
                <w:rFonts w:ascii="Times" w:hAnsi="Times" w:cs="Segoe UI"/>
              </w:rPr>
            </w:pPr>
          </w:p>
        </w:tc>
        <w:tc>
          <w:tcPr>
            <w:tcW w:w="992" w:type="dxa"/>
          </w:tcPr>
          <w:p w14:paraId="1F885C93" w14:textId="77777777" w:rsidR="000B0943" w:rsidRDefault="000B0943" w:rsidP="000E1764">
            <w:pPr>
              <w:spacing w:after="120" w:line="360" w:lineRule="auto"/>
              <w:rPr>
                <w:rFonts w:ascii="Times" w:hAnsi="Times" w:cs="Segoe UI"/>
              </w:rPr>
            </w:pPr>
          </w:p>
        </w:tc>
      </w:tr>
      <w:tr w:rsidR="000B0943" w14:paraId="0C85C701" w14:textId="77777777" w:rsidTr="00643DEB">
        <w:tc>
          <w:tcPr>
            <w:tcW w:w="3119" w:type="dxa"/>
          </w:tcPr>
          <w:p w14:paraId="6D23812E" w14:textId="66DF463A" w:rsidR="000B0943" w:rsidRDefault="000B0943" w:rsidP="000E1764">
            <w:pPr>
              <w:spacing w:after="120" w:line="360" w:lineRule="auto"/>
              <w:rPr>
                <w:rFonts w:ascii="Times" w:hAnsi="Times" w:cs="Segoe UI"/>
              </w:rPr>
            </w:pPr>
            <w:r>
              <w:rPr>
                <w:rFonts w:ascii="Times" w:hAnsi="Times" w:cs="Segoe UI"/>
              </w:rPr>
              <w:t>Research proposal</w:t>
            </w:r>
          </w:p>
        </w:tc>
        <w:tc>
          <w:tcPr>
            <w:tcW w:w="1134" w:type="dxa"/>
          </w:tcPr>
          <w:p w14:paraId="061FC4FD" w14:textId="77777777" w:rsidR="000B0943" w:rsidRDefault="000B0943" w:rsidP="000E1764">
            <w:pPr>
              <w:spacing w:after="120" w:line="360" w:lineRule="auto"/>
              <w:rPr>
                <w:rFonts w:ascii="Times" w:hAnsi="Times" w:cs="Segoe UI"/>
              </w:rPr>
            </w:pPr>
          </w:p>
        </w:tc>
        <w:tc>
          <w:tcPr>
            <w:tcW w:w="992" w:type="dxa"/>
          </w:tcPr>
          <w:p w14:paraId="0BD4DA61" w14:textId="77777777" w:rsidR="000B0943" w:rsidRDefault="000B0943" w:rsidP="000E1764">
            <w:pPr>
              <w:spacing w:after="120" w:line="360" w:lineRule="auto"/>
              <w:rPr>
                <w:rFonts w:ascii="Times" w:hAnsi="Times" w:cs="Segoe UI"/>
              </w:rPr>
            </w:pPr>
          </w:p>
        </w:tc>
        <w:tc>
          <w:tcPr>
            <w:tcW w:w="1134" w:type="dxa"/>
            <w:shd w:val="clear" w:color="auto" w:fill="BFBFBF" w:themeFill="background1" w:themeFillShade="BF"/>
          </w:tcPr>
          <w:p w14:paraId="7FCA851D" w14:textId="77777777" w:rsidR="000B0943" w:rsidRDefault="000B0943" w:rsidP="000E1764">
            <w:pPr>
              <w:spacing w:after="120" w:line="360" w:lineRule="auto"/>
              <w:rPr>
                <w:rFonts w:ascii="Times" w:hAnsi="Times" w:cs="Segoe UI"/>
              </w:rPr>
            </w:pPr>
          </w:p>
        </w:tc>
        <w:tc>
          <w:tcPr>
            <w:tcW w:w="992" w:type="dxa"/>
          </w:tcPr>
          <w:p w14:paraId="1761AD7D" w14:textId="77777777" w:rsidR="000B0943" w:rsidRDefault="000B0943" w:rsidP="000E1764">
            <w:pPr>
              <w:spacing w:after="120" w:line="360" w:lineRule="auto"/>
              <w:rPr>
                <w:rFonts w:ascii="Times" w:hAnsi="Times" w:cs="Segoe UI"/>
              </w:rPr>
            </w:pPr>
          </w:p>
        </w:tc>
        <w:tc>
          <w:tcPr>
            <w:tcW w:w="993" w:type="dxa"/>
          </w:tcPr>
          <w:p w14:paraId="194942F1" w14:textId="77777777" w:rsidR="000B0943" w:rsidRDefault="000B0943" w:rsidP="000E1764">
            <w:pPr>
              <w:spacing w:after="120" w:line="360" w:lineRule="auto"/>
              <w:rPr>
                <w:rFonts w:ascii="Times" w:hAnsi="Times" w:cs="Segoe UI"/>
              </w:rPr>
            </w:pPr>
          </w:p>
        </w:tc>
        <w:tc>
          <w:tcPr>
            <w:tcW w:w="992" w:type="dxa"/>
          </w:tcPr>
          <w:p w14:paraId="2A99E9AC" w14:textId="77777777" w:rsidR="000B0943" w:rsidRDefault="000B0943" w:rsidP="000E1764">
            <w:pPr>
              <w:spacing w:after="120" w:line="360" w:lineRule="auto"/>
              <w:rPr>
                <w:rFonts w:ascii="Times" w:hAnsi="Times" w:cs="Segoe UI"/>
              </w:rPr>
            </w:pPr>
          </w:p>
        </w:tc>
        <w:tc>
          <w:tcPr>
            <w:tcW w:w="992" w:type="dxa"/>
          </w:tcPr>
          <w:p w14:paraId="6DA64851" w14:textId="77777777" w:rsidR="000B0943" w:rsidRDefault="000B0943" w:rsidP="000E1764">
            <w:pPr>
              <w:spacing w:after="120" w:line="360" w:lineRule="auto"/>
              <w:rPr>
                <w:rFonts w:ascii="Times" w:hAnsi="Times" w:cs="Segoe UI"/>
              </w:rPr>
            </w:pPr>
          </w:p>
        </w:tc>
        <w:tc>
          <w:tcPr>
            <w:tcW w:w="992" w:type="dxa"/>
          </w:tcPr>
          <w:p w14:paraId="1F314DA7" w14:textId="77777777" w:rsidR="000B0943" w:rsidRDefault="000B0943" w:rsidP="000E1764">
            <w:pPr>
              <w:spacing w:after="120" w:line="360" w:lineRule="auto"/>
              <w:rPr>
                <w:rFonts w:ascii="Times" w:hAnsi="Times" w:cs="Segoe UI"/>
              </w:rPr>
            </w:pPr>
          </w:p>
        </w:tc>
      </w:tr>
      <w:tr w:rsidR="000B0943" w14:paraId="37EB04A7" w14:textId="77777777" w:rsidTr="00643DEB">
        <w:tc>
          <w:tcPr>
            <w:tcW w:w="3119" w:type="dxa"/>
          </w:tcPr>
          <w:p w14:paraId="03302B96" w14:textId="2F9D4D96" w:rsidR="000B0943" w:rsidRDefault="000B0943" w:rsidP="000E1764">
            <w:pPr>
              <w:spacing w:after="120" w:line="360" w:lineRule="auto"/>
              <w:rPr>
                <w:rFonts w:ascii="Times" w:hAnsi="Times" w:cs="Segoe UI"/>
              </w:rPr>
            </w:pPr>
            <w:r>
              <w:rPr>
                <w:rFonts w:ascii="Times" w:hAnsi="Times" w:cs="Segoe UI"/>
              </w:rPr>
              <w:t>Literature review</w:t>
            </w:r>
          </w:p>
        </w:tc>
        <w:tc>
          <w:tcPr>
            <w:tcW w:w="1134" w:type="dxa"/>
          </w:tcPr>
          <w:p w14:paraId="6A04D223" w14:textId="77777777" w:rsidR="000B0943" w:rsidRDefault="000B0943" w:rsidP="000E1764">
            <w:pPr>
              <w:spacing w:after="120" w:line="360" w:lineRule="auto"/>
              <w:rPr>
                <w:rFonts w:ascii="Times" w:hAnsi="Times" w:cs="Segoe UI"/>
              </w:rPr>
            </w:pPr>
          </w:p>
        </w:tc>
        <w:tc>
          <w:tcPr>
            <w:tcW w:w="992" w:type="dxa"/>
          </w:tcPr>
          <w:p w14:paraId="55FE6ED8" w14:textId="77777777" w:rsidR="000B0943" w:rsidRDefault="000B0943" w:rsidP="000E1764">
            <w:pPr>
              <w:spacing w:after="120" w:line="360" w:lineRule="auto"/>
              <w:rPr>
                <w:rFonts w:ascii="Times" w:hAnsi="Times" w:cs="Segoe UI"/>
              </w:rPr>
            </w:pPr>
          </w:p>
        </w:tc>
        <w:tc>
          <w:tcPr>
            <w:tcW w:w="1134" w:type="dxa"/>
          </w:tcPr>
          <w:p w14:paraId="1CEF350E" w14:textId="77777777" w:rsidR="000B0943" w:rsidRDefault="000B0943" w:rsidP="000E1764">
            <w:pPr>
              <w:spacing w:after="120" w:line="360" w:lineRule="auto"/>
              <w:rPr>
                <w:rFonts w:ascii="Times" w:hAnsi="Times" w:cs="Segoe UI"/>
              </w:rPr>
            </w:pPr>
          </w:p>
        </w:tc>
        <w:tc>
          <w:tcPr>
            <w:tcW w:w="992" w:type="dxa"/>
            <w:shd w:val="clear" w:color="auto" w:fill="BFBFBF" w:themeFill="background1" w:themeFillShade="BF"/>
          </w:tcPr>
          <w:p w14:paraId="1FD312BC" w14:textId="77777777" w:rsidR="000B0943" w:rsidRDefault="000B0943" w:rsidP="000E1764">
            <w:pPr>
              <w:spacing w:after="120" w:line="360" w:lineRule="auto"/>
              <w:rPr>
                <w:rFonts w:ascii="Times" w:hAnsi="Times" w:cs="Segoe UI"/>
              </w:rPr>
            </w:pPr>
          </w:p>
        </w:tc>
        <w:tc>
          <w:tcPr>
            <w:tcW w:w="993" w:type="dxa"/>
          </w:tcPr>
          <w:p w14:paraId="7F82760F" w14:textId="77777777" w:rsidR="000B0943" w:rsidRDefault="000B0943" w:rsidP="000E1764">
            <w:pPr>
              <w:spacing w:after="120" w:line="360" w:lineRule="auto"/>
              <w:rPr>
                <w:rFonts w:ascii="Times" w:hAnsi="Times" w:cs="Segoe UI"/>
              </w:rPr>
            </w:pPr>
          </w:p>
        </w:tc>
        <w:tc>
          <w:tcPr>
            <w:tcW w:w="992" w:type="dxa"/>
          </w:tcPr>
          <w:p w14:paraId="4AF80D64" w14:textId="77777777" w:rsidR="000B0943" w:rsidRDefault="000B0943" w:rsidP="000E1764">
            <w:pPr>
              <w:spacing w:after="120" w:line="360" w:lineRule="auto"/>
              <w:rPr>
                <w:rFonts w:ascii="Times" w:hAnsi="Times" w:cs="Segoe UI"/>
              </w:rPr>
            </w:pPr>
          </w:p>
        </w:tc>
        <w:tc>
          <w:tcPr>
            <w:tcW w:w="992" w:type="dxa"/>
          </w:tcPr>
          <w:p w14:paraId="29269D8E" w14:textId="77777777" w:rsidR="000B0943" w:rsidRDefault="000B0943" w:rsidP="000E1764">
            <w:pPr>
              <w:spacing w:after="120" w:line="360" w:lineRule="auto"/>
              <w:rPr>
                <w:rFonts w:ascii="Times" w:hAnsi="Times" w:cs="Segoe UI"/>
              </w:rPr>
            </w:pPr>
          </w:p>
        </w:tc>
        <w:tc>
          <w:tcPr>
            <w:tcW w:w="992" w:type="dxa"/>
          </w:tcPr>
          <w:p w14:paraId="49771D76" w14:textId="77777777" w:rsidR="000B0943" w:rsidRDefault="000B0943" w:rsidP="000E1764">
            <w:pPr>
              <w:spacing w:after="120" w:line="360" w:lineRule="auto"/>
              <w:rPr>
                <w:rFonts w:ascii="Times" w:hAnsi="Times" w:cs="Segoe UI"/>
              </w:rPr>
            </w:pPr>
          </w:p>
        </w:tc>
      </w:tr>
      <w:tr w:rsidR="000B0943" w14:paraId="5FBC3823" w14:textId="77777777" w:rsidTr="00643DEB">
        <w:tc>
          <w:tcPr>
            <w:tcW w:w="3119" w:type="dxa"/>
          </w:tcPr>
          <w:p w14:paraId="4E1E41D9" w14:textId="306D6B73" w:rsidR="000B0943" w:rsidRDefault="000B0943" w:rsidP="000E1764">
            <w:pPr>
              <w:spacing w:after="120" w:line="360" w:lineRule="auto"/>
              <w:rPr>
                <w:rFonts w:ascii="Times" w:hAnsi="Times" w:cs="Segoe UI"/>
              </w:rPr>
            </w:pPr>
            <w:r>
              <w:rPr>
                <w:rFonts w:ascii="Times" w:hAnsi="Times" w:cs="Segoe UI"/>
              </w:rPr>
              <w:t>Data collection</w:t>
            </w:r>
          </w:p>
        </w:tc>
        <w:tc>
          <w:tcPr>
            <w:tcW w:w="1134" w:type="dxa"/>
          </w:tcPr>
          <w:p w14:paraId="79D11119" w14:textId="77777777" w:rsidR="000B0943" w:rsidRDefault="000B0943" w:rsidP="000E1764">
            <w:pPr>
              <w:spacing w:after="120" w:line="360" w:lineRule="auto"/>
              <w:rPr>
                <w:rFonts w:ascii="Times" w:hAnsi="Times" w:cs="Segoe UI"/>
              </w:rPr>
            </w:pPr>
          </w:p>
        </w:tc>
        <w:tc>
          <w:tcPr>
            <w:tcW w:w="992" w:type="dxa"/>
          </w:tcPr>
          <w:p w14:paraId="6489E22B" w14:textId="77777777" w:rsidR="000B0943" w:rsidRDefault="000B0943" w:rsidP="000E1764">
            <w:pPr>
              <w:spacing w:after="120" w:line="360" w:lineRule="auto"/>
              <w:rPr>
                <w:rFonts w:ascii="Times" w:hAnsi="Times" w:cs="Segoe UI"/>
              </w:rPr>
            </w:pPr>
          </w:p>
        </w:tc>
        <w:tc>
          <w:tcPr>
            <w:tcW w:w="1134" w:type="dxa"/>
          </w:tcPr>
          <w:p w14:paraId="18B66FA7" w14:textId="77777777" w:rsidR="000B0943" w:rsidRDefault="000B0943" w:rsidP="000E1764">
            <w:pPr>
              <w:spacing w:after="120" w:line="360" w:lineRule="auto"/>
              <w:rPr>
                <w:rFonts w:ascii="Times" w:hAnsi="Times" w:cs="Segoe UI"/>
              </w:rPr>
            </w:pPr>
          </w:p>
        </w:tc>
        <w:tc>
          <w:tcPr>
            <w:tcW w:w="992" w:type="dxa"/>
          </w:tcPr>
          <w:p w14:paraId="29E61FF4" w14:textId="77777777" w:rsidR="000B0943" w:rsidRDefault="000B0943" w:rsidP="000E1764">
            <w:pPr>
              <w:spacing w:after="120" w:line="360" w:lineRule="auto"/>
              <w:rPr>
                <w:rFonts w:ascii="Times" w:hAnsi="Times" w:cs="Segoe UI"/>
              </w:rPr>
            </w:pPr>
          </w:p>
        </w:tc>
        <w:tc>
          <w:tcPr>
            <w:tcW w:w="993" w:type="dxa"/>
            <w:shd w:val="clear" w:color="auto" w:fill="BFBFBF" w:themeFill="background1" w:themeFillShade="BF"/>
          </w:tcPr>
          <w:p w14:paraId="7C6495A6" w14:textId="77777777" w:rsidR="000B0943" w:rsidRDefault="000B0943" w:rsidP="000E1764">
            <w:pPr>
              <w:spacing w:after="120" w:line="360" w:lineRule="auto"/>
              <w:rPr>
                <w:rFonts w:ascii="Times" w:hAnsi="Times" w:cs="Segoe UI"/>
              </w:rPr>
            </w:pPr>
          </w:p>
        </w:tc>
        <w:tc>
          <w:tcPr>
            <w:tcW w:w="992" w:type="dxa"/>
          </w:tcPr>
          <w:p w14:paraId="39CE027B" w14:textId="77777777" w:rsidR="000B0943" w:rsidRDefault="000B0943" w:rsidP="000E1764">
            <w:pPr>
              <w:spacing w:after="120" w:line="360" w:lineRule="auto"/>
              <w:rPr>
                <w:rFonts w:ascii="Times" w:hAnsi="Times" w:cs="Segoe UI"/>
              </w:rPr>
            </w:pPr>
          </w:p>
        </w:tc>
        <w:tc>
          <w:tcPr>
            <w:tcW w:w="992" w:type="dxa"/>
          </w:tcPr>
          <w:p w14:paraId="2F420838" w14:textId="77777777" w:rsidR="000B0943" w:rsidRDefault="000B0943" w:rsidP="000E1764">
            <w:pPr>
              <w:spacing w:after="120" w:line="360" w:lineRule="auto"/>
              <w:rPr>
                <w:rFonts w:ascii="Times" w:hAnsi="Times" w:cs="Segoe UI"/>
              </w:rPr>
            </w:pPr>
          </w:p>
        </w:tc>
        <w:tc>
          <w:tcPr>
            <w:tcW w:w="992" w:type="dxa"/>
          </w:tcPr>
          <w:p w14:paraId="13421687" w14:textId="77777777" w:rsidR="000B0943" w:rsidRDefault="000B0943" w:rsidP="000E1764">
            <w:pPr>
              <w:spacing w:after="120" w:line="360" w:lineRule="auto"/>
              <w:rPr>
                <w:rFonts w:ascii="Times" w:hAnsi="Times" w:cs="Segoe UI"/>
              </w:rPr>
            </w:pPr>
          </w:p>
        </w:tc>
      </w:tr>
      <w:tr w:rsidR="000B0943" w14:paraId="5AADDCB7" w14:textId="77777777" w:rsidTr="00643DEB">
        <w:tc>
          <w:tcPr>
            <w:tcW w:w="3119" w:type="dxa"/>
          </w:tcPr>
          <w:p w14:paraId="52C28FF3" w14:textId="06BFFAE9" w:rsidR="000B0943" w:rsidRDefault="000B0943" w:rsidP="000E1764">
            <w:pPr>
              <w:spacing w:after="120" w:line="360" w:lineRule="auto"/>
              <w:rPr>
                <w:rFonts w:ascii="Times" w:hAnsi="Times" w:cs="Segoe UI"/>
              </w:rPr>
            </w:pPr>
            <w:r>
              <w:rPr>
                <w:rFonts w:ascii="Times" w:hAnsi="Times" w:cs="Segoe UI"/>
              </w:rPr>
              <w:t>Data analysis</w:t>
            </w:r>
          </w:p>
        </w:tc>
        <w:tc>
          <w:tcPr>
            <w:tcW w:w="1134" w:type="dxa"/>
          </w:tcPr>
          <w:p w14:paraId="0D193313" w14:textId="77777777" w:rsidR="000B0943" w:rsidRDefault="000B0943" w:rsidP="000E1764">
            <w:pPr>
              <w:spacing w:after="120" w:line="360" w:lineRule="auto"/>
              <w:rPr>
                <w:rFonts w:ascii="Times" w:hAnsi="Times" w:cs="Segoe UI"/>
              </w:rPr>
            </w:pPr>
          </w:p>
        </w:tc>
        <w:tc>
          <w:tcPr>
            <w:tcW w:w="992" w:type="dxa"/>
          </w:tcPr>
          <w:p w14:paraId="1AC9128E" w14:textId="77777777" w:rsidR="000B0943" w:rsidRDefault="000B0943" w:rsidP="000E1764">
            <w:pPr>
              <w:spacing w:after="120" w:line="360" w:lineRule="auto"/>
              <w:rPr>
                <w:rFonts w:ascii="Times" w:hAnsi="Times" w:cs="Segoe UI"/>
              </w:rPr>
            </w:pPr>
          </w:p>
        </w:tc>
        <w:tc>
          <w:tcPr>
            <w:tcW w:w="1134" w:type="dxa"/>
          </w:tcPr>
          <w:p w14:paraId="2ED9A356" w14:textId="77777777" w:rsidR="000B0943" w:rsidRDefault="000B0943" w:rsidP="000E1764">
            <w:pPr>
              <w:spacing w:after="120" w:line="360" w:lineRule="auto"/>
              <w:rPr>
                <w:rFonts w:ascii="Times" w:hAnsi="Times" w:cs="Segoe UI"/>
              </w:rPr>
            </w:pPr>
          </w:p>
        </w:tc>
        <w:tc>
          <w:tcPr>
            <w:tcW w:w="992" w:type="dxa"/>
          </w:tcPr>
          <w:p w14:paraId="6E5BD43C" w14:textId="77777777" w:rsidR="000B0943" w:rsidRDefault="000B0943" w:rsidP="000E1764">
            <w:pPr>
              <w:spacing w:after="120" w:line="360" w:lineRule="auto"/>
              <w:rPr>
                <w:rFonts w:ascii="Times" w:hAnsi="Times" w:cs="Segoe UI"/>
              </w:rPr>
            </w:pPr>
          </w:p>
        </w:tc>
        <w:tc>
          <w:tcPr>
            <w:tcW w:w="993" w:type="dxa"/>
          </w:tcPr>
          <w:p w14:paraId="53E9F243" w14:textId="77777777" w:rsidR="000B0943" w:rsidRDefault="000B0943" w:rsidP="000E1764">
            <w:pPr>
              <w:spacing w:after="120" w:line="360" w:lineRule="auto"/>
              <w:rPr>
                <w:rFonts w:ascii="Times" w:hAnsi="Times" w:cs="Segoe UI"/>
              </w:rPr>
            </w:pPr>
          </w:p>
        </w:tc>
        <w:tc>
          <w:tcPr>
            <w:tcW w:w="992" w:type="dxa"/>
            <w:shd w:val="clear" w:color="auto" w:fill="BFBFBF" w:themeFill="background1" w:themeFillShade="BF"/>
          </w:tcPr>
          <w:p w14:paraId="50FFE6E8" w14:textId="77777777" w:rsidR="000B0943" w:rsidRDefault="000B0943" w:rsidP="000E1764">
            <w:pPr>
              <w:spacing w:after="120" w:line="360" w:lineRule="auto"/>
              <w:rPr>
                <w:rFonts w:ascii="Times" w:hAnsi="Times" w:cs="Segoe UI"/>
              </w:rPr>
            </w:pPr>
          </w:p>
        </w:tc>
        <w:tc>
          <w:tcPr>
            <w:tcW w:w="992" w:type="dxa"/>
          </w:tcPr>
          <w:p w14:paraId="044A21B6" w14:textId="77777777" w:rsidR="000B0943" w:rsidRDefault="000B0943" w:rsidP="000E1764">
            <w:pPr>
              <w:spacing w:after="120" w:line="360" w:lineRule="auto"/>
              <w:rPr>
                <w:rFonts w:ascii="Times" w:hAnsi="Times" w:cs="Segoe UI"/>
              </w:rPr>
            </w:pPr>
          </w:p>
        </w:tc>
        <w:tc>
          <w:tcPr>
            <w:tcW w:w="992" w:type="dxa"/>
          </w:tcPr>
          <w:p w14:paraId="2AFBE4E9" w14:textId="77777777" w:rsidR="000B0943" w:rsidRDefault="000B0943" w:rsidP="000E1764">
            <w:pPr>
              <w:spacing w:after="120" w:line="360" w:lineRule="auto"/>
              <w:rPr>
                <w:rFonts w:ascii="Times" w:hAnsi="Times" w:cs="Segoe UI"/>
              </w:rPr>
            </w:pPr>
          </w:p>
        </w:tc>
      </w:tr>
      <w:tr w:rsidR="000B0943" w14:paraId="5DA8576E" w14:textId="77777777" w:rsidTr="00643DEB">
        <w:tc>
          <w:tcPr>
            <w:tcW w:w="3119" w:type="dxa"/>
          </w:tcPr>
          <w:p w14:paraId="5AF93DB5" w14:textId="5359990D" w:rsidR="000B0943" w:rsidRDefault="000B0943" w:rsidP="000E1764">
            <w:pPr>
              <w:spacing w:after="120" w:line="360" w:lineRule="auto"/>
              <w:rPr>
                <w:rFonts w:ascii="Times" w:hAnsi="Times" w:cs="Segoe UI"/>
              </w:rPr>
            </w:pPr>
            <w:r>
              <w:rPr>
                <w:rFonts w:ascii="Times" w:hAnsi="Times" w:cs="Segoe UI"/>
              </w:rPr>
              <w:t>First draft</w:t>
            </w:r>
          </w:p>
        </w:tc>
        <w:tc>
          <w:tcPr>
            <w:tcW w:w="1134" w:type="dxa"/>
          </w:tcPr>
          <w:p w14:paraId="26C131CE" w14:textId="77777777" w:rsidR="000B0943" w:rsidRDefault="000B0943" w:rsidP="000E1764">
            <w:pPr>
              <w:spacing w:after="120" w:line="360" w:lineRule="auto"/>
              <w:rPr>
                <w:rFonts w:ascii="Times" w:hAnsi="Times" w:cs="Segoe UI"/>
              </w:rPr>
            </w:pPr>
          </w:p>
        </w:tc>
        <w:tc>
          <w:tcPr>
            <w:tcW w:w="992" w:type="dxa"/>
          </w:tcPr>
          <w:p w14:paraId="5CA078A3" w14:textId="77777777" w:rsidR="000B0943" w:rsidRDefault="000B0943" w:rsidP="000E1764">
            <w:pPr>
              <w:spacing w:after="120" w:line="360" w:lineRule="auto"/>
              <w:rPr>
                <w:rFonts w:ascii="Times" w:hAnsi="Times" w:cs="Segoe UI"/>
              </w:rPr>
            </w:pPr>
          </w:p>
        </w:tc>
        <w:tc>
          <w:tcPr>
            <w:tcW w:w="1134" w:type="dxa"/>
          </w:tcPr>
          <w:p w14:paraId="1340E606" w14:textId="77777777" w:rsidR="000B0943" w:rsidRDefault="000B0943" w:rsidP="000E1764">
            <w:pPr>
              <w:spacing w:after="120" w:line="360" w:lineRule="auto"/>
              <w:rPr>
                <w:rFonts w:ascii="Times" w:hAnsi="Times" w:cs="Segoe UI"/>
              </w:rPr>
            </w:pPr>
          </w:p>
        </w:tc>
        <w:tc>
          <w:tcPr>
            <w:tcW w:w="992" w:type="dxa"/>
          </w:tcPr>
          <w:p w14:paraId="3BC541BB" w14:textId="77777777" w:rsidR="000B0943" w:rsidRDefault="000B0943" w:rsidP="000E1764">
            <w:pPr>
              <w:spacing w:after="120" w:line="360" w:lineRule="auto"/>
              <w:rPr>
                <w:rFonts w:ascii="Times" w:hAnsi="Times" w:cs="Segoe UI"/>
              </w:rPr>
            </w:pPr>
          </w:p>
        </w:tc>
        <w:tc>
          <w:tcPr>
            <w:tcW w:w="993" w:type="dxa"/>
          </w:tcPr>
          <w:p w14:paraId="19777CB3" w14:textId="77777777" w:rsidR="000B0943" w:rsidRDefault="000B0943" w:rsidP="000E1764">
            <w:pPr>
              <w:spacing w:after="120" w:line="360" w:lineRule="auto"/>
              <w:rPr>
                <w:rFonts w:ascii="Times" w:hAnsi="Times" w:cs="Segoe UI"/>
              </w:rPr>
            </w:pPr>
          </w:p>
        </w:tc>
        <w:tc>
          <w:tcPr>
            <w:tcW w:w="992" w:type="dxa"/>
            <w:shd w:val="clear" w:color="auto" w:fill="BFBFBF" w:themeFill="background1" w:themeFillShade="BF"/>
          </w:tcPr>
          <w:p w14:paraId="17F7A9BC" w14:textId="77777777" w:rsidR="000B0943" w:rsidRDefault="000B0943" w:rsidP="000E1764">
            <w:pPr>
              <w:spacing w:after="120" w:line="360" w:lineRule="auto"/>
              <w:rPr>
                <w:rFonts w:ascii="Times" w:hAnsi="Times" w:cs="Segoe UI"/>
              </w:rPr>
            </w:pPr>
          </w:p>
        </w:tc>
        <w:tc>
          <w:tcPr>
            <w:tcW w:w="992" w:type="dxa"/>
            <w:shd w:val="clear" w:color="auto" w:fill="FFFFFF" w:themeFill="background1"/>
          </w:tcPr>
          <w:p w14:paraId="13374872" w14:textId="77777777" w:rsidR="000B0943" w:rsidRDefault="000B0943" w:rsidP="000E1764">
            <w:pPr>
              <w:spacing w:after="120" w:line="360" w:lineRule="auto"/>
              <w:rPr>
                <w:rFonts w:ascii="Times" w:hAnsi="Times" w:cs="Segoe UI"/>
              </w:rPr>
            </w:pPr>
          </w:p>
        </w:tc>
        <w:tc>
          <w:tcPr>
            <w:tcW w:w="992" w:type="dxa"/>
          </w:tcPr>
          <w:p w14:paraId="4AE30B44" w14:textId="77777777" w:rsidR="000B0943" w:rsidRDefault="000B0943" w:rsidP="000E1764">
            <w:pPr>
              <w:spacing w:after="120" w:line="360" w:lineRule="auto"/>
              <w:rPr>
                <w:rFonts w:ascii="Times" w:hAnsi="Times" w:cs="Segoe UI"/>
              </w:rPr>
            </w:pPr>
          </w:p>
        </w:tc>
      </w:tr>
      <w:tr w:rsidR="000B0943" w14:paraId="0301534B" w14:textId="77777777" w:rsidTr="00643DEB">
        <w:tc>
          <w:tcPr>
            <w:tcW w:w="3119" w:type="dxa"/>
          </w:tcPr>
          <w:p w14:paraId="1E2EEDCE" w14:textId="444CB905" w:rsidR="000B0943" w:rsidRDefault="000B0943" w:rsidP="000E1764">
            <w:pPr>
              <w:spacing w:after="120" w:line="360" w:lineRule="auto"/>
              <w:rPr>
                <w:rFonts w:ascii="Times" w:hAnsi="Times" w:cs="Segoe UI"/>
              </w:rPr>
            </w:pPr>
            <w:r>
              <w:rPr>
                <w:rFonts w:ascii="Times" w:hAnsi="Times" w:cs="Segoe UI"/>
              </w:rPr>
              <w:t>Second draft</w:t>
            </w:r>
          </w:p>
        </w:tc>
        <w:tc>
          <w:tcPr>
            <w:tcW w:w="1134" w:type="dxa"/>
          </w:tcPr>
          <w:p w14:paraId="0965BF52" w14:textId="77777777" w:rsidR="000B0943" w:rsidRDefault="000B0943" w:rsidP="000E1764">
            <w:pPr>
              <w:spacing w:after="120" w:line="360" w:lineRule="auto"/>
              <w:rPr>
                <w:rFonts w:ascii="Times" w:hAnsi="Times" w:cs="Segoe UI"/>
              </w:rPr>
            </w:pPr>
          </w:p>
        </w:tc>
        <w:tc>
          <w:tcPr>
            <w:tcW w:w="992" w:type="dxa"/>
          </w:tcPr>
          <w:p w14:paraId="1F696B35" w14:textId="77777777" w:rsidR="000B0943" w:rsidRDefault="000B0943" w:rsidP="000E1764">
            <w:pPr>
              <w:spacing w:after="120" w:line="360" w:lineRule="auto"/>
              <w:rPr>
                <w:rFonts w:ascii="Times" w:hAnsi="Times" w:cs="Segoe UI"/>
              </w:rPr>
            </w:pPr>
          </w:p>
        </w:tc>
        <w:tc>
          <w:tcPr>
            <w:tcW w:w="1134" w:type="dxa"/>
          </w:tcPr>
          <w:p w14:paraId="2A428F7F" w14:textId="77777777" w:rsidR="000B0943" w:rsidRDefault="000B0943" w:rsidP="000E1764">
            <w:pPr>
              <w:spacing w:after="120" w:line="360" w:lineRule="auto"/>
              <w:rPr>
                <w:rFonts w:ascii="Times" w:hAnsi="Times" w:cs="Segoe UI"/>
              </w:rPr>
            </w:pPr>
          </w:p>
        </w:tc>
        <w:tc>
          <w:tcPr>
            <w:tcW w:w="992" w:type="dxa"/>
          </w:tcPr>
          <w:p w14:paraId="5687BA4D" w14:textId="77777777" w:rsidR="000B0943" w:rsidRDefault="000B0943" w:rsidP="000E1764">
            <w:pPr>
              <w:spacing w:after="120" w:line="360" w:lineRule="auto"/>
              <w:rPr>
                <w:rFonts w:ascii="Times" w:hAnsi="Times" w:cs="Segoe UI"/>
              </w:rPr>
            </w:pPr>
          </w:p>
        </w:tc>
        <w:tc>
          <w:tcPr>
            <w:tcW w:w="993" w:type="dxa"/>
          </w:tcPr>
          <w:p w14:paraId="3002FA89" w14:textId="77777777" w:rsidR="000B0943" w:rsidRDefault="000B0943" w:rsidP="000E1764">
            <w:pPr>
              <w:spacing w:after="120" w:line="360" w:lineRule="auto"/>
              <w:rPr>
                <w:rFonts w:ascii="Times" w:hAnsi="Times" w:cs="Segoe UI"/>
              </w:rPr>
            </w:pPr>
          </w:p>
        </w:tc>
        <w:tc>
          <w:tcPr>
            <w:tcW w:w="992" w:type="dxa"/>
          </w:tcPr>
          <w:p w14:paraId="7D521615" w14:textId="77777777" w:rsidR="000B0943" w:rsidRDefault="000B0943" w:rsidP="000E1764">
            <w:pPr>
              <w:spacing w:after="120" w:line="360" w:lineRule="auto"/>
              <w:rPr>
                <w:rFonts w:ascii="Times" w:hAnsi="Times" w:cs="Segoe UI"/>
              </w:rPr>
            </w:pPr>
          </w:p>
        </w:tc>
        <w:tc>
          <w:tcPr>
            <w:tcW w:w="992" w:type="dxa"/>
            <w:shd w:val="clear" w:color="auto" w:fill="BFBFBF" w:themeFill="background1" w:themeFillShade="BF"/>
          </w:tcPr>
          <w:p w14:paraId="51262C4C" w14:textId="77777777" w:rsidR="000B0943" w:rsidRDefault="000B0943" w:rsidP="000E1764">
            <w:pPr>
              <w:spacing w:after="120" w:line="360" w:lineRule="auto"/>
              <w:rPr>
                <w:rFonts w:ascii="Times" w:hAnsi="Times" w:cs="Segoe UI"/>
              </w:rPr>
            </w:pPr>
          </w:p>
        </w:tc>
        <w:tc>
          <w:tcPr>
            <w:tcW w:w="992" w:type="dxa"/>
          </w:tcPr>
          <w:p w14:paraId="407E4570" w14:textId="77777777" w:rsidR="000B0943" w:rsidRDefault="000B0943" w:rsidP="000E1764">
            <w:pPr>
              <w:spacing w:after="120" w:line="360" w:lineRule="auto"/>
              <w:rPr>
                <w:rFonts w:ascii="Times" w:hAnsi="Times" w:cs="Segoe UI"/>
              </w:rPr>
            </w:pPr>
          </w:p>
        </w:tc>
      </w:tr>
      <w:tr w:rsidR="000B0943" w14:paraId="0A30D3F9" w14:textId="77777777" w:rsidTr="00643DEB">
        <w:tc>
          <w:tcPr>
            <w:tcW w:w="3119" w:type="dxa"/>
          </w:tcPr>
          <w:p w14:paraId="64E5159F" w14:textId="4367C1FD" w:rsidR="000B0943" w:rsidRDefault="000B0943" w:rsidP="000E1764">
            <w:pPr>
              <w:spacing w:after="120" w:line="360" w:lineRule="auto"/>
              <w:rPr>
                <w:rFonts w:ascii="Times" w:hAnsi="Times" w:cs="Segoe UI"/>
              </w:rPr>
            </w:pPr>
            <w:r>
              <w:rPr>
                <w:rFonts w:ascii="Times" w:hAnsi="Times" w:cs="Segoe UI"/>
              </w:rPr>
              <w:t>Final draft</w:t>
            </w:r>
          </w:p>
        </w:tc>
        <w:tc>
          <w:tcPr>
            <w:tcW w:w="1134" w:type="dxa"/>
          </w:tcPr>
          <w:p w14:paraId="437B6981" w14:textId="77777777" w:rsidR="000B0943" w:rsidRDefault="000B0943" w:rsidP="000E1764">
            <w:pPr>
              <w:spacing w:after="120" w:line="360" w:lineRule="auto"/>
              <w:rPr>
                <w:rFonts w:ascii="Times" w:hAnsi="Times" w:cs="Segoe UI"/>
              </w:rPr>
            </w:pPr>
          </w:p>
        </w:tc>
        <w:tc>
          <w:tcPr>
            <w:tcW w:w="992" w:type="dxa"/>
          </w:tcPr>
          <w:p w14:paraId="708B4431" w14:textId="77777777" w:rsidR="000B0943" w:rsidRDefault="000B0943" w:rsidP="000E1764">
            <w:pPr>
              <w:spacing w:after="120" w:line="360" w:lineRule="auto"/>
              <w:rPr>
                <w:rFonts w:ascii="Times" w:hAnsi="Times" w:cs="Segoe UI"/>
              </w:rPr>
            </w:pPr>
          </w:p>
        </w:tc>
        <w:tc>
          <w:tcPr>
            <w:tcW w:w="1134" w:type="dxa"/>
          </w:tcPr>
          <w:p w14:paraId="29C3ECD6" w14:textId="77777777" w:rsidR="000B0943" w:rsidRDefault="000B0943" w:rsidP="000E1764">
            <w:pPr>
              <w:spacing w:after="120" w:line="360" w:lineRule="auto"/>
              <w:rPr>
                <w:rFonts w:ascii="Times" w:hAnsi="Times" w:cs="Segoe UI"/>
              </w:rPr>
            </w:pPr>
          </w:p>
        </w:tc>
        <w:tc>
          <w:tcPr>
            <w:tcW w:w="992" w:type="dxa"/>
          </w:tcPr>
          <w:p w14:paraId="5C6189E8" w14:textId="77777777" w:rsidR="000B0943" w:rsidRDefault="000B0943" w:rsidP="000E1764">
            <w:pPr>
              <w:spacing w:after="120" w:line="360" w:lineRule="auto"/>
              <w:rPr>
                <w:rFonts w:ascii="Times" w:hAnsi="Times" w:cs="Segoe UI"/>
              </w:rPr>
            </w:pPr>
          </w:p>
        </w:tc>
        <w:tc>
          <w:tcPr>
            <w:tcW w:w="993" w:type="dxa"/>
          </w:tcPr>
          <w:p w14:paraId="24F48404" w14:textId="77777777" w:rsidR="000B0943" w:rsidRDefault="000B0943" w:rsidP="000E1764">
            <w:pPr>
              <w:spacing w:after="120" w:line="360" w:lineRule="auto"/>
              <w:rPr>
                <w:rFonts w:ascii="Times" w:hAnsi="Times" w:cs="Segoe UI"/>
              </w:rPr>
            </w:pPr>
          </w:p>
        </w:tc>
        <w:tc>
          <w:tcPr>
            <w:tcW w:w="992" w:type="dxa"/>
          </w:tcPr>
          <w:p w14:paraId="53795529" w14:textId="77777777" w:rsidR="000B0943" w:rsidRDefault="000B0943" w:rsidP="000E1764">
            <w:pPr>
              <w:spacing w:after="120" w:line="360" w:lineRule="auto"/>
              <w:rPr>
                <w:rFonts w:ascii="Times" w:hAnsi="Times" w:cs="Segoe UI"/>
              </w:rPr>
            </w:pPr>
          </w:p>
        </w:tc>
        <w:tc>
          <w:tcPr>
            <w:tcW w:w="992" w:type="dxa"/>
            <w:shd w:val="clear" w:color="auto" w:fill="BFBFBF" w:themeFill="background1" w:themeFillShade="BF"/>
          </w:tcPr>
          <w:p w14:paraId="70C4D936" w14:textId="77777777" w:rsidR="000B0943" w:rsidRDefault="000B0943" w:rsidP="000E1764">
            <w:pPr>
              <w:spacing w:after="120" w:line="360" w:lineRule="auto"/>
              <w:rPr>
                <w:rFonts w:ascii="Times" w:hAnsi="Times" w:cs="Segoe UI"/>
              </w:rPr>
            </w:pPr>
          </w:p>
        </w:tc>
        <w:tc>
          <w:tcPr>
            <w:tcW w:w="992" w:type="dxa"/>
          </w:tcPr>
          <w:p w14:paraId="4ACDEC38" w14:textId="77777777" w:rsidR="000B0943" w:rsidRDefault="000B0943" w:rsidP="000E1764">
            <w:pPr>
              <w:spacing w:after="120" w:line="360" w:lineRule="auto"/>
              <w:rPr>
                <w:rFonts w:ascii="Times" w:hAnsi="Times" w:cs="Segoe UI"/>
              </w:rPr>
            </w:pPr>
          </w:p>
        </w:tc>
      </w:tr>
      <w:tr w:rsidR="00643DEB" w14:paraId="44EA7485" w14:textId="77777777" w:rsidTr="00643DEB">
        <w:tc>
          <w:tcPr>
            <w:tcW w:w="3119" w:type="dxa"/>
          </w:tcPr>
          <w:p w14:paraId="0E40B979" w14:textId="21261255" w:rsidR="000B0943" w:rsidRDefault="000B0943" w:rsidP="000E1764">
            <w:pPr>
              <w:spacing w:after="120" w:line="360" w:lineRule="auto"/>
              <w:rPr>
                <w:rFonts w:ascii="Times" w:hAnsi="Times" w:cs="Segoe UI"/>
              </w:rPr>
            </w:pPr>
            <w:r>
              <w:rPr>
                <w:rFonts w:ascii="Times" w:hAnsi="Times" w:cs="Segoe UI"/>
              </w:rPr>
              <w:t>Dissertation due</w:t>
            </w:r>
          </w:p>
        </w:tc>
        <w:tc>
          <w:tcPr>
            <w:tcW w:w="1134" w:type="dxa"/>
          </w:tcPr>
          <w:p w14:paraId="64180B68" w14:textId="77777777" w:rsidR="000B0943" w:rsidRDefault="000B0943" w:rsidP="000E1764">
            <w:pPr>
              <w:spacing w:after="120" w:line="360" w:lineRule="auto"/>
              <w:rPr>
                <w:rFonts w:ascii="Times" w:hAnsi="Times" w:cs="Segoe UI"/>
              </w:rPr>
            </w:pPr>
          </w:p>
        </w:tc>
        <w:tc>
          <w:tcPr>
            <w:tcW w:w="992" w:type="dxa"/>
          </w:tcPr>
          <w:p w14:paraId="097A7452" w14:textId="77777777" w:rsidR="000B0943" w:rsidRDefault="000B0943" w:rsidP="000E1764">
            <w:pPr>
              <w:spacing w:after="120" w:line="360" w:lineRule="auto"/>
              <w:rPr>
                <w:rFonts w:ascii="Times" w:hAnsi="Times" w:cs="Segoe UI"/>
              </w:rPr>
            </w:pPr>
          </w:p>
        </w:tc>
        <w:tc>
          <w:tcPr>
            <w:tcW w:w="1134" w:type="dxa"/>
          </w:tcPr>
          <w:p w14:paraId="39CD119B" w14:textId="77777777" w:rsidR="000B0943" w:rsidRDefault="000B0943" w:rsidP="000E1764">
            <w:pPr>
              <w:spacing w:after="120" w:line="360" w:lineRule="auto"/>
              <w:rPr>
                <w:rFonts w:ascii="Times" w:hAnsi="Times" w:cs="Segoe UI"/>
              </w:rPr>
            </w:pPr>
          </w:p>
        </w:tc>
        <w:tc>
          <w:tcPr>
            <w:tcW w:w="992" w:type="dxa"/>
          </w:tcPr>
          <w:p w14:paraId="0B293A68" w14:textId="77777777" w:rsidR="000B0943" w:rsidRDefault="000B0943" w:rsidP="000E1764">
            <w:pPr>
              <w:spacing w:after="120" w:line="360" w:lineRule="auto"/>
              <w:rPr>
                <w:rFonts w:ascii="Times" w:hAnsi="Times" w:cs="Segoe UI"/>
              </w:rPr>
            </w:pPr>
          </w:p>
        </w:tc>
        <w:tc>
          <w:tcPr>
            <w:tcW w:w="993" w:type="dxa"/>
          </w:tcPr>
          <w:p w14:paraId="47B26C1E" w14:textId="77777777" w:rsidR="000B0943" w:rsidRDefault="000B0943" w:rsidP="000E1764">
            <w:pPr>
              <w:spacing w:after="120" w:line="360" w:lineRule="auto"/>
              <w:rPr>
                <w:rFonts w:ascii="Times" w:hAnsi="Times" w:cs="Segoe UI"/>
              </w:rPr>
            </w:pPr>
          </w:p>
        </w:tc>
        <w:tc>
          <w:tcPr>
            <w:tcW w:w="992" w:type="dxa"/>
          </w:tcPr>
          <w:p w14:paraId="22EA878D" w14:textId="77777777" w:rsidR="000B0943" w:rsidRDefault="000B0943" w:rsidP="000E1764">
            <w:pPr>
              <w:spacing w:after="120" w:line="360" w:lineRule="auto"/>
              <w:rPr>
                <w:rFonts w:ascii="Times" w:hAnsi="Times" w:cs="Segoe UI"/>
              </w:rPr>
            </w:pPr>
          </w:p>
        </w:tc>
        <w:tc>
          <w:tcPr>
            <w:tcW w:w="992" w:type="dxa"/>
          </w:tcPr>
          <w:p w14:paraId="1A5EFF19" w14:textId="77777777" w:rsidR="000B0943" w:rsidRDefault="000B0943" w:rsidP="000E1764">
            <w:pPr>
              <w:spacing w:after="120" w:line="360" w:lineRule="auto"/>
              <w:rPr>
                <w:rFonts w:ascii="Times" w:hAnsi="Times" w:cs="Segoe UI"/>
              </w:rPr>
            </w:pPr>
          </w:p>
        </w:tc>
        <w:tc>
          <w:tcPr>
            <w:tcW w:w="992" w:type="dxa"/>
            <w:shd w:val="clear" w:color="auto" w:fill="BFBFBF" w:themeFill="background1" w:themeFillShade="BF"/>
          </w:tcPr>
          <w:p w14:paraId="496D1183" w14:textId="77777777" w:rsidR="000B0943" w:rsidRDefault="000B0943" w:rsidP="000E1764">
            <w:pPr>
              <w:spacing w:after="120" w:line="360" w:lineRule="auto"/>
              <w:rPr>
                <w:rFonts w:ascii="Times" w:hAnsi="Times" w:cs="Segoe UI"/>
              </w:rPr>
            </w:pPr>
          </w:p>
        </w:tc>
      </w:tr>
    </w:tbl>
    <w:p w14:paraId="2A788458" w14:textId="622E12D5" w:rsidR="00696296" w:rsidRPr="000E1764" w:rsidRDefault="00696296" w:rsidP="000E1764">
      <w:pPr>
        <w:spacing w:after="120" w:line="360" w:lineRule="auto"/>
        <w:rPr>
          <w:rStyle w:val="ui-provider"/>
          <w:rFonts w:ascii="Times" w:hAnsi="Times" w:cs="Segoe UI"/>
        </w:rPr>
      </w:pPr>
      <w:r w:rsidRPr="000E1764">
        <w:rPr>
          <w:rFonts w:ascii="Times" w:hAnsi="Times" w:cs="Segoe UI"/>
        </w:rPr>
        <w:br/>
      </w:r>
      <w:r w:rsidR="008D6D57" w:rsidRPr="000E1764">
        <w:rPr>
          <w:rStyle w:val="ui-provider"/>
          <w:rFonts w:ascii="Times" w:hAnsi="Times" w:cs="Segoe UI"/>
        </w:rPr>
        <w:t xml:space="preserve">   </w:t>
      </w:r>
      <w:r w:rsidRPr="000E1764">
        <w:rPr>
          <w:rStyle w:val="ui-provider"/>
          <w:rFonts w:ascii="Times" w:hAnsi="Times" w:cs="Segoe UI"/>
        </w:rPr>
        <w:t>Ethical considerations are crucial in any research project. In this case, the researcher should ensure the protection of participants' confidentiality and privacy. Informed consent should be obtained from participants before their involvement in the study. The researcher should also ensure that the research is conducted in an unbiased and objective manner, avoiding any conflicts of interest. Additionally, any potential risks to participants should be assessed and minimized. Research ethics guidelines and regulations should be followed throughout the research process to ensure ethical conduct.</w:t>
      </w:r>
      <w:r w:rsidR="008D6D57" w:rsidRPr="000E1764">
        <w:rPr>
          <w:rFonts w:ascii="Times" w:hAnsi="Times"/>
          <w:noProof/>
        </w:rPr>
        <w:t xml:space="preserve"> </w:t>
      </w:r>
      <w:r w:rsidRPr="000E1764">
        <w:rPr>
          <w:rFonts w:ascii="Times" w:hAnsi="Times" w:cs="Segoe UI"/>
        </w:rPr>
        <w:br/>
      </w:r>
      <w:r w:rsidR="000E1764">
        <w:rPr>
          <w:rStyle w:val="ui-provider"/>
          <w:rFonts w:ascii="Times" w:hAnsi="Times" w:cs="Segoe UI"/>
        </w:rPr>
        <w:t xml:space="preserve">   </w:t>
      </w:r>
      <w:r w:rsidRPr="000E1764">
        <w:rPr>
          <w:rStyle w:val="ui-provider"/>
          <w:rFonts w:ascii="Times" w:hAnsi="Times" w:cs="Segoe UI"/>
        </w:rPr>
        <w:t>Overall, by using purposive sampling, a combination of primary and secondary data collection methods, appropriate data interpretation techniques, a well-planned timeline using a Gantt chart, and adherence to ethical considerations, the research can provide valuable insights into the impact of external business factors on the survival of Debenhams while maintaining ethical standards.</w:t>
      </w:r>
    </w:p>
    <w:p w14:paraId="563639E4" w14:textId="7957C02F" w:rsidR="008D6D57" w:rsidRPr="000E1764" w:rsidRDefault="008D6D57" w:rsidP="000E1764">
      <w:pPr>
        <w:spacing w:after="120" w:line="360" w:lineRule="auto"/>
        <w:rPr>
          <w:rStyle w:val="ui-provider"/>
          <w:rFonts w:ascii="Times" w:hAnsi="Times" w:cs="Segoe UI"/>
        </w:rPr>
      </w:pPr>
    </w:p>
    <w:p w14:paraId="14A88A8F" w14:textId="77777777" w:rsidR="000E1764" w:rsidRDefault="000E1764" w:rsidP="00643DEB">
      <w:pPr>
        <w:spacing w:after="120" w:line="360" w:lineRule="auto"/>
        <w:rPr>
          <w:rStyle w:val="ui-provider"/>
          <w:rFonts w:ascii="Times" w:hAnsi="Times" w:cs="Segoe UI"/>
          <w:sz w:val="36"/>
          <w:szCs w:val="36"/>
        </w:rPr>
      </w:pPr>
    </w:p>
    <w:p w14:paraId="24C790F3" w14:textId="77777777" w:rsidR="000E1764" w:rsidRDefault="000E1764" w:rsidP="000E1764">
      <w:pPr>
        <w:spacing w:after="120" w:line="360" w:lineRule="auto"/>
        <w:jc w:val="center"/>
        <w:rPr>
          <w:rStyle w:val="ui-provider"/>
          <w:rFonts w:ascii="Times" w:hAnsi="Times" w:cs="Segoe UI"/>
          <w:sz w:val="36"/>
          <w:szCs w:val="36"/>
        </w:rPr>
      </w:pPr>
    </w:p>
    <w:p w14:paraId="5B337960" w14:textId="20D84B25" w:rsidR="008D6D57" w:rsidRPr="000E1764" w:rsidRDefault="008D6D57" w:rsidP="000E1764">
      <w:pPr>
        <w:spacing w:after="120" w:line="360" w:lineRule="auto"/>
        <w:jc w:val="center"/>
        <w:rPr>
          <w:rStyle w:val="ui-provider"/>
          <w:rFonts w:ascii="Times" w:hAnsi="Times" w:cs="Segoe UI"/>
          <w:sz w:val="36"/>
          <w:szCs w:val="36"/>
        </w:rPr>
      </w:pPr>
      <w:r w:rsidRPr="000E1764">
        <w:rPr>
          <w:rStyle w:val="ui-provider"/>
          <w:rFonts w:ascii="Times" w:hAnsi="Times" w:cs="Segoe UI"/>
          <w:sz w:val="36"/>
          <w:szCs w:val="36"/>
        </w:rPr>
        <w:lastRenderedPageBreak/>
        <w:t>Conclusion</w:t>
      </w:r>
    </w:p>
    <w:p w14:paraId="0E9D01AF" w14:textId="28A37C25" w:rsidR="008D6D57" w:rsidRPr="000E1764" w:rsidRDefault="000E1764" w:rsidP="000E1764">
      <w:pPr>
        <w:spacing w:after="120" w:line="360" w:lineRule="auto"/>
        <w:rPr>
          <w:rStyle w:val="ui-provider"/>
          <w:rFonts w:ascii="Times" w:hAnsi="Times" w:cs="Segoe UI"/>
        </w:rPr>
      </w:pPr>
      <w:r w:rsidRPr="000E1764">
        <w:rPr>
          <w:rStyle w:val="ui-provider"/>
          <w:rFonts w:ascii="Times" w:hAnsi="Times" w:cs="Segoe UI"/>
        </w:rPr>
        <w:t xml:space="preserve">   In conclusion, the examination of external business factors' impact on the survival of Debenhams is a critical study that can provide valuable insights into the challenges faced by the company and its ability to navigate through external pressures. By analysing the case study, it becomes evident that external factors such as changes in consumer behaviour, competition, economic conditions, and technological advancements have significantly influenced Debenhams' survival in the market.</w:t>
      </w:r>
      <w:r w:rsidRPr="000E1764">
        <w:rPr>
          <w:rFonts w:ascii="Times" w:hAnsi="Times" w:cs="Segoe UI"/>
        </w:rPr>
        <w:br/>
      </w:r>
      <w:r w:rsidRPr="000E1764">
        <w:rPr>
          <w:rStyle w:val="ui-provider"/>
          <w:rFonts w:ascii="Times" w:hAnsi="Times" w:cs="Segoe UI"/>
        </w:rPr>
        <w:t xml:space="preserve">   The research methods and methodology employed in this study, including purposive sampling, data collection through primary and secondary sources, and data interpretation through thematic and statistical analysis, have allowed for a comprehensive understanding of the research topic. These methods have ensured the inclusion of relevant stakeholders and the collection of both qualitative and quantitative data, enabling a deeper exploration of the external factors impacting Debenhams' survival.</w:t>
      </w:r>
      <w:r w:rsidRPr="000E1764">
        <w:rPr>
          <w:rFonts w:ascii="Times" w:hAnsi="Times" w:cs="Segoe UI"/>
        </w:rPr>
        <w:br/>
      </w:r>
      <w:r w:rsidRPr="000E1764">
        <w:rPr>
          <w:rStyle w:val="ui-provider"/>
          <w:rFonts w:ascii="Times" w:hAnsi="Times" w:cs="Segoe UI"/>
        </w:rPr>
        <w:t xml:space="preserve">   The research timeline, as depicted in the Gantt chart, has provided a clear structure and timeline for the various research activities. This has allowed for efficient planning and execution of the research project, ensuring timely completion of tasks. It is important to note that the research timeline may vary based on the specific requirements and scope of the study.</w:t>
      </w:r>
      <w:r w:rsidRPr="000E1764">
        <w:rPr>
          <w:rFonts w:ascii="Times" w:hAnsi="Times" w:cs="Segoe UI"/>
        </w:rPr>
        <w:br/>
      </w:r>
      <w:r w:rsidRPr="000E1764">
        <w:rPr>
          <w:rStyle w:val="ui-provider"/>
          <w:rFonts w:ascii="Times" w:hAnsi="Times" w:cs="Segoe UI"/>
        </w:rPr>
        <w:t xml:space="preserve">   Ethical considerations have been given due importance throughout the research process. Participants' confidentiality and privacy have been protected, informed consent has been obtained, and efforts have been made to conduct the research in an unbiased and objective manner. Adherence to ethical guidelines and regulations has been prioritized to ensure the integrity and validity of the research findings.</w:t>
      </w:r>
      <w:r w:rsidRPr="000E1764">
        <w:rPr>
          <w:rFonts w:ascii="Times" w:hAnsi="Times" w:cs="Segoe UI"/>
        </w:rPr>
        <w:br/>
      </w:r>
      <w:r w:rsidRPr="000E1764">
        <w:rPr>
          <w:rStyle w:val="ui-provider"/>
          <w:rFonts w:ascii="Times" w:hAnsi="Times" w:cs="Segoe UI"/>
        </w:rPr>
        <w:t xml:space="preserve">   In conclusion, this research on the impact of external business factors on the survival of Debenhams has the potential to contribute to the existing body of knowledge in the field of business management. The findings can provide valuable insights for businesses in similar industries facing similar external challenges, helping them make informed decisions and develop strategies to enhance their survival and long-term success.</w:t>
      </w:r>
    </w:p>
    <w:p w14:paraId="68E2C45F" w14:textId="17109132" w:rsidR="008D6D57" w:rsidRDefault="008D6D57" w:rsidP="000E1764">
      <w:pPr>
        <w:spacing w:after="120" w:line="360" w:lineRule="auto"/>
        <w:rPr>
          <w:rFonts w:ascii="Times" w:hAnsi="Times" w:cs="Segoe UI"/>
        </w:rPr>
      </w:pPr>
    </w:p>
    <w:p w14:paraId="719EF99C" w14:textId="7ADADCB0" w:rsidR="000E1764" w:rsidRDefault="000E1764" w:rsidP="000E1764">
      <w:pPr>
        <w:spacing w:after="120" w:line="360" w:lineRule="auto"/>
        <w:rPr>
          <w:rFonts w:ascii="Times" w:hAnsi="Times" w:cs="Segoe UI"/>
        </w:rPr>
      </w:pPr>
    </w:p>
    <w:p w14:paraId="3951586E" w14:textId="00BA3D9F" w:rsidR="000E1764" w:rsidRDefault="000E1764" w:rsidP="000E1764">
      <w:pPr>
        <w:spacing w:after="120" w:line="360" w:lineRule="auto"/>
        <w:rPr>
          <w:rFonts w:ascii="Times" w:hAnsi="Times" w:cs="Segoe UI"/>
        </w:rPr>
      </w:pPr>
    </w:p>
    <w:p w14:paraId="03DA9F15" w14:textId="7515A372" w:rsidR="000E1764" w:rsidRDefault="000E1764" w:rsidP="000E1764">
      <w:pPr>
        <w:spacing w:after="120" w:line="360" w:lineRule="auto"/>
        <w:rPr>
          <w:rFonts w:ascii="Times" w:hAnsi="Times" w:cs="Segoe UI"/>
        </w:rPr>
      </w:pPr>
    </w:p>
    <w:p w14:paraId="5A2C484D" w14:textId="5CE63267" w:rsidR="000E1764" w:rsidRDefault="000E1764" w:rsidP="000E1764">
      <w:pPr>
        <w:spacing w:after="120" w:line="360" w:lineRule="auto"/>
        <w:jc w:val="center"/>
        <w:rPr>
          <w:rFonts w:ascii="Times" w:hAnsi="Times" w:cs="Segoe UI"/>
          <w:sz w:val="36"/>
          <w:szCs w:val="36"/>
        </w:rPr>
      </w:pPr>
      <w:r w:rsidRPr="000E1764">
        <w:rPr>
          <w:rFonts w:ascii="Times" w:hAnsi="Times" w:cs="Segoe UI"/>
          <w:sz w:val="36"/>
          <w:szCs w:val="36"/>
        </w:rPr>
        <w:lastRenderedPageBreak/>
        <w:t>References and Bibliography</w:t>
      </w:r>
    </w:p>
    <w:p w14:paraId="4139BDAC" w14:textId="77777777" w:rsidR="001C16AD" w:rsidRPr="001C16AD" w:rsidRDefault="001C16AD" w:rsidP="001C16AD">
      <w:pPr>
        <w:spacing w:after="240" w:line="360" w:lineRule="auto"/>
      </w:pPr>
      <w:r w:rsidRPr="001C16AD">
        <w:t xml:space="preserve">Altman, E.I. and Hotchkiss, E. (2006). </w:t>
      </w:r>
      <w:r w:rsidRPr="001C16AD">
        <w:rPr>
          <w:i/>
          <w:iCs/>
        </w:rPr>
        <w:t xml:space="preserve">Corporate financial distress and </w:t>
      </w:r>
      <w:proofErr w:type="gramStart"/>
      <w:r w:rsidRPr="001C16AD">
        <w:rPr>
          <w:i/>
          <w:iCs/>
        </w:rPr>
        <w:t>bankruptcy :</w:t>
      </w:r>
      <w:proofErr w:type="gramEnd"/>
      <w:r w:rsidRPr="001C16AD">
        <w:rPr>
          <w:i/>
          <w:iCs/>
        </w:rPr>
        <w:t xml:space="preserve"> predict and avoid bankruptcy, </w:t>
      </w:r>
      <w:proofErr w:type="spellStart"/>
      <w:r w:rsidRPr="001C16AD">
        <w:rPr>
          <w:i/>
          <w:iCs/>
        </w:rPr>
        <w:t>analyze</w:t>
      </w:r>
      <w:proofErr w:type="spellEnd"/>
      <w:r w:rsidRPr="001C16AD">
        <w:rPr>
          <w:i/>
          <w:iCs/>
        </w:rPr>
        <w:t xml:space="preserve"> and invest in distressed debt</w:t>
      </w:r>
      <w:r w:rsidRPr="001C16AD">
        <w:t>. Hoboken, N.J.: Wiley.</w:t>
      </w:r>
    </w:p>
    <w:p w14:paraId="5F2E58E8" w14:textId="77777777" w:rsidR="001C16AD" w:rsidRPr="001C16AD" w:rsidRDefault="001C16AD" w:rsidP="001C16AD">
      <w:pPr>
        <w:spacing w:after="240" w:line="360" w:lineRule="auto"/>
      </w:pPr>
      <w:proofErr w:type="spellStart"/>
      <w:r w:rsidRPr="001C16AD">
        <w:t>Audretsch</w:t>
      </w:r>
      <w:proofErr w:type="spellEnd"/>
      <w:r w:rsidRPr="001C16AD">
        <w:t xml:space="preserve">, D.B. and Iris (2022). </w:t>
      </w:r>
      <w:r w:rsidRPr="001C16AD">
        <w:rPr>
          <w:i/>
          <w:iCs/>
        </w:rPr>
        <w:t>The COVID-19 Crisis and Entrepreneurship</w:t>
      </w:r>
      <w:r w:rsidRPr="001C16AD">
        <w:t>. Springer Nature.</w:t>
      </w:r>
    </w:p>
    <w:p w14:paraId="1015ABED" w14:textId="77777777" w:rsidR="001C16AD" w:rsidRPr="001C16AD" w:rsidRDefault="001C16AD" w:rsidP="001C16AD">
      <w:pPr>
        <w:spacing w:after="240" w:line="360" w:lineRule="auto"/>
      </w:pPr>
      <w:r w:rsidRPr="001C16AD">
        <w:t xml:space="preserve">BBC (2021). End of an Era for Debenhams as Final Shops Set to Close. </w:t>
      </w:r>
      <w:r w:rsidRPr="001C16AD">
        <w:rPr>
          <w:i/>
          <w:iCs/>
        </w:rPr>
        <w:t>BBC News</w:t>
      </w:r>
      <w:r w:rsidRPr="001C16AD">
        <w:t>. [online] 5 May. Available at: https://www.bbc.co.uk/news/business-56993816 [Accessed 16 Dec. 2023].</w:t>
      </w:r>
    </w:p>
    <w:p w14:paraId="2A716F4D" w14:textId="77777777" w:rsidR="001C16AD" w:rsidRPr="001C16AD" w:rsidRDefault="001C16AD" w:rsidP="001C16AD">
      <w:pPr>
        <w:spacing w:after="240" w:line="360" w:lineRule="auto"/>
      </w:pPr>
      <w:r w:rsidRPr="001C16AD">
        <w:t>Byung-</w:t>
      </w:r>
      <w:proofErr w:type="spellStart"/>
      <w:r w:rsidRPr="001C16AD">
        <w:t>Hoon</w:t>
      </w:r>
      <w:proofErr w:type="spellEnd"/>
      <w:r w:rsidRPr="001C16AD">
        <w:t xml:space="preserve">, K.-J.J. (2021). The Negative Effect of the Covid-19 Pandemic on the Acceleration of </w:t>
      </w:r>
      <w:proofErr w:type="spellStart"/>
      <w:r w:rsidRPr="001C16AD">
        <w:t>Startup</w:t>
      </w:r>
      <w:proofErr w:type="spellEnd"/>
      <w:r w:rsidRPr="001C16AD">
        <w:t xml:space="preserve"> Innovation in the Retail Supply Chain. </w:t>
      </w:r>
      <w:r w:rsidRPr="001C16AD">
        <w:rPr>
          <w:i/>
          <w:iCs/>
        </w:rPr>
        <w:t>Journal of Distribution Science</w:t>
      </w:r>
      <w:r w:rsidRPr="001C16AD">
        <w:t xml:space="preserve">, [online] 19(9), pp.79–90. </w:t>
      </w:r>
      <w:proofErr w:type="spellStart"/>
      <w:proofErr w:type="gramStart"/>
      <w:r w:rsidRPr="001C16AD">
        <w:t>doi:https</w:t>
      </w:r>
      <w:proofErr w:type="spellEnd"/>
      <w:r w:rsidRPr="001C16AD">
        <w:t>://doi.org/10.15722/jds.19.9.202109.79</w:t>
      </w:r>
      <w:proofErr w:type="gramEnd"/>
      <w:r w:rsidRPr="001C16AD">
        <w:t>.</w:t>
      </w:r>
    </w:p>
    <w:p w14:paraId="5CC7AC65" w14:textId="77777777" w:rsidR="001C16AD" w:rsidRPr="001C16AD" w:rsidRDefault="001C16AD" w:rsidP="001C16AD">
      <w:pPr>
        <w:spacing w:after="240" w:line="360" w:lineRule="auto"/>
      </w:pPr>
      <w:r w:rsidRPr="001C16AD">
        <w:t xml:space="preserve">Clarke, I. and Banga, S. (2010). The economic and social role of small stores: a review of UK evidence. </w:t>
      </w:r>
      <w:r w:rsidRPr="001C16AD">
        <w:rPr>
          <w:i/>
          <w:iCs/>
        </w:rPr>
        <w:t>The International Review of Retail, Distribution and Consumer Research</w:t>
      </w:r>
      <w:r w:rsidRPr="001C16AD">
        <w:t xml:space="preserve">, 20(2), pp.187–215. </w:t>
      </w:r>
      <w:proofErr w:type="spellStart"/>
      <w:proofErr w:type="gramStart"/>
      <w:r w:rsidRPr="001C16AD">
        <w:t>doi:https</w:t>
      </w:r>
      <w:proofErr w:type="spellEnd"/>
      <w:r w:rsidRPr="001C16AD">
        <w:t>://doi.org/10.1080/09593961003701783</w:t>
      </w:r>
      <w:proofErr w:type="gramEnd"/>
      <w:r w:rsidRPr="001C16AD">
        <w:t>.</w:t>
      </w:r>
    </w:p>
    <w:p w14:paraId="732D8D35" w14:textId="77777777" w:rsidR="001C16AD" w:rsidRPr="001C16AD" w:rsidRDefault="001C16AD" w:rsidP="001C16AD">
      <w:pPr>
        <w:spacing w:after="240" w:line="360" w:lineRule="auto"/>
      </w:pPr>
      <w:r w:rsidRPr="001C16AD">
        <w:t xml:space="preserve">Daley, J. (2020). </w:t>
      </w:r>
      <w:r w:rsidRPr="001C16AD">
        <w:rPr>
          <w:i/>
          <w:iCs/>
        </w:rPr>
        <w:t>Retail won’t snap back. 3 reasons why COVID has changed the way we shop, perhaps forever</w:t>
      </w:r>
      <w:r w:rsidRPr="001C16AD">
        <w:t>. [online] The Conversation. Available at: https://theconversation.com/retail-wont-snap-back-3-reasons-why-covid-has-changed-the-way-we-shop-perhaps-forever-140628.</w:t>
      </w:r>
    </w:p>
    <w:p w14:paraId="358F2763" w14:textId="77777777" w:rsidR="001C16AD" w:rsidRPr="001C16AD" w:rsidRDefault="001C16AD" w:rsidP="001C16AD">
      <w:pPr>
        <w:spacing w:after="240" w:line="360" w:lineRule="auto"/>
      </w:pPr>
      <w:r w:rsidRPr="001C16AD">
        <w:t xml:space="preserve">Davies, G. and Chun, R. (2002). Gaps Between the Internal and External Perceptions of the Corporate Brand. </w:t>
      </w:r>
      <w:r w:rsidRPr="001C16AD">
        <w:rPr>
          <w:i/>
          <w:iCs/>
        </w:rPr>
        <w:t>Corporate Reputation Review</w:t>
      </w:r>
      <w:r w:rsidRPr="001C16AD">
        <w:t xml:space="preserve">, 5(2-3), pp.144–158. </w:t>
      </w:r>
      <w:proofErr w:type="spellStart"/>
      <w:proofErr w:type="gramStart"/>
      <w:r w:rsidRPr="001C16AD">
        <w:t>doi:https</w:t>
      </w:r>
      <w:proofErr w:type="spellEnd"/>
      <w:r w:rsidRPr="001C16AD">
        <w:t>://doi.org/10.1057/palgrave.crr.1540171</w:t>
      </w:r>
      <w:proofErr w:type="gramEnd"/>
      <w:r w:rsidRPr="001C16AD">
        <w:t>.</w:t>
      </w:r>
    </w:p>
    <w:p w14:paraId="4FE6C1A1" w14:textId="77777777" w:rsidR="001C16AD" w:rsidRPr="001C16AD" w:rsidRDefault="001C16AD" w:rsidP="001C16AD">
      <w:pPr>
        <w:spacing w:after="240" w:line="360" w:lineRule="auto"/>
      </w:pPr>
      <w:r w:rsidRPr="001C16AD">
        <w:t xml:space="preserve">Grimmer, L. (2022). Lessons from the COVID19 pandemic: the Case of Retail and Consumer Service Firms. </w:t>
      </w:r>
      <w:r w:rsidRPr="001C16AD">
        <w:rPr>
          <w:i/>
          <w:iCs/>
        </w:rPr>
        <w:t>Journal of Retailing and Consumer Services</w:t>
      </w:r>
      <w:r w:rsidRPr="001C16AD">
        <w:t xml:space="preserve">, 68, p.103012. </w:t>
      </w:r>
      <w:proofErr w:type="spellStart"/>
      <w:proofErr w:type="gramStart"/>
      <w:r w:rsidRPr="001C16AD">
        <w:t>doi:https</w:t>
      </w:r>
      <w:proofErr w:type="spellEnd"/>
      <w:r w:rsidRPr="001C16AD">
        <w:t>://doi.org/10.1016/j.jretconser.2022.103012</w:t>
      </w:r>
      <w:proofErr w:type="gramEnd"/>
      <w:r w:rsidRPr="001C16AD">
        <w:t>.</w:t>
      </w:r>
    </w:p>
    <w:p w14:paraId="629F0DF6" w14:textId="77777777" w:rsidR="001C16AD" w:rsidRPr="001C16AD" w:rsidRDefault="001C16AD" w:rsidP="001C16AD">
      <w:pPr>
        <w:spacing w:after="240" w:line="360" w:lineRule="auto"/>
      </w:pPr>
      <w:r w:rsidRPr="001C16AD">
        <w:t xml:space="preserve">Pilkington, M. (2021). </w:t>
      </w:r>
      <w:r w:rsidRPr="001C16AD">
        <w:rPr>
          <w:i/>
          <w:iCs/>
        </w:rPr>
        <w:t>Retail Recovery</w:t>
      </w:r>
      <w:r w:rsidRPr="001C16AD">
        <w:t>. Bloomsbury Publishing.</w:t>
      </w:r>
    </w:p>
    <w:p w14:paraId="0AE7735B" w14:textId="77777777" w:rsidR="001C16AD" w:rsidRPr="001C16AD" w:rsidRDefault="001C16AD" w:rsidP="001C16AD">
      <w:pPr>
        <w:spacing w:after="240" w:line="360" w:lineRule="auto"/>
      </w:pPr>
      <w:r w:rsidRPr="001C16AD">
        <w:t xml:space="preserve">Saunders, M., Lewis, P. and Thornhill, A. (2019). </w:t>
      </w:r>
      <w:r w:rsidRPr="001C16AD">
        <w:rPr>
          <w:i/>
          <w:iCs/>
        </w:rPr>
        <w:t>Research Methods for Business students.</w:t>
      </w:r>
      <w:r w:rsidRPr="001C16AD">
        <w:t xml:space="preserve"> 8th ed. New Delhi: Pearson.</w:t>
      </w:r>
    </w:p>
    <w:p w14:paraId="06288817" w14:textId="77777777" w:rsidR="000E1764" w:rsidRPr="000E1764" w:rsidRDefault="000E1764" w:rsidP="000E1764">
      <w:pPr>
        <w:spacing w:after="120" w:line="360" w:lineRule="auto"/>
        <w:rPr>
          <w:rFonts w:ascii="Times" w:hAnsi="Times" w:cs="Segoe UI"/>
        </w:rPr>
      </w:pPr>
    </w:p>
    <w:sectPr w:rsidR="000E1764" w:rsidRPr="000E17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panose1 w:val="00000500000000020000"/>
    <w:charset w:val="00"/>
    <w:family w:val="auto"/>
    <w:pitch w:val="variable"/>
    <w:sig w:usb0="E00002FF" w:usb1="5000205A"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73F9"/>
    <w:rsid w:val="000977AF"/>
    <w:rsid w:val="000B0943"/>
    <w:rsid w:val="000E1764"/>
    <w:rsid w:val="001668D5"/>
    <w:rsid w:val="00185E87"/>
    <w:rsid w:val="001C16AD"/>
    <w:rsid w:val="00241729"/>
    <w:rsid w:val="005A1F89"/>
    <w:rsid w:val="00643DEB"/>
    <w:rsid w:val="006805F6"/>
    <w:rsid w:val="00696296"/>
    <w:rsid w:val="006A7CFD"/>
    <w:rsid w:val="00787DF5"/>
    <w:rsid w:val="008149F3"/>
    <w:rsid w:val="008D6D57"/>
    <w:rsid w:val="008F54F1"/>
    <w:rsid w:val="0094135E"/>
    <w:rsid w:val="00A302F3"/>
    <w:rsid w:val="00C573F9"/>
    <w:rsid w:val="00D052AC"/>
    <w:rsid w:val="00FF7F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77ABF4"/>
  <w15:chartTrackingRefBased/>
  <w15:docId w15:val="{43DE715E-6F82-DC43-B57F-3478EC570B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7CFD"/>
    <w:rPr>
      <w:rFonts w:ascii="Times New Roman" w:eastAsia="Times New Roman" w:hAnsi="Times New Roman" w:cs="Times New Roman"/>
      <w:lang w:eastAsia="en-GB"/>
    </w:rPr>
  </w:style>
  <w:style w:type="paragraph" w:styleId="Heading1">
    <w:name w:val="heading 1"/>
    <w:basedOn w:val="Normal"/>
    <w:link w:val="Heading1Char"/>
    <w:uiPriority w:val="9"/>
    <w:qFormat/>
    <w:rsid w:val="001C16AD"/>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runcatedauthor">
    <w:name w:val="truncatedauthor"/>
    <w:basedOn w:val="DefaultParagraphFont"/>
    <w:rsid w:val="00C573F9"/>
  </w:style>
  <w:style w:type="character" w:styleId="Hyperlink">
    <w:name w:val="Hyperlink"/>
    <w:basedOn w:val="DefaultParagraphFont"/>
    <w:uiPriority w:val="99"/>
    <w:semiHidden/>
    <w:unhideWhenUsed/>
    <w:rsid w:val="00C573F9"/>
    <w:rPr>
      <w:color w:val="0000FF"/>
      <w:u w:val="single"/>
    </w:rPr>
  </w:style>
  <w:style w:type="character" w:customStyle="1" w:styleId="roboto-bold">
    <w:name w:val="roboto-bold"/>
    <w:basedOn w:val="DefaultParagraphFont"/>
    <w:rsid w:val="00C573F9"/>
  </w:style>
  <w:style w:type="character" w:customStyle="1" w:styleId="jnlarticle">
    <w:name w:val="jnlarticle"/>
    <w:basedOn w:val="DefaultParagraphFont"/>
    <w:rsid w:val="00C573F9"/>
  </w:style>
  <w:style w:type="character" w:styleId="Strong">
    <w:name w:val="Strong"/>
    <w:basedOn w:val="DefaultParagraphFont"/>
    <w:uiPriority w:val="22"/>
    <w:qFormat/>
    <w:rsid w:val="00C573F9"/>
    <w:rPr>
      <w:b/>
      <w:bCs/>
    </w:rPr>
  </w:style>
  <w:style w:type="character" w:customStyle="1" w:styleId="ui-provider">
    <w:name w:val="ui-provider"/>
    <w:basedOn w:val="DefaultParagraphFont"/>
    <w:rsid w:val="006A7CFD"/>
  </w:style>
  <w:style w:type="paragraph" w:styleId="NormalWeb">
    <w:name w:val="Normal (Web)"/>
    <w:basedOn w:val="Normal"/>
    <w:uiPriority w:val="99"/>
    <w:unhideWhenUsed/>
    <w:rsid w:val="006A7CFD"/>
    <w:pPr>
      <w:spacing w:before="100" w:beforeAutospacing="1" w:after="100" w:afterAutospacing="1"/>
    </w:pPr>
  </w:style>
  <w:style w:type="character" w:customStyle="1" w:styleId="Heading1Char">
    <w:name w:val="Heading 1 Char"/>
    <w:basedOn w:val="DefaultParagraphFont"/>
    <w:link w:val="Heading1"/>
    <w:uiPriority w:val="9"/>
    <w:rsid w:val="001C16AD"/>
    <w:rPr>
      <w:rFonts w:ascii="Times New Roman" w:eastAsia="Times New Roman" w:hAnsi="Times New Roman" w:cs="Times New Roman"/>
      <w:b/>
      <w:bCs/>
      <w:kern w:val="36"/>
      <w:sz w:val="48"/>
      <w:szCs w:val="48"/>
      <w:lang w:eastAsia="en-GB"/>
    </w:rPr>
  </w:style>
  <w:style w:type="table" w:styleId="TableGrid">
    <w:name w:val="Table Grid"/>
    <w:basedOn w:val="TableNormal"/>
    <w:uiPriority w:val="39"/>
    <w:rsid w:val="006805F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6805F6"/>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6805F6"/>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6805F6"/>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6805F6"/>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6805F6"/>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4858770">
      <w:bodyDiv w:val="1"/>
      <w:marLeft w:val="0"/>
      <w:marRight w:val="0"/>
      <w:marTop w:val="0"/>
      <w:marBottom w:val="0"/>
      <w:divBdr>
        <w:top w:val="none" w:sz="0" w:space="0" w:color="auto"/>
        <w:left w:val="none" w:sz="0" w:space="0" w:color="auto"/>
        <w:bottom w:val="none" w:sz="0" w:space="0" w:color="auto"/>
        <w:right w:val="none" w:sz="0" w:space="0" w:color="auto"/>
      </w:divBdr>
    </w:div>
    <w:div w:id="547029707">
      <w:bodyDiv w:val="1"/>
      <w:marLeft w:val="0"/>
      <w:marRight w:val="0"/>
      <w:marTop w:val="0"/>
      <w:marBottom w:val="0"/>
      <w:divBdr>
        <w:top w:val="none" w:sz="0" w:space="0" w:color="auto"/>
        <w:left w:val="none" w:sz="0" w:space="0" w:color="auto"/>
        <w:bottom w:val="none" w:sz="0" w:space="0" w:color="auto"/>
        <w:right w:val="none" w:sz="0" w:space="0" w:color="auto"/>
      </w:divBdr>
    </w:div>
    <w:div w:id="658075544">
      <w:bodyDiv w:val="1"/>
      <w:marLeft w:val="0"/>
      <w:marRight w:val="0"/>
      <w:marTop w:val="0"/>
      <w:marBottom w:val="0"/>
      <w:divBdr>
        <w:top w:val="none" w:sz="0" w:space="0" w:color="auto"/>
        <w:left w:val="none" w:sz="0" w:space="0" w:color="auto"/>
        <w:bottom w:val="none" w:sz="0" w:space="0" w:color="auto"/>
        <w:right w:val="none" w:sz="0" w:space="0" w:color="auto"/>
      </w:divBdr>
      <w:divsChild>
        <w:div w:id="55858536">
          <w:marLeft w:val="0"/>
          <w:marRight w:val="0"/>
          <w:marTop w:val="0"/>
          <w:marBottom w:val="0"/>
          <w:divBdr>
            <w:top w:val="none" w:sz="0" w:space="0" w:color="auto"/>
            <w:left w:val="none" w:sz="0" w:space="0" w:color="auto"/>
            <w:bottom w:val="none" w:sz="0" w:space="0" w:color="auto"/>
            <w:right w:val="none" w:sz="0" w:space="0" w:color="auto"/>
          </w:divBdr>
        </w:div>
      </w:divsChild>
    </w:div>
    <w:div w:id="770009788">
      <w:bodyDiv w:val="1"/>
      <w:marLeft w:val="0"/>
      <w:marRight w:val="0"/>
      <w:marTop w:val="0"/>
      <w:marBottom w:val="0"/>
      <w:divBdr>
        <w:top w:val="none" w:sz="0" w:space="0" w:color="auto"/>
        <w:left w:val="none" w:sz="0" w:space="0" w:color="auto"/>
        <w:bottom w:val="none" w:sz="0" w:space="0" w:color="auto"/>
        <w:right w:val="none" w:sz="0" w:space="0" w:color="auto"/>
      </w:divBdr>
      <w:divsChild>
        <w:div w:id="1989894086">
          <w:marLeft w:val="0"/>
          <w:marRight w:val="0"/>
          <w:marTop w:val="0"/>
          <w:marBottom w:val="0"/>
          <w:divBdr>
            <w:top w:val="none" w:sz="0" w:space="0" w:color="auto"/>
            <w:left w:val="none" w:sz="0" w:space="0" w:color="auto"/>
            <w:bottom w:val="none" w:sz="0" w:space="0" w:color="auto"/>
            <w:right w:val="none" w:sz="0" w:space="0" w:color="auto"/>
          </w:divBdr>
        </w:div>
        <w:div w:id="1507938064">
          <w:marLeft w:val="0"/>
          <w:marRight w:val="0"/>
          <w:marTop w:val="45"/>
          <w:marBottom w:val="0"/>
          <w:divBdr>
            <w:top w:val="none" w:sz="0" w:space="0" w:color="auto"/>
            <w:left w:val="none" w:sz="0" w:space="0" w:color="auto"/>
            <w:bottom w:val="none" w:sz="0" w:space="0" w:color="auto"/>
            <w:right w:val="none" w:sz="0" w:space="0" w:color="auto"/>
          </w:divBdr>
        </w:div>
        <w:div w:id="640765833">
          <w:marLeft w:val="0"/>
          <w:marRight w:val="0"/>
          <w:marTop w:val="0"/>
          <w:marBottom w:val="0"/>
          <w:divBdr>
            <w:top w:val="none" w:sz="0" w:space="0" w:color="auto"/>
            <w:left w:val="none" w:sz="0" w:space="0" w:color="auto"/>
            <w:bottom w:val="none" w:sz="0" w:space="0" w:color="auto"/>
            <w:right w:val="none" w:sz="0" w:space="0" w:color="auto"/>
          </w:divBdr>
        </w:div>
        <w:div w:id="1457945456">
          <w:marLeft w:val="0"/>
          <w:marRight w:val="0"/>
          <w:marTop w:val="0"/>
          <w:marBottom w:val="0"/>
          <w:divBdr>
            <w:top w:val="none" w:sz="0" w:space="0" w:color="auto"/>
            <w:left w:val="none" w:sz="0" w:space="0" w:color="auto"/>
            <w:bottom w:val="none" w:sz="0" w:space="0" w:color="auto"/>
            <w:right w:val="none" w:sz="0" w:space="0" w:color="auto"/>
          </w:divBdr>
        </w:div>
      </w:divsChild>
    </w:div>
    <w:div w:id="993530102">
      <w:bodyDiv w:val="1"/>
      <w:marLeft w:val="0"/>
      <w:marRight w:val="0"/>
      <w:marTop w:val="0"/>
      <w:marBottom w:val="0"/>
      <w:divBdr>
        <w:top w:val="none" w:sz="0" w:space="0" w:color="auto"/>
        <w:left w:val="none" w:sz="0" w:space="0" w:color="auto"/>
        <w:bottom w:val="none" w:sz="0" w:space="0" w:color="auto"/>
        <w:right w:val="none" w:sz="0" w:space="0" w:color="auto"/>
      </w:divBdr>
    </w:div>
    <w:div w:id="1295714861">
      <w:bodyDiv w:val="1"/>
      <w:marLeft w:val="0"/>
      <w:marRight w:val="0"/>
      <w:marTop w:val="0"/>
      <w:marBottom w:val="0"/>
      <w:divBdr>
        <w:top w:val="none" w:sz="0" w:space="0" w:color="auto"/>
        <w:left w:val="none" w:sz="0" w:space="0" w:color="auto"/>
        <w:bottom w:val="none" w:sz="0" w:space="0" w:color="auto"/>
        <w:right w:val="none" w:sz="0" w:space="0" w:color="auto"/>
      </w:divBdr>
    </w:div>
    <w:div w:id="1633555459">
      <w:bodyDiv w:val="1"/>
      <w:marLeft w:val="0"/>
      <w:marRight w:val="0"/>
      <w:marTop w:val="0"/>
      <w:marBottom w:val="0"/>
      <w:divBdr>
        <w:top w:val="none" w:sz="0" w:space="0" w:color="auto"/>
        <w:left w:val="none" w:sz="0" w:space="0" w:color="auto"/>
        <w:bottom w:val="none" w:sz="0" w:space="0" w:color="auto"/>
        <w:right w:val="none" w:sz="0" w:space="0" w:color="auto"/>
      </w:divBdr>
    </w:div>
    <w:div w:id="1646623397">
      <w:bodyDiv w:val="1"/>
      <w:marLeft w:val="0"/>
      <w:marRight w:val="0"/>
      <w:marTop w:val="0"/>
      <w:marBottom w:val="0"/>
      <w:divBdr>
        <w:top w:val="none" w:sz="0" w:space="0" w:color="auto"/>
        <w:left w:val="none" w:sz="0" w:space="0" w:color="auto"/>
        <w:bottom w:val="none" w:sz="0" w:space="0" w:color="auto"/>
        <w:right w:val="none" w:sz="0" w:space="0" w:color="auto"/>
      </w:divBdr>
    </w:div>
    <w:div w:id="1738820237">
      <w:bodyDiv w:val="1"/>
      <w:marLeft w:val="0"/>
      <w:marRight w:val="0"/>
      <w:marTop w:val="0"/>
      <w:marBottom w:val="0"/>
      <w:divBdr>
        <w:top w:val="none" w:sz="0" w:space="0" w:color="auto"/>
        <w:left w:val="none" w:sz="0" w:space="0" w:color="auto"/>
        <w:bottom w:val="none" w:sz="0" w:space="0" w:color="auto"/>
        <w:right w:val="none" w:sz="0" w:space="0" w:color="auto"/>
      </w:divBdr>
    </w:div>
    <w:div w:id="20634328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9</Pages>
  <Words>2281</Words>
  <Characters>13003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 Comendant (2027756)</dc:creator>
  <cp:keywords/>
  <dc:description/>
  <cp:lastModifiedBy>Irina Comendant (2027756)</cp:lastModifiedBy>
  <cp:revision>2</cp:revision>
  <dcterms:created xsi:type="dcterms:W3CDTF">2023-12-18T13:19:00Z</dcterms:created>
  <dcterms:modified xsi:type="dcterms:W3CDTF">2023-12-18T13:19:00Z</dcterms:modified>
</cp:coreProperties>
</file>