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57857ED" w14:textId="77777777" w:rsidR="00E40625" w:rsidRDefault="00E40625" w:rsidP="00E40625">
      <w:pPr>
        <w:pStyle w:val="ListParagraph"/>
        <w:spacing w:line="259" w:lineRule="auto"/>
        <w:jc w:val="center"/>
        <w:rPr>
          <w:rFonts w:ascii="Arial" w:hAnsi="Arial" w:cs="Arial"/>
          <w:b/>
          <w:bCs/>
          <w:sz w:val="24"/>
          <w:szCs w:val="24"/>
        </w:rPr>
      </w:pPr>
    </w:p>
    <w:p w14:paraId="360ADD59" w14:textId="77777777" w:rsidR="00E40625" w:rsidRDefault="00E40625" w:rsidP="00E40625">
      <w:pPr>
        <w:pStyle w:val="ListParagraph"/>
        <w:spacing w:line="259" w:lineRule="auto"/>
        <w:jc w:val="center"/>
        <w:rPr>
          <w:rFonts w:ascii="Arial" w:hAnsi="Arial" w:cs="Arial"/>
          <w:b/>
          <w:bCs/>
          <w:sz w:val="24"/>
          <w:szCs w:val="24"/>
        </w:rPr>
      </w:pPr>
    </w:p>
    <w:p w14:paraId="2AA9FE37" w14:textId="77777777" w:rsidR="00E40625" w:rsidRDefault="00E40625" w:rsidP="00E40625">
      <w:pPr>
        <w:pStyle w:val="ListParagraph"/>
        <w:spacing w:line="259" w:lineRule="auto"/>
        <w:jc w:val="center"/>
        <w:rPr>
          <w:rFonts w:ascii="Arial" w:hAnsi="Arial" w:cs="Arial"/>
          <w:b/>
          <w:bCs/>
          <w:sz w:val="24"/>
          <w:szCs w:val="24"/>
        </w:rPr>
      </w:pPr>
    </w:p>
    <w:p w14:paraId="10A387FD" w14:textId="77777777" w:rsidR="00E40625" w:rsidRDefault="00E40625" w:rsidP="00E40625">
      <w:pPr>
        <w:pStyle w:val="ListParagraph"/>
        <w:spacing w:line="259" w:lineRule="auto"/>
        <w:jc w:val="center"/>
        <w:rPr>
          <w:rFonts w:ascii="Arial" w:hAnsi="Arial" w:cs="Arial"/>
          <w:b/>
          <w:bCs/>
          <w:sz w:val="24"/>
          <w:szCs w:val="24"/>
        </w:rPr>
      </w:pPr>
    </w:p>
    <w:p w14:paraId="040AAD92" w14:textId="77777777" w:rsidR="00E40625" w:rsidRDefault="00E40625" w:rsidP="00E40625">
      <w:pPr>
        <w:pStyle w:val="ListParagraph"/>
        <w:spacing w:line="259" w:lineRule="auto"/>
        <w:jc w:val="center"/>
        <w:rPr>
          <w:rFonts w:ascii="Arial" w:hAnsi="Arial" w:cs="Arial"/>
          <w:b/>
          <w:bCs/>
          <w:sz w:val="24"/>
          <w:szCs w:val="24"/>
        </w:rPr>
      </w:pPr>
    </w:p>
    <w:p w14:paraId="3B55A085" w14:textId="77777777" w:rsidR="00E40625" w:rsidRDefault="00E40625" w:rsidP="00E40625">
      <w:pPr>
        <w:pStyle w:val="ListParagraph"/>
        <w:spacing w:line="259" w:lineRule="auto"/>
        <w:jc w:val="center"/>
        <w:rPr>
          <w:rFonts w:ascii="Arial" w:hAnsi="Arial" w:cs="Arial"/>
          <w:b/>
          <w:bCs/>
          <w:sz w:val="24"/>
          <w:szCs w:val="24"/>
        </w:rPr>
      </w:pPr>
    </w:p>
    <w:p w14:paraId="00BB5B92" w14:textId="77777777" w:rsidR="00E40625" w:rsidRDefault="00E40625" w:rsidP="00E40625">
      <w:pPr>
        <w:pStyle w:val="ListParagraph"/>
        <w:spacing w:line="259" w:lineRule="auto"/>
        <w:jc w:val="center"/>
        <w:rPr>
          <w:rFonts w:ascii="Arial" w:hAnsi="Arial" w:cs="Arial"/>
          <w:b/>
          <w:bCs/>
          <w:sz w:val="24"/>
          <w:szCs w:val="24"/>
        </w:rPr>
      </w:pPr>
    </w:p>
    <w:p w14:paraId="61AFDF1C" w14:textId="77777777" w:rsidR="00E40625" w:rsidRDefault="00E40625" w:rsidP="00E40625">
      <w:pPr>
        <w:pStyle w:val="ListParagraph"/>
        <w:spacing w:line="259" w:lineRule="auto"/>
        <w:jc w:val="center"/>
        <w:rPr>
          <w:rFonts w:ascii="Arial" w:hAnsi="Arial" w:cs="Arial"/>
          <w:b/>
          <w:bCs/>
          <w:sz w:val="24"/>
          <w:szCs w:val="24"/>
        </w:rPr>
      </w:pPr>
    </w:p>
    <w:p w14:paraId="6595B2A7" w14:textId="77777777" w:rsidR="00E40625" w:rsidRDefault="00E40625" w:rsidP="00E40625">
      <w:pPr>
        <w:pStyle w:val="ListParagraph"/>
        <w:spacing w:line="259" w:lineRule="auto"/>
        <w:jc w:val="center"/>
        <w:rPr>
          <w:rFonts w:ascii="Arial" w:hAnsi="Arial" w:cs="Arial"/>
          <w:b/>
          <w:bCs/>
          <w:sz w:val="24"/>
          <w:szCs w:val="24"/>
        </w:rPr>
      </w:pPr>
    </w:p>
    <w:p w14:paraId="2F0C4CC2" w14:textId="77777777" w:rsidR="00E40625" w:rsidRDefault="00E40625" w:rsidP="00E40625">
      <w:pPr>
        <w:pStyle w:val="ListParagraph"/>
        <w:spacing w:line="259" w:lineRule="auto"/>
        <w:jc w:val="center"/>
        <w:rPr>
          <w:rFonts w:ascii="Arial" w:hAnsi="Arial" w:cs="Arial"/>
          <w:b/>
          <w:bCs/>
          <w:sz w:val="24"/>
          <w:szCs w:val="24"/>
        </w:rPr>
      </w:pPr>
    </w:p>
    <w:p w14:paraId="68FD35AB" w14:textId="77777777" w:rsidR="00E40625" w:rsidRDefault="00E40625" w:rsidP="00E40625">
      <w:pPr>
        <w:pStyle w:val="ListParagraph"/>
        <w:spacing w:line="259" w:lineRule="auto"/>
        <w:jc w:val="center"/>
        <w:rPr>
          <w:rFonts w:ascii="Arial" w:hAnsi="Arial" w:cs="Arial"/>
          <w:b/>
          <w:bCs/>
          <w:sz w:val="24"/>
          <w:szCs w:val="24"/>
        </w:rPr>
      </w:pPr>
    </w:p>
    <w:p w14:paraId="1A5BA6A9" w14:textId="77777777" w:rsidR="00E40625" w:rsidRDefault="00E40625" w:rsidP="00E40625">
      <w:pPr>
        <w:pStyle w:val="ListParagraph"/>
        <w:spacing w:line="259" w:lineRule="auto"/>
        <w:jc w:val="center"/>
        <w:rPr>
          <w:rFonts w:ascii="Arial" w:hAnsi="Arial" w:cs="Arial"/>
          <w:b/>
          <w:bCs/>
          <w:sz w:val="24"/>
          <w:szCs w:val="24"/>
        </w:rPr>
      </w:pPr>
    </w:p>
    <w:p w14:paraId="52D2FBC5" w14:textId="77777777" w:rsidR="00E40625" w:rsidRDefault="00E40625" w:rsidP="00E40625">
      <w:pPr>
        <w:pStyle w:val="ListParagraph"/>
        <w:spacing w:line="259" w:lineRule="auto"/>
        <w:jc w:val="center"/>
        <w:rPr>
          <w:rFonts w:ascii="Arial" w:hAnsi="Arial" w:cs="Arial"/>
          <w:b/>
          <w:bCs/>
          <w:sz w:val="24"/>
          <w:szCs w:val="24"/>
        </w:rPr>
      </w:pPr>
    </w:p>
    <w:p w14:paraId="530703A9" w14:textId="77777777" w:rsidR="00E40625" w:rsidRDefault="00E40625" w:rsidP="00E40625">
      <w:pPr>
        <w:pStyle w:val="ListParagraph"/>
        <w:spacing w:line="259" w:lineRule="auto"/>
        <w:jc w:val="center"/>
        <w:rPr>
          <w:rFonts w:ascii="Arial" w:hAnsi="Arial" w:cs="Arial"/>
          <w:b/>
          <w:bCs/>
          <w:sz w:val="24"/>
          <w:szCs w:val="24"/>
        </w:rPr>
      </w:pPr>
    </w:p>
    <w:p w14:paraId="3E2F50E7" w14:textId="77777777" w:rsidR="00E40625" w:rsidRDefault="00E40625" w:rsidP="00E40625">
      <w:pPr>
        <w:pStyle w:val="ListParagraph"/>
        <w:spacing w:line="259" w:lineRule="auto"/>
        <w:jc w:val="center"/>
        <w:rPr>
          <w:rFonts w:ascii="Arial" w:hAnsi="Arial" w:cs="Arial"/>
          <w:b/>
          <w:bCs/>
          <w:sz w:val="24"/>
          <w:szCs w:val="24"/>
        </w:rPr>
      </w:pPr>
    </w:p>
    <w:p w14:paraId="77259C35" w14:textId="77777777" w:rsidR="00E40625" w:rsidRDefault="00E40625" w:rsidP="00E40625">
      <w:pPr>
        <w:pStyle w:val="ListParagraph"/>
        <w:spacing w:line="259" w:lineRule="auto"/>
        <w:jc w:val="center"/>
        <w:rPr>
          <w:rFonts w:ascii="Arial" w:hAnsi="Arial" w:cs="Arial"/>
          <w:b/>
          <w:bCs/>
          <w:sz w:val="24"/>
          <w:szCs w:val="24"/>
        </w:rPr>
      </w:pPr>
    </w:p>
    <w:p w14:paraId="4CA0FBA6" w14:textId="383F8031" w:rsidR="00E56CA0" w:rsidRDefault="00E56CA0" w:rsidP="00E40625">
      <w:pPr>
        <w:pStyle w:val="ListParagraph"/>
        <w:spacing w:line="259" w:lineRule="auto"/>
        <w:jc w:val="center"/>
        <w:rPr>
          <w:rFonts w:ascii="Arial" w:hAnsi="Arial" w:cs="Arial"/>
          <w:b/>
          <w:bCs/>
          <w:sz w:val="24"/>
          <w:szCs w:val="24"/>
        </w:rPr>
      </w:pPr>
      <w:r w:rsidRPr="67DBD8FF">
        <w:rPr>
          <w:rFonts w:ascii="Arial" w:hAnsi="Arial" w:cs="Arial"/>
          <w:b/>
          <w:bCs/>
          <w:sz w:val="24"/>
          <w:szCs w:val="24"/>
        </w:rPr>
        <w:t>Explain the main historical theories of crime and apply one/some of the theories to a modern-day context (case study)</w:t>
      </w:r>
    </w:p>
    <w:p w14:paraId="778CB23E" w14:textId="6B9EEEF4" w:rsidR="00E40625" w:rsidRDefault="00E40625" w:rsidP="00E40625">
      <w:pPr>
        <w:pStyle w:val="ListParagraph"/>
        <w:spacing w:line="259" w:lineRule="auto"/>
        <w:rPr>
          <w:b/>
          <w:bCs/>
          <w:sz w:val="24"/>
          <w:szCs w:val="24"/>
        </w:rPr>
      </w:pPr>
    </w:p>
    <w:p w14:paraId="4B41FF5A" w14:textId="3DEDEB26" w:rsidR="00E40625" w:rsidRDefault="00E40625" w:rsidP="00E40625">
      <w:pPr>
        <w:pStyle w:val="ListParagraph"/>
        <w:spacing w:line="259" w:lineRule="auto"/>
        <w:rPr>
          <w:b/>
          <w:bCs/>
          <w:sz w:val="24"/>
          <w:szCs w:val="24"/>
        </w:rPr>
      </w:pPr>
    </w:p>
    <w:p w14:paraId="6B62E745" w14:textId="4C4F336F" w:rsidR="00E40625" w:rsidRDefault="00E40625" w:rsidP="00E40625">
      <w:pPr>
        <w:pStyle w:val="ListParagraph"/>
        <w:spacing w:line="259" w:lineRule="auto"/>
        <w:rPr>
          <w:b/>
          <w:bCs/>
          <w:sz w:val="24"/>
          <w:szCs w:val="24"/>
        </w:rPr>
      </w:pPr>
    </w:p>
    <w:p w14:paraId="1574FC6C" w14:textId="44047F92" w:rsidR="00E40625" w:rsidRDefault="00E40625" w:rsidP="00E40625">
      <w:pPr>
        <w:pStyle w:val="ListParagraph"/>
        <w:spacing w:line="259" w:lineRule="auto"/>
        <w:rPr>
          <w:b/>
          <w:bCs/>
          <w:sz w:val="24"/>
          <w:szCs w:val="24"/>
        </w:rPr>
      </w:pPr>
    </w:p>
    <w:p w14:paraId="7B9ED0B0" w14:textId="16B8E92D" w:rsidR="00E40625" w:rsidRDefault="00E40625" w:rsidP="00E40625">
      <w:pPr>
        <w:pStyle w:val="ListParagraph"/>
        <w:spacing w:line="259" w:lineRule="auto"/>
        <w:rPr>
          <w:b/>
          <w:bCs/>
          <w:sz w:val="24"/>
          <w:szCs w:val="24"/>
        </w:rPr>
      </w:pPr>
    </w:p>
    <w:p w14:paraId="4ED612ED" w14:textId="05A0F50E" w:rsidR="00E40625" w:rsidRDefault="00E40625" w:rsidP="00E40625">
      <w:pPr>
        <w:pStyle w:val="ListParagraph"/>
        <w:spacing w:line="259" w:lineRule="auto"/>
        <w:rPr>
          <w:b/>
          <w:bCs/>
          <w:sz w:val="24"/>
          <w:szCs w:val="24"/>
        </w:rPr>
      </w:pPr>
    </w:p>
    <w:p w14:paraId="0AE5BD3B" w14:textId="2A993B2E" w:rsidR="00E40625" w:rsidRDefault="00E40625" w:rsidP="00E40625">
      <w:pPr>
        <w:pStyle w:val="ListParagraph"/>
        <w:spacing w:line="259" w:lineRule="auto"/>
        <w:rPr>
          <w:b/>
          <w:bCs/>
          <w:sz w:val="24"/>
          <w:szCs w:val="24"/>
        </w:rPr>
      </w:pPr>
    </w:p>
    <w:p w14:paraId="538016C5" w14:textId="73F67335" w:rsidR="00E40625" w:rsidRDefault="00E40625" w:rsidP="00E40625">
      <w:pPr>
        <w:pStyle w:val="ListParagraph"/>
        <w:spacing w:line="259" w:lineRule="auto"/>
        <w:rPr>
          <w:b/>
          <w:bCs/>
          <w:sz w:val="24"/>
          <w:szCs w:val="24"/>
        </w:rPr>
      </w:pPr>
    </w:p>
    <w:p w14:paraId="50AEAAD2" w14:textId="57DC09C9" w:rsidR="00E40625" w:rsidRDefault="00E40625" w:rsidP="00E40625">
      <w:pPr>
        <w:pStyle w:val="ListParagraph"/>
        <w:spacing w:line="259" w:lineRule="auto"/>
        <w:rPr>
          <w:b/>
          <w:bCs/>
          <w:sz w:val="24"/>
          <w:szCs w:val="24"/>
        </w:rPr>
      </w:pPr>
    </w:p>
    <w:p w14:paraId="2F705982" w14:textId="0426A2E0" w:rsidR="00E40625" w:rsidRDefault="00E40625" w:rsidP="00E40625">
      <w:pPr>
        <w:pStyle w:val="ListParagraph"/>
        <w:spacing w:line="259" w:lineRule="auto"/>
        <w:rPr>
          <w:b/>
          <w:bCs/>
          <w:sz w:val="24"/>
          <w:szCs w:val="24"/>
        </w:rPr>
      </w:pPr>
    </w:p>
    <w:p w14:paraId="59432C43" w14:textId="0105EBB9" w:rsidR="00E40625" w:rsidRDefault="00E40625" w:rsidP="00E40625">
      <w:pPr>
        <w:pStyle w:val="ListParagraph"/>
        <w:spacing w:line="259" w:lineRule="auto"/>
        <w:rPr>
          <w:b/>
          <w:bCs/>
          <w:sz w:val="24"/>
          <w:szCs w:val="24"/>
        </w:rPr>
      </w:pPr>
    </w:p>
    <w:p w14:paraId="5B30C277" w14:textId="78A13A27" w:rsidR="00E40625" w:rsidRDefault="00E40625" w:rsidP="00E40625">
      <w:pPr>
        <w:pStyle w:val="ListParagraph"/>
        <w:spacing w:line="259" w:lineRule="auto"/>
        <w:rPr>
          <w:b/>
          <w:bCs/>
          <w:sz w:val="24"/>
          <w:szCs w:val="24"/>
        </w:rPr>
      </w:pPr>
    </w:p>
    <w:p w14:paraId="5C40D730" w14:textId="3E8C315E" w:rsidR="00E40625" w:rsidRDefault="00E40625" w:rsidP="00E40625">
      <w:pPr>
        <w:pStyle w:val="ListParagraph"/>
        <w:spacing w:line="259" w:lineRule="auto"/>
        <w:rPr>
          <w:b/>
          <w:bCs/>
          <w:sz w:val="24"/>
          <w:szCs w:val="24"/>
        </w:rPr>
      </w:pPr>
    </w:p>
    <w:p w14:paraId="234EB054" w14:textId="1CCF3D71" w:rsidR="00E40625" w:rsidRDefault="00E40625" w:rsidP="00E40625">
      <w:pPr>
        <w:pStyle w:val="ListParagraph"/>
        <w:spacing w:line="259" w:lineRule="auto"/>
        <w:rPr>
          <w:b/>
          <w:bCs/>
          <w:sz w:val="24"/>
          <w:szCs w:val="24"/>
        </w:rPr>
      </w:pPr>
    </w:p>
    <w:p w14:paraId="5574D0FF" w14:textId="7D82A245" w:rsidR="00E40625" w:rsidRDefault="00E40625" w:rsidP="00E40625">
      <w:pPr>
        <w:pStyle w:val="ListParagraph"/>
        <w:spacing w:line="259" w:lineRule="auto"/>
        <w:rPr>
          <w:b/>
          <w:bCs/>
          <w:sz w:val="24"/>
          <w:szCs w:val="24"/>
        </w:rPr>
      </w:pPr>
    </w:p>
    <w:p w14:paraId="179836E4" w14:textId="457E8C30" w:rsidR="00E40625" w:rsidRDefault="00E40625" w:rsidP="00E40625">
      <w:pPr>
        <w:pStyle w:val="ListParagraph"/>
        <w:spacing w:line="259" w:lineRule="auto"/>
        <w:rPr>
          <w:b/>
          <w:bCs/>
          <w:sz w:val="24"/>
          <w:szCs w:val="24"/>
        </w:rPr>
      </w:pPr>
    </w:p>
    <w:p w14:paraId="22D4F298" w14:textId="5E6B6CEF" w:rsidR="00E40625" w:rsidRDefault="00E40625" w:rsidP="00E40625">
      <w:pPr>
        <w:pStyle w:val="ListParagraph"/>
        <w:spacing w:line="259" w:lineRule="auto"/>
        <w:rPr>
          <w:b/>
          <w:bCs/>
          <w:sz w:val="24"/>
          <w:szCs w:val="24"/>
        </w:rPr>
      </w:pPr>
    </w:p>
    <w:p w14:paraId="5A3F041C" w14:textId="3E8D869B" w:rsidR="00E40625" w:rsidRDefault="00E40625" w:rsidP="00E40625">
      <w:pPr>
        <w:pStyle w:val="ListParagraph"/>
        <w:spacing w:line="259" w:lineRule="auto"/>
        <w:rPr>
          <w:b/>
          <w:bCs/>
          <w:sz w:val="24"/>
          <w:szCs w:val="24"/>
        </w:rPr>
      </w:pPr>
    </w:p>
    <w:p w14:paraId="5671B961" w14:textId="63E1AC9B" w:rsidR="00E40625" w:rsidRDefault="00E40625" w:rsidP="00E40625">
      <w:pPr>
        <w:pStyle w:val="ListParagraph"/>
        <w:spacing w:line="259" w:lineRule="auto"/>
        <w:rPr>
          <w:b/>
          <w:bCs/>
          <w:sz w:val="24"/>
          <w:szCs w:val="24"/>
        </w:rPr>
      </w:pPr>
    </w:p>
    <w:p w14:paraId="63A7A580" w14:textId="31850E9F" w:rsidR="00E40625" w:rsidRDefault="00E40625" w:rsidP="00E40625">
      <w:pPr>
        <w:pStyle w:val="ListParagraph"/>
        <w:spacing w:line="259" w:lineRule="auto"/>
        <w:rPr>
          <w:b/>
          <w:bCs/>
          <w:sz w:val="24"/>
          <w:szCs w:val="24"/>
        </w:rPr>
      </w:pPr>
    </w:p>
    <w:p w14:paraId="588EAB8C" w14:textId="74580621" w:rsidR="00E40625" w:rsidRDefault="00E40625" w:rsidP="00E40625">
      <w:pPr>
        <w:pStyle w:val="ListParagraph"/>
        <w:spacing w:line="259" w:lineRule="auto"/>
        <w:rPr>
          <w:b/>
          <w:bCs/>
          <w:sz w:val="24"/>
          <w:szCs w:val="24"/>
        </w:rPr>
      </w:pPr>
    </w:p>
    <w:p w14:paraId="6FF00BE2" w14:textId="6704CC85" w:rsidR="00E40625" w:rsidRDefault="00E40625" w:rsidP="00E40625">
      <w:pPr>
        <w:pStyle w:val="ListParagraph"/>
        <w:spacing w:line="259" w:lineRule="auto"/>
        <w:rPr>
          <w:b/>
          <w:bCs/>
          <w:sz w:val="24"/>
          <w:szCs w:val="24"/>
        </w:rPr>
      </w:pPr>
    </w:p>
    <w:p w14:paraId="3E26E80D" w14:textId="75A11D7A" w:rsidR="00E40625" w:rsidRDefault="00E40625" w:rsidP="00E40625">
      <w:pPr>
        <w:pStyle w:val="ListParagraph"/>
        <w:spacing w:line="259" w:lineRule="auto"/>
        <w:rPr>
          <w:b/>
          <w:bCs/>
          <w:sz w:val="24"/>
          <w:szCs w:val="24"/>
        </w:rPr>
      </w:pPr>
    </w:p>
    <w:p w14:paraId="40F4BA98" w14:textId="07A73B01" w:rsidR="00E40625" w:rsidRDefault="00E40625" w:rsidP="00E40625">
      <w:pPr>
        <w:pStyle w:val="ListParagraph"/>
        <w:spacing w:line="259" w:lineRule="auto"/>
        <w:rPr>
          <w:b/>
          <w:bCs/>
          <w:sz w:val="24"/>
          <w:szCs w:val="24"/>
        </w:rPr>
      </w:pPr>
    </w:p>
    <w:p w14:paraId="358F4A6A" w14:textId="55268F0F" w:rsidR="00E40625" w:rsidRDefault="00E40625" w:rsidP="00E40625">
      <w:pPr>
        <w:pStyle w:val="ListParagraph"/>
        <w:spacing w:line="259" w:lineRule="auto"/>
        <w:rPr>
          <w:b/>
          <w:bCs/>
          <w:sz w:val="24"/>
          <w:szCs w:val="24"/>
        </w:rPr>
      </w:pPr>
    </w:p>
    <w:p w14:paraId="56E2EB9E" w14:textId="77777777" w:rsidR="002A3A70" w:rsidRDefault="002A3A70"/>
    <w:p w14:paraId="5A75DDD8" w14:textId="77777777" w:rsidR="00E56CA0" w:rsidRDefault="00E56CA0"/>
    <w:p w14:paraId="2E37398E" w14:textId="77777777" w:rsidR="00303037" w:rsidRDefault="00303037" w:rsidP="00303037">
      <w:pPr>
        <w:pStyle w:val="ListParagraph"/>
      </w:pPr>
    </w:p>
    <w:p w14:paraId="1973755A" w14:textId="6646CC03" w:rsidR="00303037" w:rsidRPr="008A4C82" w:rsidRDefault="00303037" w:rsidP="008A4C82">
      <w:pPr>
        <w:spacing w:line="360" w:lineRule="auto"/>
        <w:rPr>
          <w:rFonts w:ascii="Calibri" w:hAnsi="Calibri" w:cs="Calibri"/>
        </w:rPr>
      </w:pPr>
      <w:r w:rsidRPr="008A4C82">
        <w:rPr>
          <w:rFonts w:ascii="Calibri" w:hAnsi="Calibri" w:cs="Calibri"/>
        </w:rPr>
        <w:lastRenderedPageBreak/>
        <w:t xml:space="preserve">When it comes to looking at the criminological theories of crime and in particular that of historical theories, it is important to understand and apply them to be able to understand the Criminal Justice System within contemporary society (Kraska &amp; Newman, 2011). For the purpose of this assignment the historical theories of </w:t>
      </w:r>
      <w:r w:rsidR="00C61DE2">
        <w:rPr>
          <w:rFonts w:ascii="Calibri" w:hAnsi="Calibri" w:cs="Calibri"/>
        </w:rPr>
        <w:t>P</w:t>
      </w:r>
      <w:r w:rsidRPr="008A4C82">
        <w:rPr>
          <w:rFonts w:ascii="Calibri" w:hAnsi="Calibri" w:cs="Calibri"/>
        </w:rPr>
        <w:t xml:space="preserve">ositivism and </w:t>
      </w:r>
      <w:r w:rsidR="00C61DE2">
        <w:rPr>
          <w:rFonts w:ascii="Calibri" w:hAnsi="Calibri" w:cs="Calibri"/>
        </w:rPr>
        <w:t xml:space="preserve">Classicism </w:t>
      </w:r>
      <w:r w:rsidRPr="008A4C82">
        <w:rPr>
          <w:rFonts w:ascii="Calibri" w:hAnsi="Calibri" w:cs="Calibri"/>
        </w:rPr>
        <w:t>will be focused upon and then applied to a modern-day case study.</w:t>
      </w:r>
    </w:p>
    <w:p w14:paraId="62DAABA7" w14:textId="79F81ED3" w:rsidR="00AB344D" w:rsidRDefault="00AB344D" w:rsidP="008A4C82">
      <w:pPr>
        <w:pStyle w:val="ListParagraph"/>
        <w:spacing w:line="360" w:lineRule="auto"/>
        <w:rPr>
          <w:rFonts w:ascii="Calibri" w:hAnsi="Calibri" w:cs="Calibri"/>
          <w:sz w:val="24"/>
          <w:szCs w:val="24"/>
        </w:rPr>
      </w:pPr>
    </w:p>
    <w:p w14:paraId="3EC379D7" w14:textId="76834A19" w:rsidR="00AB344D" w:rsidRPr="008A4C82" w:rsidRDefault="00AB344D" w:rsidP="008A4C82">
      <w:pPr>
        <w:spacing w:line="360" w:lineRule="auto"/>
        <w:rPr>
          <w:rFonts w:ascii="Calibri" w:hAnsi="Calibri" w:cs="Calibri"/>
        </w:rPr>
      </w:pPr>
      <w:r w:rsidRPr="008A4C82">
        <w:rPr>
          <w:rFonts w:ascii="Calibri" w:hAnsi="Calibri" w:cs="Calibri"/>
        </w:rPr>
        <w:t>Prior to any of the theories being discussed, it should be comprehended what was Crime in society believed to have been a cause of prior to these theories being developed and how was crime dealt with before these theories changed perceptions within society.</w:t>
      </w:r>
    </w:p>
    <w:p w14:paraId="25BEA2DC" w14:textId="1D7A9C7A" w:rsidR="00AB344D" w:rsidRDefault="00AB344D" w:rsidP="008A4C82">
      <w:pPr>
        <w:pStyle w:val="ListParagraph"/>
        <w:spacing w:line="360" w:lineRule="auto"/>
        <w:rPr>
          <w:rFonts w:ascii="Calibri" w:hAnsi="Calibri" w:cs="Calibri"/>
          <w:sz w:val="24"/>
          <w:szCs w:val="24"/>
        </w:rPr>
      </w:pPr>
    </w:p>
    <w:p w14:paraId="5B16429C" w14:textId="062D101D" w:rsidR="005F34BE" w:rsidRPr="008A4C82" w:rsidRDefault="00AB344D" w:rsidP="008A4C82">
      <w:pPr>
        <w:spacing w:line="360" w:lineRule="auto"/>
        <w:rPr>
          <w:rFonts w:ascii="Calibri" w:hAnsi="Calibri" w:cs="Calibri"/>
        </w:rPr>
      </w:pPr>
      <w:r w:rsidRPr="008A4C82">
        <w:rPr>
          <w:rFonts w:ascii="Calibri" w:hAnsi="Calibri" w:cs="Calibri"/>
        </w:rPr>
        <w:t>I</w:t>
      </w:r>
      <w:r w:rsidR="004F786F" w:rsidRPr="008A4C82">
        <w:rPr>
          <w:rFonts w:ascii="Calibri" w:hAnsi="Calibri" w:cs="Calibri"/>
        </w:rPr>
        <w:t xml:space="preserve">f we look back on a specific period within history such as that of the medieval period </w:t>
      </w:r>
      <w:r w:rsidR="005F34BE" w:rsidRPr="008A4C82">
        <w:rPr>
          <w:rFonts w:ascii="Calibri" w:hAnsi="Calibri" w:cs="Calibri"/>
        </w:rPr>
        <w:t>which was a long time period spanning from 476 AD to 1453</w:t>
      </w:r>
      <w:proofErr w:type="gramStart"/>
      <w:r w:rsidR="005F34BE" w:rsidRPr="008A4C82">
        <w:rPr>
          <w:rFonts w:ascii="Calibri" w:hAnsi="Calibri" w:cs="Calibri"/>
        </w:rPr>
        <w:t xml:space="preserve">. </w:t>
      </w:r>
      <w:proofErr w:type="gramEnd"/>
      <w:r w:rsidR="005F34BE" w:rsidRPr="008A4C82">
        <w:rPr>
          <w:rFonts w:ascii="Calibri" w:hAnsi="Calibri" w:cs="Calibri"/>
        </w:rPr>
        <w:t xml:space="preserve">It was in this period that acts of violence and torture were incredibly common and there was seemingly no strong judicial system in place to ensure crime was dealt with appropriately. In </w:t>
      </w:r>
      <w:r w:rsidR="00A031DC" w:rsidRPr="008A4C82">
        <w:rPr>
          <w:rFonts w:ascii="Calibri" w:hAnsi="Calibri" w:cs="Calibri"/>
        </w:rPr>
        <w:t>fact,</w:t>
      </w:r>
      <w:r w:rsidR="005F34BE" w:rsidRPr="008A4C82">
        <w:rPr>
          <w:rFonts w:ascii="Calibri" w:hAnsi="Calibri" w:cs="Calibri"/>
        </w:rPr>
        <w:t xml:space="preserve"> crime during this period was argued as being either the work of the devil or a result of god leading his believers down a more faithful route in life (Brown, 2014). </w:t>
      </w:r>
      <w:r w:rsidR="00E67AE4" w:rsidRPr="008A4C82">
        <w:rPr>
          <w:rFonts w:ascii="Calibri" w:hAnsi="Calibri" w:cs="Calibri"/>
        </w:rPr>
        <w:t xml:space="preserve">As society developed and time went on, it was still a common notion that crime within society was committed by those who were under the influence of the devil or because god wanted them to do so. For example, in the Tudor period 1485 – 1603, crime was </w:t>
      </w:r>
      <w:r w:rsidR="00A34186" w:rsidRPr="008A4C82">
        <w:rPr>
          <w:rFonts w:ascii="Calibri" w:hAnsi="Calibri" w:cs="Calibri"/>
        </w:rPr>
        <w:t xml:space="preserve">still not policed, and punishment was decided based on the level of crime with the notion that the more gruesome the crime was the less chance that it would be repeated again (Tudor Times.com). Also, during these periods there was heavy belief in witchcraft and sorcery, something that would not even be considered </w:t>
      </w:r>
      <w:r w:rsidR="00061D69">
        <w:rPr>
          <w:rFonts w:ascii="Calibri" w:hAnsi="Calibri" w:cs="Calibri"/>
        </w:rPr>
        <w:t>with</w:t>
      </w:r>
      <w:r w:rsidR="00A34186" w:rsidRPr="008A4C82">
        <w:rPr>
          <w:rFonts w:ascii="Calibri" w:hAnsi="Calibri" w:cs="Calibri"/>
        </w:rPr>
        <w:t xml:space="preserve">in the criminal justice system in contemporary society. Belief in this during the earlier historical periods was so rife that there were often specific punishments designed in response to them. For example, in Tudor times, women who were believed to be carrying out witchcraft were punished in such a </w:t>
      </w:r>
      <w:r w:rsidR="009903EB" w:rsidRPr="008A4C82">
        <w:rPr>
          <w:rFonts w:ascii="Calibri" w:hAnsi="Calibri" w:cs="Calibri"/>
        </w:rPr>
        <w:t>manner</w:t>
      </w:r>
      <w:r w:rsidR="00A34186" w:rsidRPr="008A4C82">
        <w:rPr>
          <w:rFonts w:ascii="Calibri" w:hAnsi="Calibri" w:cs="Calibri"/>
        </w:rPr>
        <w:t xml:space="preserve"> that the outcome were result of death regardless to whether or not they were actually </w:t>
      </w:r>
      <w:r w:rsidR="0098619C" w:rsidRPr="008A4C82">
        <w:rPr>
          <w:rFonts w:ascii="Calibri" w:hAnsi="Calibri" w:cs="Calibri"/>
        </w:rPr>
        <w:t>innocent</w:t>
      </w:r>
      <w:r w:rsidR="00A34186" w:rsidRPr="008A4C82">
        <w:rPr>
          <w:rFonts w:ascii="Calibri" w:hAnsi="Calibri" w:cs="Calibri"/>
        </w:rPr>
        <w:t>.</w:t>
      </w:r>
      <w:r w:rsidR="008C696A" w:rsidRPr="008A4C82">
        <w:rPr>
          <w:rFonts w:ascii="Calibri" w:hAnsi="Calibri" w:cs="Calibri"/>
        </w:rPr>
        <w:t xml:space="preserve"> So</w:t>
      </w:r>
      <w:r w:rsidR="008F610E" w:rsidRPr="008A4C82">
        <w:rPr>
          <w:rFonts w:ascii="Calibri" w:hAnsi="Calibri" w:cs="Calibri"/>
        </w:rPr>
        <w:t>,</w:t>
      </w:r>
      <w:r w:rsidR="008C696A" w:rsidRPr="008A4C82">
        <w:rPr>
          <w:rFonts w:ascii="Calibri" w:hAnsi="Calibri" w:cs="Calibri"/>
        </w:rPr>
        <w:t xml:space="preserve"> for example, </w:t>
      </w:r>
      <w:r w:rsidR="008F610E" w:rsidRPr="008A4C82">
        <w:rPr>
          <w:rFonts w:ascii="Calibri" w:hAnsi="Calibri" w:cs="Calibri"/>
        </w:rPr>
        <w:t>as a result of so many innocent women being killed it is of no surprise that others would do anything in order to “save their own backs”. In one particular case, a woman by the name of Margaret Aitken who was accused herself of being a Witch found herself admitting to the offence but said that if she was spared a gruesome death she would help by being able to identify other witches just by ‘looking into their eyes’ (Yeoman, 2019).</w:t>
      </w:r>
    </w:p>
    <w:p w14:paraId="6709440C" w14:textId="6984685C" w:rsidR="00A34186" w:rsidRDefault="00A34186" w:rsidP="008A4C82">
      <w:pPr>
        <w:pStyle w:val="ListParagraph"/>
        <w:spacing w:line="360" w:lineRule="auto"/>
        <w:rPr>
          <w:rFonts w:ascii="Calibri" w:hAnsi="Calibri" w:cs="Calibri"/>
          <w:sz w:val="24"/>
          <w:szCs w:val="24"/>
        </w:rPr>
      </w:pPr>
    </w:p>
    <w:p w14:paraId="17A46FC2" w14:textId="067CF81B" w:rsidR="00A34186" w:rsidRPr="008A4C82" w:rsidRDefault="00A34186" w:rsidP="008A4C82">
      <w:pPr>
        <w:spacing w:line="360" w:lineRule="auto"/>
        <w:rPr>
          <w:rFonts w:ascii="Calibri" w:hAnsi="Calibri" w:cs="Calibri"/>
        </w:rPr>
      </w:pPr>
      <w:r w:rsidRPr="008A4C82">
        <w:rPr>
          <w:rFonts w:ascii="Calibri" w:hAnsi="Calibri" w:cs="Calibri"/>
        </w:rPr>
        <w:t xml:space="preserve">Understanding that there were no </w:t>
      </w:r>
      <w:r w:rsidR="000D663C" w:rsidRPr="008A4C82">
        <w:rPr>
          <w:rFonts w:ascii="Calibri" w:hAnsi="Calibri" w:cs="Calibri"/>
        </w:rPr>
        <w:t xml:space="preserve">proper criminological </w:t>
      </w:r>
      <w:r w:rsidRPr="008A4C82">
        <w:rPr>
          <w:rFonts w:ascii="Calibri" w:hAnsi="Calibri" w:cs="Calibri"/>
        </w:rPr>
        <w:t xml:space="preserve">theories developed in </w:t>
      </w:r>
      <w:r w:rsidR="000D663C" w:rsidRPr="008A4C82">
        <w:rPr>
          <w:rFonts w:ascii="Calibri" w:hAnsi="Calibri" w:cs="Calibri"/>
        </w:rPr>
        <w:t xml:space="preserve">the </w:t>
      </w:r>
      <w:r w:rsidRPr="008A4C82">
        <w:rPr>
          <w:rFonts w:ascii="Calibri" w:hAnsi="Calibri" w:cs="Calibri"/>
        </w:rPr>
        <w:t>earlier time periods to understand crime it can be understood that why the ones that will be discussed within this assignment were so pioneering when they were developed.</w:t>
      </w:r>
    </w:p>
    <w:p w14:paraId="5BAD4BEC" w14:textId="77777777" w:rsidR="00303037" w:rsidRDefault="00303037" w:rsidP="008A4C82">
      <w:pPr>
        <w:pStyle w:val="ListParagraph"/>
        <w:spacing w:line="360" w:lineRule="auto"/>
        <w:rPr>
          <w:rFonts w:ascii="Calibri" w:hAnsi="Calibri" w:cs="Calibri"/>
          <w:sz w:val="24"/>
          <w:szCs w:val="24"/>
        </w:rPr>
      </w:pPr>
    </w:p>
    <w:p w14:paraId="293B1727" w14:textId="2B75C40E" w:rsidR="00B00AA8" w:rsidRPr="008A4C82" w:rsidRDefault="00303037" w:rsidP="008A4C82">
      <w:pPr>
        <w:spacing w:line="360" w:lineRule="auto"/>
        <w:rPr>
          <w:rFonts w:ascii="Calibri" w:hAnsi="Calibri" w:cs="Calibri"/>
        </w:rPr>
      </w:pPr>
      <w:r w:rsidRPr="008A4C82">
        <w:rPr>
          <w:rFonts w:ascii="Calibri" w:hAnsi="Calibri" w:cs="Calibri"/>
        </w:rPr>
        <w:t xml:space="preserve">The first theory to be discussed will be that of </w:t>
      </w:r>
      <w:r w:rsidR="00C61DE2">
        <w:rPr>
          <w:rFonts w:ascii="Calibri" w:hAnsi="Calibri" w:cs="Calibri"/>
        </w:rPr>
        <w:t>P</w:t>
      </w:r>
      <w:r w:rsidRPr="008A4C82">
        <w:rPr>
          <w:rFonts w:ascii="Calibri" w:hAnsi="Calibri" w:cs="Calibri"/>
        </w:rPr>
        <w:t xml:space="preserve">ositivism. When it comes to looking at </w:t>
      </w:r>
      <w:r w:rsidR="00C61DE2">
        <w:rPr>
          <w:rFonts w:ascii="Calibri" w:hAnsi="Calibri" w:cs="Calibri"/>
        </w:rPr>
        <w:t>P</w:t>
      </w:r>
      <w:r w:rsidRPr="008A4C82">
        <w:rPr>
          <w:rFonts w:ascii="Calibri" w:hAnsi="Calibri" w:cs="Calibri"/>
        </w:rPr>
        <w:t>ositivism it should be understood that this is a theory that draws focus upon traditional scientific methods based on objective facts (Mednick, Gabrielli Jr &amp; Hutchings, 1999). In Particular, one well known area of positivism is the work carried out by what is considered to be the founding fathers of the subject – Cesare Lombroso (</w:t>
      </w:r>
      <w:r w:rsidR="00471C3D">
        <w:rPr>
          <w:rFonts w:ascii="Calibri" w:hAnsi="Calibri" w:cs="Calibri"/>
        </w:rPr>
        <w:t>2004</w:t>
      </w:r>
      <w:r w:rsidRPr="008A4C82">
        <w:rPr>
          <w:rFonts w:ascii="Calibri" w:hAnsi="Calibri" w:cs="Calibri"/>
        </w:rPr>
        <w:t xml:space="preserve">). Lombroso developed the theory of Biological Positivism. The focus of this theory being that criminal activity and its causes were all rooted within the persons genetic makeup, all of these findings which were published in </w:t>
      </w:r>
      <w:r w:rsidR="007D1698" w:rsidRPr="008A4C82">
        <w:rPr>
          <w:rFonts w:ascii="Calibri" w:hAnsi="Calibri" w:cs="Calibri"/>
        </w:rPr>
        <w:t>his most popular piece of work ‘The Born Criminal’ – (</w:t>
      </w:r>
      <w:r w:rsidR="00471C3D">
        <w:rPr>
          <w:rFonts w:ascii="Calibri" w:hAnsi="Calibri" w:cs="Calibri"/>
        </w:rPr>
        <w:t>2004</w:t>
      </w:r>
      <w:r w:rsidR="007D1698" w:rsidRPr="008A4C82">
        <w:rPr>
          <w:rFonts w:ascii="Calibri" w:hAnsi="Calibri" w:cs="Calibri"/>
        </w:rPr>
        <w:t xml:space="preserve">). Lombroso’s study determined that it was easy to find a criminal by simply looking at their characteristics, areas such as the face and those individuals that had large noses, detached ear lobes or irregular jaws were of course all criminals (Lombroso &amp; Ferrero cited in </w:t>
      </w:r>
      <w:r w:rsidR="00D473D7">
        <w:rPr>
          <w:rFonts w:ascii="Calibri" w:hAnsi="Calibri" w:cs="Calibri"/>
        </w:rPr>
        <w:t>Gibson and Rafter</w:t>
      </w:r>
      <w:r w:rsidR="007D1698" w:rsidRPr="008A4C82">
        <w:rPr>
          <w:rFonts w:ascii="Calibri" w:hAnsi="Calibri" w:cs="Calibri"/>
        </w:rPr>
        <w:t xml:space="preserve">, 2004). Lombroso’s work was of course considered to be pioneering during the time it was published and it led to the creation of further work by himself. Another one of these pieces of work was ‘The Female Offender’. This piece of work developed upon his initial ideas that were presented within ‘The Born Criminal’. This area of work focused upon women who commit crime and the reason for this was due to the fact that they suffer from a variety of abnormalities. These ‘abnormalities’ that he referred to included; sexual precocity – being </w:t>
      </w:r>
      <w:r w:rsidR="00CA118D" w:rsidRPr="008A4C82">
        <w:rPr>
          <w:rFonts w:ascii="Calibri" w:hAnsi="Calibri" w:cs="Calibri"/>
        </w:rPr>
        <w:t>sexually</w:t>
      </w:r>
      <w:r w:rsidR="007D1698" w:rsidRPr="008A4C82">
        <w:rPr>
          <w:rFonts w:ascii="Calibri" w:hAnsi="Calibri" w:cs="Calibri"/>
        </w:rPr>
        <w:t xml:space="preserve"> active or showing signs of sexual maturity before reaching the age of considered sexual maturity (</w:t>
      </w:r>
      <w:r w:rsidR="00635310">
        <w:rPr>
          <w:rFonts w:ascii="Calibri" w:hAnsi="Calibri" w:cs="Calibri"/>
        </w:rPr>
        <w:t>Brown, Loomba-Albrecht &amp; Bremer, 2013</w:t>
      </w:r>
      <w:r w:rsidR="00CA118D" w:rsidRPr="008A4C82">
        <w:rPr>
          <w:rFonts w:ascii="Calibri" w:hAnsi="Calibri" w:cs="Calibri"/>
        </w:rPr>
        <w:t>); High fertility or fecundity and even normal biological functions such as menstruation were all areas the Lombroso argued as being factors that made women offend. In his work, Lombroso backed his findings up through the study of prostitutes. The argument stood that women who were ‘submissive’ and ‘raised a family’ would steer clear of crime whereas those who ‘solicited’ themselves for a living and went against the ‘norm’ of society at the time were therefore criminals and this was backed up through the ‘scientific’ methods presented by Lombroso (</w:t>
      </w:r>
      <w:r w:rsidR="007135F6">
        <w:rPr>
          <w:rFonts w:ascii="Calibri" w:hAnsi="Calibri" w:cs="Calibri"/>
        </w:rPr>
        <w:t>2004</w:t>
      </w:r>
      <w:r w:rsidR="00CA118D" w:rsidRPr="008A4C82">
        <w:rPr>
          <w:rFonts w:ascii="Calibri" w:hAnsi="Calibri" w:cs="Calibri"/>
        </w:rPr>
        <w:t>).</w:t>
      </w:r>
    </w:p>
    <w:p w14:paraId="27475C57" w14:textId="7AC1D43E" w:rsidR="000D663C" w:rsidRPr="008A4C82" w:rsidRDefault="000D663C" w:rsidP="008A4C82">
      <w:pPr>
        <w:spacing w:line="360" w:lineRule="auto"/>
        <w:rPr>
          <w:rFonts w:ascii="Calibri" w:hAnsi="Calibri" w:cs="Calibri"/>
        </w:rPr>
      </w:pPr>
      <w:r w:rsidRPr="008A4C82">
        <w:rPr>
          <w:rFonts w:ascii="Calibri" w:hAnsi="Calibri" w:cs="Calibri"/>
        </w:rPr>
        <w:lastRenderedPageBreak/>
        <w:t xml:space="preserve">Despite how astonishing the ideas of Lombroso appear, they were at the time and for a little while very popular and applied to society more often than one would think. For example, the idea of Lombroso’s work and the subject of eugenics was applied heavily during the infamous Nazi </w:t>
      </w:r>
      <w:r w:rsidR="0025736D" w:rsidRPr="008A4C82">
        <w:rPr>
          <w:rFonts w:ascii="Calibri" w:hAnsi="Calibri" w:cs="Calibri"/>
        </w:rPr>
        <w:t>regime</w:t>
      </w:r>
      <w:r w:rsidRPr="008A4C82">
        <w:rPr>
          <w:rFonts w:ascii="Calibri" w:hAnsi="Calibri" w:cs="Calibri"/>
        </w:rPr>
        <w:t xml:space="preserve"> and as a result of this was responsible for a lot of deaths that occurred during their time. Rafter (2008) published that the arguments created by scientists working in the eugenics field agreed with Hitler’s need to create racial purity and this idea of ‘cleansing’ society of all those considered to be an inferior race or class</w:t>
      </w:r>
      <w:r w:rsidR="0025736D" w:rsidRPr="008A4C82">
        <w:rPr>
          <w:rFonts w:ascii="Calibri" w:hAnsi="Calibri" w:cs="Calibri"/>
        </w:rPr>
        <w:t xml:space="preserve"> such as those who held a different religious belief i.e. the Jews.</w:t>
      </w:r>
    </w:p>
    <w:p w14:paraId="187A62BE" w14:textId="77777777" w:rsidR="000D663C" w:rsidRDefault="000D663C" w:rsidP="008A4C82">
      <w:pPr>
        <w:pStyle w:val="ListParagraph"/>
        <w:spacing w:line="360" w:lineRule="auto"/>
        <w:rPr>
          <w:rFonts w:ascii="Calibri" w:hAnsi="Calibri" w:cs="Calibri"/>
          <w:sz w:val="24"/>
          <w:szCs w:val="24"/>
        </w:rPr>
      </w:pPr>
    </w:p>
    <w:p w14:paraId="2F1C58C0" w14:textId="4F73208E" w:rsidR="00CA118D" w:rsidRPr="008A4C82" w:rsidRDefault="00550EAF" w:rsidP="008A4C82">
      <w:pPr>
        <w:spacing w:line="360" w:lineRule="auto"/>
        <w:rPr>
          <w:rFonts w:ascii="Calibri" w:hAnsi="Calibri" w:cs="Calibri"/>
        </w:rPr>
      </w:pPr>
      <w:r w:rsidRPr="008A4C82">
        <w:rPr>
          <w:rFonts w:ascii="Calibri" w:hAnsi="Calibri" w:cs="Calibri"/>
        </w:rPr>
        <w:t>Therefore, it is not surprising to understand that Lombroso’s work was eventually met with criticism as society developed. For example, in later studies it was argued that crime does simply not come down to genetics but a variety of other factors such as poverty, racism and other social inequalities (Joseph, 2011).</w:t>
      </w:r>
    </w:p>
    <w:p w14:paraId="1926C635" w14:textId="7F8E8CBB" w:rsidR="00550EAF" w:rsidRDefault="00550EAF" w:rsidP="008A4C82">
      <w:pPr>
        <w:pStyle w:val="ListParagraph"/>
        <w:spacing w:line="360" w:lineRule="auto"/>
        <w:rPr>
          <w:rFonts w:ascii="Calibri" w:hAnsi="Calibri" w:cs="Calibri"/>
          <w:sz w:val="24"/>
          <w:szCs w:val="24"/>
        </w:rPr>
      </w:pPr>
    </w:p>
    <w:p w14:paraId="4E41AEF0" w14:textId="6D9A2C46" w:rsidR="00760323" w:rsidRPr="008A4C82" w:rsidRDefault="00550EAF" w:rsidP="008A4C82">
      <w:pPr>
        <w:spacing w:line="360" w:lineRule="auto"/>
        <w:rPr>
          <w:rFonts w:ascii="Calibri" w:hAnsi="Calibri" w:cs="Calibri"/>
        </w:rPr>
      </w:pPr>
      <w:r w:rsidRPr="008A4C82">
        <w:rPr>
          <w:rFonts w:ascii="Calibri" w:hAnsi="Calibri" w:cs="Calibri"/>
        </w:rPr>
        <w:t xml:space="preserve">Moving on from understanding the theory of </w:t>
      </w:r>
      <w:r w:rsidR="00C61DE2">
        <w:rPr>
          <w:rFonts w:ascii="Calibri" w:hAnsi="Calibri" w:cs="Calibri"/>
        </w:rPr>
        <w:t>P</w:t>
      </w:r>
      <w:r w:rsidRPr="008A4C82">
        <w:rPr>
          <w:rFonts w:ascii="Calibri" w:hAnsi="Calibri" w:cs="Calibri"/>
        </w:rPr>
        <w:t xml:space="preserve">ositivism, the second historical theory to be considered is that of </w:t>
      </w:r>
      <w:r w:rsidR="00C61DE2">
        <w:rPr>
          <w:rFonts w:ascii="Calibri" w:hAnsi="Calibri" w:cs="Calibri"/>
        </w:rPr>
        <w:t>Classicism</w:t>
      </w:r>
      <w:r w:rsidRPr="008A4C82">
        <w:rPr>
          <w:rFonts w:ascii="Calibri" w:hAnsi="Calibri" w:cs="Calibri"/>
        </w:rPr>
        <w:t xml:space="preserve">. </w:t>
      </w:r>
      <w:r w:rsidR="00C61DE2">
        <w:rPr>
          <w:rFonts w:ascii="Calibri" w:hAnsi="Calibri" w:cs="Calibri"/>
        </w:rPr>
        <w:t xml:space="preserve">Classicism </w:t>
      </w:r>
      <w:r w:rsidRPr="008A4C82">
        <w:rPr>
          <w:rFonts w:ascii="Calibri" w:hAnsi="Calibri" w:cs="Calibri"/>
        </w:rPr>
        <w:t xml:space="preserve">(or </w:t>
      </w:r>
      <w:r w:rsidR="00C61DE2">
        <w:rPr>
          <w:rFonts w:ascii="Calibri" w:hAnsi="Calibri" w:cs="Calibri"/>
        </w:rPr>
        <w:t>Utilitarianism as it sometimes known</w:t>
      </w:r>
      <w:r w:rsidRPr="008A4C82">
        <w:rPr>
          <w:rFonts w:ascii="Calibri" w:hAnsi="Calibri" w:cs="Calibri"/>
        </w:rPr>
        <w:t xml:space="preserve">) </w:t>
      </w:r>
      <w:r w:rsidR="00760323" w:rsidRPr="008A4C82">
        <w:rPr>
          <w:rFonts w:ascii="Calibri" w:hAnsi="Calibri" w:cs="Calibri"/>
        </w:rPr>
        <w:t>is a theory that was developed by Jeremy Bentham</w:t>
      </w:r>
      <w:r w:rsidR="005566E8">
        <w:rPr>
          <w:rFonts w:ascii="Calibri" w:hAnsi="Calibri" w:cs="Calibri"/>
        </w:rPr>
        <w:t>, although it can also be argued that Bentham’s work and ideas presented were largely developed by his associate Beccaria (Young, 1983)</w:t>
      </w:r>
      <w:r w:rsidR="00760323" w:rsidRPr="008A4C82">
        <w:rPr>
          <w:rFonts w:ascii="Calibri" w:hAnsi="Calibri" w:cs="Calibri"/>
        </w:rPr>
        <w:t>. Bentham was a strong believer in the enlightenment and developed the notion that all human beings are rational actors and crime is therefore done so by choice and not by genetics as previously argued by Lombroso</w:t>
      </w:r>
      <w:r w:rsidR="00804317">
        <w:rPr>
          <w:rFonts w:ascii="Calibri" w:hAnsi="Calibri" w:cs="Calibri"/>
        </w:rPr>
        <w:t xml:space="preserve">, and that any crime committed is weighed on the outcome of the </w:t>
      </w:r>
      <w:r w:rsidR="00F64DFE">
        <w:rPr>
          <w:rFonts w:ascii="Calibri" w:hAnsi="Calibri" w:cs="Calibri"/>
        </w:rPr>
        <w:t>happiness that can be derived from it</w:t>
      </w:r>
      <w:r w:rsidR="00F8242D">
        <w:rPr>
          <w:rFonts w:ascii="Calibri" w:hAnsi="Calibri" w:cs="Calibri"/>
        </w:rPr>
        <w:t>.</w:t>
      </w:r>
      <w:r w:rsidR="00F64DFE">
        <w:rPr>
          <w:rFonts w:ascii="Calibri" w:hAnsi="Calibri" w:cs="Calibri"/>
        </w:rPr>
        <w:t xml:space="preserve"> </w:t>
      </w:r>
      <w:r w:rsidR="00F8242D">
        <w:rPr>
          <w:rFonts w:ascii="Calibri" w:hAnsi="Calibri" w:cs="Calibri"/>
        </w:rPr>
        <w:t>A</w:t>
      </w:r>
      <w:r w:rsidR="00F64DFE">
        <w:rPr>
          <w:rFonts w:ascii="Calibri" w:hAnsi="Calibri" w:cs="Calibri"/>
        </w:rPr>
        <w:t>n example of this could be someone who does not have any money and is struggling to find employment, they are able to take items from shops without being caught and therefore do so and receive immediate gratification as a result</w:t>
      </w:r>
      <w:r w:rsidR="00760323" w:rsidRPr="008A4C82">
        <w:rPr>
          <w:rFonts w:ascii="Calibri" w:hAnsi="Calibri" w:cs="Calibri"/>
        </w:rPr>
        <w:t>. Bentham therefore also determined that any punishment given to a criminal should be certain and firm but not unnecessary</w:t>
      </w:r>
      <w:r w:rsidR="00F8242D">
        <w:rPr>
          <w:rFonts w:ascii="Calibri" w:hAnsi="Calibri" w:cs="Calibri"/>
        </w:rPr>
        <w:t xml:space="preserve">. </w:t>
      </w:r>
      <w:r w:rsidR="00760323" w:rsidRPr="008A4C82">
        <w:rPr>
          <w:rFonts w:ascii="Calibri" w:hAnsi="Calibri" w:cs="Calibri"/>
        </w:rPr>
        <w:t xml:space="preserve">Furthermore, punishment in the view of </w:t>
      </w:r>
      <w:r w:rsidR="00C61DE2">
        <w:rPr>
          <w:rFonts w:ascii="Calibri" w:hAnsi="Calibri" w:cs="Calibri"/>
        </w:rPr>
        <w:t>classicism</w:t>
      </w:r>
      <w:r w:rsidR="00760323" w:rsidRPr="008A4C82">
        <w:rPr>
          <w:rFonts w:ascii="Calibri" w:hAnsi="Calibri" w:cs="Calibri"/>
        </w:rPr>
        <w:t xml:space="preserve"> must be identified as delivering some good to the individual (Duff and Garland, 1998).</w:t>
      </w:r>
      <w:r w:rsidR="00F64DFE">
        <w:rPr>
          <w:rFonts w:ascii="Calibri" w:hAnsi="Calibri" w:cs="Calibri"/>
        </w:rPr>
        <w:t xml:space="preserve"> Nether the less Bentham’s view was also subject to criticism with philosophers such as Immanuel Kant arguing that such theories cannot be developed on the basis of </w:t>
      </w:r>
      <w:r w:rsidR="001D480C">
        <w:rPr>
          <w:rFonts w:ascii="Calibri" w:hAnsi="Calibri" w:cs="Calibri"/>
        </w:rPr>
        <w:t>one’s</w:t>
      </w:r>
      <w:r w:rsidR="00F64DFE">
        <w:rPr>
          <w:rFonts w:ascii="Calibri" w:hAnsi="Calibri" w:cs="Calibri"/>
        </w:rPr>
        <w:t xml:space="preserve"> happiness as this is not </w:t>
      </w:r>
      <w:r w:rsidR="00F8242D">
        <w:rPr>
          <w:rFonts w:ascii="Calibri" w:hAnsi="Calibri" w:cs="Calibri"/>
        </w:rPr>
        <w:t xml:space="preserve">a </w:t>
      </w:r>
      <w:r w:rsidR="00F64DFE">
        <w:rPr>
          <w:rFonts w:ascii="Calibri" w:hAnsi="Calibri" w:cs="Calibri"/>
        </w:rPr>
        <w:t xml:space="preserve">moral </w:t>
      </w:r>
      <w:r w:rsidR="00F8242D">
        <w:rPr>
          <w:rFonts w:ascii="Calibri" w:hAnsi="Calibri" w:cs="Calibri"/>
        </w:rPr>
        <w:t>thing but</w:t>
      </w:r>
      <w:r w:rsidR="00F64DFE">
        <w:rPr>
          <w:rFonts w:ascii="Calibri" w:hAnsi="Calibri" w:cs="Calibri"/>
        </w:rPr>
        <w:t xml:space="preserve"> is in fact another form of selfishness (McCormick, 2020).</w:t>
      </w:r>
    </w:p>
    <w:p w14:paraId="7C55E385" w14:textId="77777777" w:rsidR="00760323" w:rsidRDefault="00760323" w:rsidP="008A4C82">
      <w:pPr>
        <w:pStyle w:val="ListParagraph"/>
        <w:spacing w:line="360" w:lineRule="auto"/>
        <w:rPr>
          <w:rFonts w:ascii="Calibri" w:hAnsi="Calibri" w:cs="Calibri"/>
          <w:sz w:val="24"/>
          <w:szCs w:val="24"/>
        </w:rPr>
      </w:pPr>
    </w:p>
    <w:p w14:paraId="1AB9EBF4" w14:textId="22EAA598" w:rsidR="00550EAF" w:rsidRPr="008A4C82" w:rsidRDefault="00760323" w:rsidP="008A4C82">
      <w:pPr>
        <w:spacing w:line="360" w:lineRule="auto"/>
        <w:rPr>
          <w:rFonts w:ascii="Calibri" w:hAnsi="Calibri" w:cs="Calibri"/>
        </w:rPr>
      </w:pPr>
      <w:r w:rsidRPr="008A4C82">
        <w:rPr>
          <w:rFonts w:ascii="Calibri" w:hAnsi="Calibri" w:cs="Calibri"/>
        </w:rPr>
        <w:lastRenderedPageBreak/>
        <w:t>When comparing Positivism and in particular the work of Lombroso that has previously been discussed and the work that has been carried out by Bentham, it could be argued that the ideas of Bentham ha</w:t>
      </w:r>
      <w:r w:rsidR="00C61DE2">
        <w:rPr>
          <w:rFonts w:ascii="Calibri" w:hAnsi="Calibri" w:cs="Calibri"/>
        </w:rPr>
        <w:t>ve</w:t>
      </w:r>
      <w:r w:rsidRPr="008A4C82">
        <w:rPr>
          <w:rFonts w:ascii="Calibri" w:hAnsi="Calibri" w:cs="Calibri"/>
        </w:rPr>
        <w:t xml:space="preserve"> been more pioneering in understanding crime than Lombroso ever was – although that is not to say that his work should be dismissed entirely. For example, Bentham acknowledged that there is no use in using harsh punishments and that focus should be drawn upon reforming the offender as to prevent crime from occurring in the future again. </w:t>
      </w:r>
      <w:r w:rsidR="00583EC7" w:rsidRPr="008A4C82">
        <w:rPr>
          <w:rFonts w:ascii="Calibri" w:hAnsi="Calibri" w:cs="Calibri"/>
        </w:rPr>
        <w:t>However, there were areas that Bentham did fail to consider in his study; there was little evidence that supported his theories, no matter the punishment that was chosen there was little or no evidence that this would then reduce crime rates as Bentham imagined it would and finally that the ideas and work he came up with was oversimplified.</w:t>
      </w:r>
    </w:p>
    <w:p w14:paraId="36A6DF97" w14:textId="3ADC826A" w:rsidR="00583EC7" w:rsidRDefault="00583EC7" w:rsidP="008A4C82">
      <w:pPr>
        <w:pStyle w:val="ListParagraph"/>
        <w:spacing w:line="360" w:lineRule="auto"/>
        <w:rPr>
          <w:rFonts w:ascii="Calibri" w:hAnsi="Calibri" w:cs="Calibri"/>
          <w:sz w:val="24"/>
          <w:szCs w:val="24"/>
        </w:rPr>
      </w:pPr>
    </w:p>
    <w:p w14:paraId="3883FF30" w14:textId="0A850901" w:rsidR="00583EC7" w:rsidRPr="008A4C82" w:rsidRDefault="00583EC7" w:rsidP="008A4C82">
      <w:pPr>
        <w:spacing w:line="360" w:lineRule="auto"/>
        <w:rPr>
          <w:rFonts w:ascii="Calibri" w:hAnsi="Calibri" w:cs="Calibri"/>
        </w:rPr>
      </w:pPr>
      <w:r w:rsidRPr="008A4C82">
        <w:rPr>
          <w:rFonts w:ascii="Calibri" w:hAnsi="Calibri" w:cs="Calibri"/>
        </w:rPr>
        <w:t xml:space="preserve">From developing an understanding of both of these historical theories and where they came from and how much of an impact they had on society at the time </w:t>
      </w:r>
      <w:r w:rsidR="00A761DE" w:rsidRPr="008A4C82">
        <w:rPr>
          <w:rFonts w:ascii="Calibri" w:hAnsi="Calibri" w:cs="Calibri"/>
        </w:rPr>
        <w:t xml:space="preserve">it should now be applied to modern day case studies. </w:t>
      </w:r>
      <w:r w:rsidR="006B7860" w:rsidRPr="008A4C82">
        <w:rPr>
          <w:rFonts w:ascii="Calibri" w:hAnsi="Calibri" w:cs="Calibri"/>
        </w:rPr>
        <w:t>The first case study that will be examined will be that of the American Serial Killer – Aileen Wuornos.</w:t>
      </w:r>
    </w:p>
    <w:p w14:paraId="4F8E0CEB" w14:textId="179270F6" w:rsidR="006B7860" w:rsidRDefault="006B7860" w:rsidP="008A4C82">
      <w:pPr>
        <w:pStyle w:val="ListParagraph"/>
        <w:spacing w:line="360" w:lineRule="auto"/>
        <w:rPr>
          <w:rFonts w:ascii="Calibri" w:hAnsi="Calibri" w:cs="Calibri"/>
          <w:sz w:val="24"/>
          <w:szCs w:val="24"/>
        </w:rPr>
      </w:pPr>
    </w:p>
    <w:p w14:paraId="764F8D98" w14:textId="1A84A2E2" w:rsidR="00DF2475" w:rsidRPr="008A4C82" w:rsidRDefault="006B7860" w:rsidP="008A4C82">
      <w:pPr>
        <w:spacing w:line="360" w:lineRule="auto"/>
        <w:rPr>
          <w:rFonts w:ascii="Calibri" w:hAnsi="Calibri" w:cs="Calibri"/>
        </w:rPr>
      </w:pPr>
      <w:r w:rsidRPr="008A4C82">
        <w:rPr>
          <w:rFonts w:ascii="Calibri" w:hAnsi="Calibri" w:cs="Calibri"/>
        </w:rPr>
        <w:t xml:space="preserve">Wuornos, was born in Detroit in what was to be quite an unruly lifestyle. Her mother abandoned her when she was young, and her father was sent to prison for child molestation offences – where he would </w:t>
      </w:r>
      <w:r w:rsidR="00E50301">
        <w:rPr>
          <w:rFonts w:ascii="Calibri" w:hAnsi="Calibri" w:cs="Calibri"/>
        </w:rPr>
        <w:t xml:space="preserve">there </w:t>
      </w:r>
      <w:r w:rsidRPr="008A4C82">
        <w:rPr>
          <w:rFonts w:ascii="Calibri" w:hAnsi="Calibri" w:cs="Calibri"/>
        </w:rPr>
        <w:t xml:space="preserve">kill himself. As a result of this, Wuornos spent most of her time on the streets and this is where she would educate herself. By the time that Wuornos was the age of 14, she had already fallen pregnant and </w:t>
      </w:r>
      <w:r w:rsidR="00DF2475" w:rsidRPr="008A4C82">
        <w:rPr>
          <w:rFonts w:ascii="Calibri" w:hAnsi="Calibri" w:cs="Calibri"/>
        </w:rPr>
        <w:t>the subsequent child was put up for adoption. Wuornos troubled life continued and she eventually started to fund her lifestyle of crime and violence through prostitution and hitchhiking to get where she wanted to</w:t>
      </w:r>
      <w:r w:rsidR="00C05B2B">
        <w:rPr>
          <w:rFonts w:ascii="Calibri" w:hAnsi="Calibri" w:cs="Calibri"/>
        </w:rPr>
        <w:t xml:space="preserve"> be</w:t>
      </w:r>
      <w:r w:rsidR="00DF2475" w:rsidRPr="008A4C82">
        <w:rPr>
          <w:rFonts w:ascii="Calibri" w:hAnsi="Calibri" w:cs="Calibri"/>
        </w:rPr>
        <w:t>. However, prior to Wuornos committing her offences she briefly engaged in a life that was completely different to what she was used to – she met multi-millionaire, Lewis Fell and the pair got married, however, Wuornos was unable to change and soon found herself living a reckless and violent lifestyle. As a result of this, the marriage was annulled, and it was after this that the lifestyle that Wuornos became known for was to occur</w:t>
      </w:r>
      <w:r w:rsidR="003D0885">
        <w:rPr>
          <w:rFonts w:ascii="Calibri" w:hAnsi="Calibri" w:cs="Calibri"/>
        </w:rPr>
        <w:t xml:space="preserve"> (Stockton, </w:t>
      </w:r>
      <w:r w:rsidR="00316942">
        <w:rPr>
          <w:rFonts w:ascii="Calibri" w:hAnsi="Calibri" w:cs="Calibri"/>
        </w:rPr>
        <w:t>2018).</w:t>
      </w:r>
    </w:p>
    <w:p w14:paraId="3CF2FF79" w14:textId="513F9B0D" w:rsidR="00DF2475" w:rsidRDefault="00DF2475" w:rsidP="008A4C82">
      <w:pPr>
        <w:pStyle w:val="ListParagraph"/>
        <w:spacing w:line="360" w:lineRule="auto"/>
        <w:rPr>
          <w:rFonts w:ascii="Calibri" w:hAnsi="Calibri" w:cs="Calibri"/>
          <w:sz w:val="24"/>
          <w:szCs w:val="24"/>
        </w:rPr>
      </w:pPr>
    </w:p>
    <w:p w14:paraId="102C1040" w14:textId="50D1BA72" w:rsidR="00DF2475" w:rsidRPr="008A4C82" w:rsidRDefault="001C7DED" w:rsidP="008A4C82">
      <w:pPr>
        <w:spacing w:line="360" w:lineRule="auto"/>
        <w:rPr>
          <w:rFonts w:ascii="Calibri" w:hAnsi="Calibri" w:cs="Calibri"/>
        </w:rPr>
      </w:pPr>
      <w:r w:rsidRPr="008A4C82">
        <w:rPr>
          <w:rFonts w:ascii="Calibri" w:hAnsi="Calibri" w:cs="Calibri"/>
        </w:rPr>
        <w:t xml:space="preserve">Wuornos, </w:t>
      </w:r>
      <w:r w:rsidR="00683C8B" w:rsidRPr="008A4C82">
        <w:rPr>
          <w:rFonts w:ascii="Calibri" w:hAnsi="Calibri" w:cs="Calibri"/>
        </w:rPr>
        <w:t>was later to be</w:t>
      </w:r>
      <w:r w:rsidR="00C07EB9" w:rsidRPr="008A4C82">
        <w:rPr>
          <w:rFonts w:ascii="Calibri" w:hAnsi="Calibri" w:cs="Calibri"/>
        </w:rPr>
        <w:t xml:space="preserve"> labelled </w:t>
      </w:r>
      <w:r w:rsidR="00683C8B" w:rsidRPr="008A4C82">
        <w:rPr>
          <w:rFonts w:ascii="Calibri" w:hAnsi="Calibri" w:cs="Calibri"/>
        </w:rPr>
        <w:t xml:space="preserve">as </w:t>
      </w:r>
      <w:r w:rsidR="00C07EB9" w:rsidRPr="008A4C82">
        <w:rPr>
          <w:rFonts w:ascii="Calibri" w:hAnsi="Calibri" w:cs="Calibri"/>
        </w:rPr>
        <w:t xml:space="preserve">‘America’s First Female Serial Killer’ and was believed to have killed 6 or 7 men whilst working as a sex worker and hitchhiking to various destinations in America (Pearson, 2007). </w:t>
      </w:r>
      <w:r w:rsidR="00683C8B" w:rsidRPr="008A4C82">
        <w:rPr>
          <w:rFonts w:ascii="Calibri" w:hAnsi="Calibri" w:cs="Calibri"/>
        </w:rPr>
        <w:t xml:space="preserve">She was convicted and sent to death row and was </w:t>
      </w:r>
      <w:r w:rsidR="00683C8B" w:rsidRPr="008A4C82">
        <w:rPr>
          <w:rFonts w:ascii="Calibri" w:hAnsi="Calibri" w:cs="Calibri"/>
        </w:rPr>
        <w:lastRenderedPageBreak/>
        <w:t>executed by lethal injection on the 9</w:t>
      </w:r>
      <w:r w:rsidR="00683C8B" w:rsidRPr="008A4C82">
        <w:rPr>
          <w:rFonts w:ascii="Calibri" w:hAnsi="Calibri" w:cs="Calibri"/>
          <w:vertAlign w:val="superscript"/>
        </w:rPr>
        <w:t>th</w:t>
      </w:r>
      <w:r w:rsidR="00683C8B" w:rsidRPr="008A4C82">
        <w:rPr>
          <w:rFonts w:ascii="Calibri" w:hAnsi="Calibri" w:cs="Calibri"/>
        </w:rPr>
        <w:t xml:space="preserve"> October 2002, just before she died she was quoted as saying “</w:t>
      </w:r>
      <w:r w:rsidR="00683C8B" w:rsidRPr="008A4C82">
        <w:rPr>
          <w:rFonts w:ascii="Calibri" w:hAnsi="Calibri" w:cs="Calibri"/>
          <w:i/>
        </w:rPr>
        <w:t xml:space="preserve">I’d just like to say I’m sailing with the rock and I’ll be back, like </w:t>
      </w:r>
      <w:r w:rsidR="003D6328" w:rsidRPr="008A4C82">
        <w:rPr>
          <w:rFonts w:ascii="Calibri" w:hAnsi="Calibri" w:cs="Calibri"/>
          <w:i/>
        </w:rPr>
        <w:t>Independence Day</w:t>
      </w:r>
      <w:r w:rsidR="00683C8B" w:rsidRPr="008A4C82">
        <w:rPr>
          <w:rFonts w:ascii="Calibri" w:hAnsi="Calibri" w:cs="Calibri"/>
          <w:i/>
        </w:rPr>
        <w:t xml:space="preserve"> with Jesus, June 6, Like the </w:t>
      </w:r>
      <w:r w:rsidR="003D6328" w:rsidRPr="008A4C82">
        <w:rPr>
          <w:rFonts w:ascii="Calibri" w:hAnsi="Calibri" w:cs="Calibri"/>
          <w:i/>
        </w:rPr>
        <w:t>Mo</w:t>
      </w:r>
      <w:r w:rsidR="00683C8B" w:rsidRPr="008A4C82">
        <w:rPr>
          <w:rFonts w:ascii="Calibri" w:hAnsi="Calibri" w:cs="Calibri"/>
          <w:i/>
        </w:rPr>
        <w:t>vie, on the big mothership and all. I’ll be back</w:t>
      </w:r>
      <w:r w:rsidR="003D6328" w:rsidRPr="008A4C82">
        <w:rPr>
          <w:rFonts w:ascii="Calibri" w:hAnsi="Calibri" w:cs="Calibri"/>
          <w:i/>
        </w:rPr>
        <w:t>, I’ll be back.</w:t>
      </w:r>
      <w:r w:rsidR="003D6328" w:rsidRPr="008A4C82">
        <w:rPr>
          <w:rFonts w:ascii="Calibri" w:hAnsi="Calibri" w:cs="Calibri"/>
        </w:rPr>
        <w:t xml:space="preserve">” (Burkeman, 2002). Throughout her sentence, Wuornos argued that she always acted within self </w:t>
      </w:r>
      <w:r w:rsidR="00313EE1" w:rsidRPr="008A4C82">
        <w:rPr>
          <w:rFonts w:ascii="Calibri" w:hAnsi="Calibri" w:cs="Calibri"/>
        </w:rPr>
        <w:t>-</w:t>
      </w:r>
      <w:r w:rsidR="003D6328" w:rsidRPr="008A4C82">
        <w:rPr>
          <w:rFonts w:ascii="Calibri" w:hAnsi="Calibri" w:cs="Calibri"/>
        </w:rPr>
        <w:t xml:space="preserve">defence </w:t>
      </w:r>
      <w:r w:rsidR="00313EE1" w:rsidRPr="008A4C82">
        <w:rPr>
          <w:rFonts w:ascii="Calibri" w:hAnsi="Calibri" w:cs="Calibri"/>
        </w:rPr>
        <w:t>and that she never really wanted to have committed any of the murders (</w:t>
      </w:r>
      <w:r w:rsidR="00C20C47">
        <w:rPr>
          <w:rFonts w:ascii="Calibri" w:hAnsi="Calibri" w:cs="Calibri"/>
        </w:rPr>
        <w:t>Broomfield, N. 2003</w:t>
      </w:r>
      <w:r w:rsidR="00313EE1" w:rsidRPr="008A4C82">
        <w:rPr>
          <w:rFonts w:ascii="Calibri" w:hAnsi="Calibri" w:cs="Calibri"/>
        </w:rPr>
        <w:t>).</w:t>
      </w:r>
    </w:p>
    <w:p w14:paraId="66E45DC9" w14:textId="77777777" w:rsidR="00313EE1" w:rsidRDefault="00313EE1" w:rsidP="008A4C82">
      <w:pPr>
        <w:pStyle w:val="ListParagraph"/>
        <w:spacing w:line="360" w:lineRule="auto"/>
        <w:rPr>
          <w:rFonts w:ascii="Calibri" w:hAnsi="Calibri" w:cs="Calibri"/>
          <w:sz w:val="24"/>
          <w:szCs w:val="24"/>
        </w:rPr>
      </w:pPr>
    </w:p>
    <w:p w14:paraId="6D6D0733" w14:textId="1E8ABAAE" w:rsidR="003D6328" w:rsidRPr="008A4C82" w:rsidRDefault="003D6328" w:rsidP="008A4C82">
      <w:pPr>
        <w:spacing w:line="360" w:lineRule="auto"/>
        <w:rPr>
          <w:rFonts w:ascii="Calibri" w:hAnsi="Calibri" w:cs="Calibri"/>
        </w:rPr>
      </w:pPr>
      <w:r w:rsidRPr="008A4C82">
        <w:rPr>
          <w:rFonts w:ascii="Calibri" w:hAnsi="Calibri" w:cs="Calibri"/>
        </w:rPr>
        <w:t xml:space="preserve">From understanding the background of Wuornos, the </w:t>
      </w:r>
      <w:r w:rsidR="00313EE1" w:rsidRPr="008A4C82">
        <w:rPr>
          <w:rFonts w:ascii="Calibri" w:hAnsi="Calibri" w:cs="Calibri"/>
        </w:rPr>
        <w:t xml:space="preserve">historical </w:t>
      </w:r>
      <w:r w:rsidRPr="008A4C82">
        <w:rPr>
          <w:rFonts w:ascii="Calibri" w:hAnsi="Calibri" w:cs="Calibri"/>
        </w:rPr>
        <w:t xml:space="preserve">theories of Positivism and </w:t>
      </w:r>
      <w:r w:rsidR="00F8242D">
        <w:rPr>
          <w:rFonts w:ascii="Calibri" w:hAnsi="Calibri" w:cs="Calibri"/>
        </w:rPr>
        <w:t>Classicism</w:t>
      </w:r>
      <w:r w:rsidRPr="008A4C82">
        <w:rPr>
          <w:rFonts w:ascii="Calibri" w:hAnsi="Calibri" w:cs="Calibri"/>
        </w:rPr>
        <w:t xml:space="preserve"> </w:t>
      </w:r>
      <w:r w:rsidR="00313EE1" w:rsidRPr="008A4C82">
        <w:rPr>
          <w:rFonts w:ascii="Calibri" w:hAnsi="Calibri" w:cs="Calibri"/>
        </w:rPr>
        <w:t>can now be applied in order to understand their validity to this case example.</w:t>
      </w:r>
    </w:p>
    <w:p w14:paraId="683FEE62" w14:textId="60F37888" w:rsidR="00FE07E2" w:rsidRPr="008A4C82" w:rsidRDefault="00313EE1" w:rsidP="008A4C82">
      <w:pPr>
        <w:spacing w:line="360" w:lineRule="auto"/>
        <w:rPr>
          <w:rFonts w:ascii="Calibri" w:hAnsi="Calibri" w:cs="Calibri"/>
        </w:rPr>
      </w:pPr>
      <w:r w:rsidRPr="008A4C82">
        <w:rPr>
          <w:rFonts w:ascii="Calibri" w:hAnsi="Calibri" w:cs="Calibri"/>
        </w:rPr>
        <w:t xml:space="preserve">When we consider the theories that were developed by that of Cesare Lombroso, we can understand that Lombroso focused a proportion of his time on understanding the ‘Female offender’ and it has already been previously established that he believed that those who were sexually active from an early age, carried out sex work and did not remain submissive to men were of course destined to be criminals. In the case of Wuornos, this could arguably not be a more perfect case example. She was of course sexually active from a young age – whether this was through her own choice or not (given her particular </w:t>
      </w:r>
      <w:r w:rsidR="00FE07E2" w:rsidRPr="008A4C82">
        <w:rPr>
          <w:rFonts w:ascii="Calibri" w:hAnsi="Calibri" w:cs="Calibri"/>
        </w:rPr>
        <w:t xml:space="preserve">hard lifestyle it is perhaps not surprising that she probably did not make this choice), and she was also of course carrying out sex work as her main source of income. Therefore, by applying the work of Lombroso to this case it can be argued that Wuornos was a ‘born criminal’ and it was of course expected that a criminal lifestyle would occur – although the type of crime predicted – </w:t>
      </w:r>
      <w:r w:rsidR="00F8242D">
        <w:rPr>
          <w:rFonts w:ascii="Calibri" w:hAnsi="Calibri" w:cs="Calibri"/>
        </w:rPr>
        <w:t xml:space="preserve">perhaps </w:t>
      </w:r>
      <w:r w:rsidR="00FE07E2" w:rsidRPr="008A4C82">
        <w:rPr>
          <w:rFonts w:ascii="Calibri" w:hAnsi="Calibri" w:cs="Calibri"/>
        </w:rPr>
        <w:t>not so much.</w:t>
      </w:r>
    </w:p>
    <w:p w14:paraId="2D86D3BF" w14:textId="77777777" w:rsidR="00FE07E2" w:rsidRDefault="00FE07E2" w:rsidP="008A4C82">
      <w:pPr>
        <w:pStyle w:val="ListParagraph"/>
        <w:spacing w:line="360" w:lineRule="auto"/>
        <w:rPr>
          <w:rFonts w:ascii="Calibri" w:hAnsi="Calibri" w:cs="Calibri"/>
          <w:sz w:val="24"/>
          <w:szCs w:val="24"/>
        </w:rPr>
      </w:pPr>
    </w:p>
    <w:p w14:paraId="04BAC2AF" w14:textId="79F54B58" w:rsidR="00313EE1" w:rsidRPr="008A4C82" w:rsidRDefault="00FE07E2" w:rsidP="008A4C82">
      <w:pPr>
        <w:spacing w:line="360" w:lineRule="auto"/>
        <w:rPr>
          <w:rFonts w:ascii="Calibri" w:hAnsi="Calibri" w:cs="Calibri"/>
        </w:rPr>
      </w:pPr>
      <w:r w:rsidRPr="008A4C82">
        <w:rPr>
          <w:rFonts w:ascii="Calibri" w:hAnsi="Calibri" w:cs="Calibri"/>
        </w:rPr>
        <w:t xml:space="preserve">However, on the other hand, when it comes to applying the work of Bentham and the historical </w:t>
      </w:r>
      <w:r w:rsidR="00F8242D">
        <w:rPr>
          <w:rFonts w:ascii="Calibri" w:hAnsi="Calibri" w:cs="Calibri"/>
        </w:rPr>
        <w:t>classicism</w:t>
      </w:r>
      <w:r w:rsidRPr="008A4C82">
        <w:rPr>
          <w:rFonts w:ascii="Calibri" w:hAnsi="Calibri" w:cs="Calibri"/>
        </w:rPr>
        <w:t xml:space="preserve"> theory there are some differences. For Bentham, he clearly established that crime was based on choice and that the punishment that was given in response was to be equal in proportionate to the crime but was also to be able to rehabilitate the offender and be able to eventually reintegrate them into society. Applying this to the case of Wuornos is certainly interesting. In the documentary ‘</w:t>
      </w:r>
      <w:r w:rsidRPr="008A4C82">
        <w:rPr>
          <w:rFonts w:ascii="Calibri" w:hAnsi="Calibri" w:cs="Calibri"/>
          <w:i/>
        </w:rPr>
        <w:t>Aileen: Life and Death of a Serial Killer’</w:t>
      </w:r>
      <w:r w:rsidRPr="008A4C82">
        <w:rPr>
          <w:rFonts w:ascii="Calibri" w:hAnsi="Calibri" w:cs="Calibri"/>
        </w:rPr>
        <w:t xml:space="preserve"> she confesses to committing the crimes but argues that she did so because she was acting in self- defence. Therefore, under Bentham’s theory, Wuornos </w:t>
      </w:r>
      <w:r w:rsidR="00F8242D">
        <w:rPr>
          <w:rFonts w:ascii="Calibri" w:hAnsi="Calibri" w:cs="Calibri"/>
        </w:rPr>
        <w:t xml:space="preserve">surely </w:t>
      </w:r>
      <w:r w:rsidRPr="008A4C82">
        <w:rPr>
          <w:rFonts w:ascii="Calibri" w:hAnsi="Calibri" w:cs="Calibri"/>
        </w:rPr>
        <w:t>should have not received the death penalty for the crimes she committed if they really were done so out of self -defence</w:t>
      </w:r>
      <w:r w:rsidR="00F8242D">
        <w:rPr>
          <w:rFonts w:ascii="Calibri" w:hAnsi="Calibri" w:cs="Calibri"/>
        </w:rPr>
        <w:t>?</w:t>
      </w:r>
      <w:r w:rsidRPr="008A4C82">
        <w:rPr>
          <w:rFonts w:ascii="Calibri" w:hAnsi="Calibri" w:cs="Calibri"/>
        </w:rPr>
        <w:t xml:space="preserve"> </w:t>
      </w:r>
      <w:r w:rsidR="002F52E9" w:rsidRPr="008A4C82">
        <w:rPr>
          <w:rFonts w:ascii="Calibri" w:hAnsi="Calibri" w:cs="Calibri"/>
        </w:rPr>
        <w:t xml:space="preserve">She should have received a punishment in proportionate to the crimes and then </w:t>
      </w:r>
      <w:r w:rsidR="002F52E9" w:rsidRPr="008A4C82">
        <w:rPr>
          <w:rFonts w:ascii="Calibri" w:hAnsi="Calibri" w:cs="Calibri"/>
        </w:rPr>
        <w:lastRenderedPageBreak/>
        <w:t>eventually been released back into society where it was going to be a possibility that the crime would not be committed again.</w:t>
      </w:r>
      <w:r w:rsidR="002A6C85" w:rsidRPr="008A4C82">
        <w:rPr>
          <w:rFonts w:ascii="Calibri" w:hAnsi="Calibri" w:cs="Calibri"/>
        </w:rPr>
        <w:t xml:space="preserve"> Although within the same documentary, Wuornos who had previously admitted to acting in self-defence a</w:t>
      </w:r>
      <w:r w:rsidR="00051B88" w:rsidRPr="008A4C82">
        <w:rPr>
          <w:rFonts w:ascii="Calibri" w:hAnsi="Calibri" w:cs="Calibri"/>
        </w:rPr>
        <w:t>lso said that she had been set up by the police and that she wanted to kill the men (</w:t>
      </w:r>
      <w:r w:rsidR="00195F9D">
        <w:rPr>
          <w:rFonts w:ascii="Calibri" w:hAnsi="Calibri" w:cs="Calibri"/>
        </w:rPr>
        <w:t>Broomfield, N. 2003</w:t>
      </w:r>
      <w:r w:rsidR="00815A72" w:rsidRPr="008A4C82">
        <w:rPr>
          <w:rFonts w:ascii="Calibri" w:hAnsi="Calibri" w:cs="Calibri"/>
        </w:rPr>
        <w:t xml:space="preserve">) </w:t>
      </w:r>
      <w:r w:rsidR="00C10057" w:rsidRPr="008A4C82">
        <w:rPr>
          <w:rFonts w:ascii="Calibri" w:hAnsi="Calibri" w:cs="Calibri"/>
        </w:rPr>
        <w:t>for that reason it could be then argued that Bentham and his theory was correct and she did in fact deserve to be sent to death row – if that was the perceived equivalent punishment?</w:t>
      </w:r>
    </w:p>
    <w:p w14:paraId="60D7DD6C" w14:textId="54566A59" w:rsidR="002F52E9" w:rsidRDefault="002F52E9" w:rsidP="008A4C82">
      <w:pPr>
        <w:pStyle w:val="ListParagraph"/>
        <w:spacing w:line="360" w:lineRule="auto"/>
        <w:rPr>
          <w:rFonts w:ascii="Calibri" w:hAnsi="Calibri" w:cs="Calibri"/>
          <w:sz w:val="24"/>
          <w:szCs w:val="24"/>
        </w:rPr>
      </w:pPr>
    </w:p>
    <w:p w14:paraId="123ACAAD" w14:textId="05FF089D" w:rsidR="002F52E9" w:rsidRPr="008A4C82" w:rsidRDefault="002F52E9" w:rsidP="008A4C82">
      <w:pPr>
        <w:spacing w:line="360" w:lineRule="auto"/>
        <w:rPr>
          <w:rFonts w:ascii="Calibri" w:hAnsi="Calibri" w:cs="Calibri"/>
        </w:rPr>
      </w:pPr>
      <w:r w:rsidRPr="008A4C82">
        <w:rPr>
          <w:rFonts w:ascii="Calibri" w:hAnsi="Calibri" w:cs="Calibri"/>
        </w:rPr>
        <w:t xml:space="preserve">Whilst both historical theories can be applied to this case, there are limitations to both that need to be considered and should be expected given that </w:t>
      </w:r>
      <w:r w:rsidR="00FB5747" w:rsidRPr="008A4C82">
        <w:rPr>
          <w:rFonts w:ascii="Calibri" w:hAnsi="Calibri" w:cs="Calibri"/>
        </w:rPr>
        <w:t xml:space="preserve">there </w:t>
      </w:r>
      <w:r w:rsidR="000C4D2D" w:rsidRPr="008A4C82">
        <w:rPr>
          <w:rFonts w:ascii="Calibri" w:hAnsi="Calibri" w:cs="Calibri"/>
        </w:rPr>
        <w:t>have</w:t>
      </w:r>
      <w:r w:rsidR="00FB5747" w:rsidRPr="008A4C82">
        <w:rPr>
          <w:rFonts w:ascii="Calibri" w:hAnsi="Calibri" w:cs="Calibri"/>
        </w:rPr>
        <w:t xml:space="preserve"> been numerous developments to each </w:t>
      </w:r>
      <w:r w:rsidR="000C4D2D" w:rsidRPr="008A4C82">
        <w:rPr>
          <w:rFonts w:ascii="Calibri" w:hAnsi="Calibri" w:cs="Calibri"/>
        </w:rPr>
        <w:t>theory</w:t>
      </w:r>
      <w:r w:rsidR="00FB5747" w:rsidRPr="008A4C82">
        <w:rPr>
          <w:rFonts w:ascii="Calibri" w:hAnsi="Calibri" w:cs="Calibri"/>
        </w:rPr>
        <w:t xml:space="preserve"> since they were first published.</w:t>
      </w:r>
    </w:p>
    <w:p w14:paraId="6469DE90" w14:textId="4C8C1832" w:rsidR="008F160A" w:rsidRDefault="008F160A" w:rsidP="008A4C82">
      <w:pPr>
        <w:pStyle w:val="ListParagraph"/>
        <w:spacing w:line="360" w:lineRule="auto"/>
        <w:rPr>
          <w:rFonts w:ascii="Calibri" w:hAnsi="Calibri" w:cs="Calibri"/>
          <w:sz w:val="24"/>
          <w:szCs w:val="24"/>
        </w:rPr>
      </w:pPr>
    </w:p>
    <w:p w14:paraId="358926DB" w14:textId="23FA13AD" w:rsidR="008F160A" w:rsidRPr="008A4C82" w:rsidRDefault="008F160A" w:rsidP="008A4C82">
      <w:pPr>
        <w:spacing w:line="360" w:lineRule="auto"/>
        <w:rPr>
          <w:rFonts w:ascii="Calibri" w:hAnsi="Calibri" w:cs="Calibri"/>
        </w:rPr>
      </w:pPr>
      <w:r w:rsidRPr="008A4C82">
        <w:rPr>
          <w:rFonts w:ascii="Calibri" w:hAnsi="Calibri" w:cs="Calibri"/>
        </w:rPr>
        <w:t xml:space="preserve">Positivism has developed a lot since the ideas of Lombroso were first brought into </w:t>
      </w:r>
      <w:r w:rsidR="00A65A69" w:rsidRPr="008A4C82">
        <w:rPr>
          <w:rFonts w:ascii="Calibri" w:hAnsi="Calibri" w:cs="Calibri"/>
        </w:rPr>
        <w:t xml:space="preserve">society. Given that when Lombroso’s ideas were developed </w:t>
      </w:r>
      <w:r w:rsidR="009302D4" w:rsidRPr="008A4C82">
        <w:rPr>
          <w:rFonts w:ascii="Calibri" w:hAnsi="Calibri" w:cs="Calibri"/>
        </w:rPr>
        <w:t xml:space="preserve">during a time within society that just </w:t>
      </w:r>
      <w:r w:rsidR="00157F85" w:rsidRPr="008A4C82">
        <w:rPr>
          <w:rFonts w:ascii="Calibri" w:hAnsi="Calibri" w:cs="Calibri"/>
        </w:rPr>
        <w:t>took observations and measures in order to produce facts and did not consider other contributing factors that could have a further impact on the study. Whereas in contemporary society, positivism has now arguably been developed into what is now ‘Critical Realism’</w:t>
      </w:r>
      <w:r w:rsidR="005000EB" w:rsidRPr="008A4C82">
        <w:rPr>
          <w:rFonts w:ascii="Calibri" w:hAnsi="Calibri" w:cs="Calibri"/>
        </w:rPr>
        <w:t>. Critical Realism still basis its theory on scientific methods but also draws upon elements that can understand that the theory developed could be fallible or has room for error</w:t>
      </w:r>
      <w:r w:rsidR="007D5A76" w:rsidRPr="008A4C82">
        <w:rPr>
          <w:rFonts w:ascii="Calibri" w:hAnsi="Calibri" w:cs="Calibri"/>
        </w:rPr>
        <w:t xml:space="preserve"> (Trochim, </w:t>
      </w:r>
      <w:r w:rsidR="00633E32" w:rsidRPr="008A4C82">
        <w:rPr>
          <w:rFonts w:ascii="Calibri" w:hAnsi="Calibri" w:cs="Calibri"/>
        </w:rPr>
        <w:t>2020)</w:t>
      </w:r>
      <w:r w:rsidR="005000EB" w:rsidRPr="008A4C82">
        <w:rPr>
          <w:rFonts w:ascii="Calibri" w:hAnsi="Calibri" w:cs="Calibri"/>
        </w:rPr>
        <w:t xml:space="preserve">. Therefore, from understanding this change and development within the positivist theory it can be argued with the Wuornos case that </w:t>
      </w:r>
      <w:r w:rsidR="007D5A76" w:rsidRPr="008A4C82">
        <w:rPr>
          <w:rFonts w:ascii="Calibri" w:hAnsi="Calibri" w:cs="Calibri"/>
        </w:rPr>
        <w:t>she was not a born criminal she had other contributing factors such as the environment adding to her behaviour and for that reason Lombroso theory cannot fit her case study.</w:t>
      </w:r>
    </w:p>
    <w:p w14:paraId="0D84398E" w14:textId="24A0B2FC" w:rsidR="008F160A" w:rsidRDefault="008F160A" w:rsidP="008A4C82">
      <w:pPr>
        <w:pStyle w:val="ListParagraph"/>
        <w:spacing w:line="360" w:lineRule="auto"/>
        <w:rPr>
          <w:rFonts w:ascii="Calibri" w:hAnsi="Calibri" w:cs="Calibri"/>
          <w:sz w:val="24"/>
          <w:szCs w:val="24"/>
        </w:rPr>
      </w:pPr>
    </w:p>
    <w:p w14:paraId="43FF4271" w14:textId="3ABD8D01" w:rsidR="008F160A" w:rsidRPr="008A4C82" w:rsidRDefault="008F160A" w:rsidP="008A4C82">
      <w:pPr>
        <w:spacing w:line="360" w:lineRule="auto"/>
        <w:rPr>
          <w:rFonts w:ascii="Calibri" w:hAnsi="Calibri" w:cs="Calibri"/>
        </w:rPr>
      </w:pPr>
      <w:r w:rsidRPr="008A4C82">
        <w:rPr>
          <w:rFonts w:ascii="Calibri" w:hAnsi="Calibri" w:cs="Calibri"/>
        </w:rPr>
        <w:t xml:space="preserve">The same can be said for </w:t>
      </w:r>
      <w:r w:rsidR="00F8242D">
        <w:rPr>
          <w:rFonts w:ascii="Calibri" w:hAnsi="Calibri" w:cs="Calibri"/>
        </w:rPr>
        <w:t>Classicism</w:t>
      </w:r>
      <w:r w:rsidRPr="008A4C82">
        <w:rPr>
          <w:rFonts w:ascii="Calibri" w:hAnsi="Calibri" w:cs="Calibri"/>
        </w:rPr>
        <w:t xml:space="preserve"> which has now developed further </w:t>
      </w:r>
      <w:r w:rsidR="007B7D97" w:rsidRPr="008A4C82">
        <w:rPr>
          <w:rFonts w:ascii="Calibri" w:hAnsi="Calibri" w:cs="Calibri"/>
        </w:rPr>
        <w:t xml:space="preserve">into what is now known as ‘Neo-Classicism’ </w:t>
      </w:r>
      <w:r w:rsidRPr="008A4C82">
        <w:rPr>
          <w:rFonts w:ascii="Calibri" w:hAnsi="Calibri" w:cs="Calibri"/>
        </w:rPr>
        <w:t xml:space="preserve">and adds upon Bentham’s argument that crime </w:t>
      </w:r>
      <w:r w:rsidR="007B7D97" w:rsidRPr="008A4C82">
        <w:rPr>
          <w:rFonts w:ascii="Calibri" w:hAnsi="Calibri" w:cs="Calibri"/>
        </w:rPr>
        <w:t xml:space="preserve">is a rational choice and that the individual will commit the crime if they believe that the risk of getting </w:t>
      </w:r>
      <w:r w:rsidR="000F2282" w:rsidRPr="008A4C82">
        <w:rPr>
          <w:rFonts w:ascii="Calibri" w:hAnsi="Calibri" w:cs="Calibri"/>
        </w:rPr>
        <w:t xml:space="preserve">caught is minimalistic. It is also argued under the principal of ‘Neo-Classicism’ that punishment should be reinforced further in relation to the crime committed, the main difference between neo-classicism and utilitarianism would appear to be </w:t>
      </w:r>
      <w:r w:rsidR="000D6E40" w:rsidRPr="008A4C82">
        <w:rPr>
          <w:rFonts w:ascii="Calibri" w:hAnsi="Calibri" w:cs="Calibri"/>
        </w:rPr>
        <w:t xml:space="preserve">the difference in punishment, the same theory on how the crime would be committed still stands however there appears to be a slight difference in the way that the individual should be treated thereafter. In terms of Aileen Wuornos, the modern developments to </w:t>
      </w:r>
      <w:r w:rsidR="00195F9D">
        <w:rPr>
          <w:rFonts w:ascii="Calibri" w:hAnsi="Calibri" w:cs="Calibri"/>
        </w:rPr>
        <w:t>Classicism</w:t>
      </w:r>
      <w:r w:rsidR="000D6E40" w:rsidRPr="008A4C82">
        <w:rPr>
          <w:rFonts w:ascii="Calibri" w:hAnsi="Calibri" w:cs="Calibri"/>
        </w:rPr>
        <w:t xml:space="preserve"> would be </w:t>
      </w:r>
      <w:r w:rsidR="000D6E40" w:rsidRPr="008A4C82">
        <w:rPr>
          <w:rFonts w:ascii="Calibri" w:hAnsi="Calibri" w:cs="Calibri"/>
        </w:rPr>
        <w:lastRenderedPageBreak/>
        <w:t>possibly more applicable as the Murders that Wuornos were committed were out of sight and she believed nobody would be watching or suspect her even due to the sex work that she carried out.</w:t>
      </w:r>
    </w:p>
    <w:p w14:paraId="43782004" w14:textId="72710F65" w:rsidR="008F160A" w:rsidRDefault="008F160A" w:rsidP="008A4C82">
      <w:pPr>
        <w:pStyle w:val="ListParagraph"/>
        <w:spacing w:line="360" w:lineRule="auto"/>
        <w:rPr>
          <w:rFonts w:ascii="Calibri" w:hAnsi="Calibri" w:cs="Calibri"/>
          <w:sz w:val="24"/>
          <w:szCs w:val="24"/>
        </w:rPr>
      </w:pPr>
    </w:p>
    <w:p w14:paraId="73622109" w14:textId="174061BA" w:rsidR="00C5274E" w:rsidRPr="008A4C82" w:rsidRDefault="008F160A" w:rsidP="008A4C82">
      <w:pPr>
        <w:spacing w:line="360" w:lineRule="auto"/>
        <w:rPr>
          <w:rFonts w:ascii="Calibri" w:hAnsi="Calibri" w:cs="Calibri"/>
        </w:rPr>
      </w:pPr>
      <w:r w:rsidRPr="008A4C82">
        <w:rPr>
          <w:rFonts w:ascii="Calibri" w:hAnsi="Calibri" w:cs="Calibri"/>
        </w:rPr>
        <w:t xml:space="preserve">In conclusion, this essay has been able to highlight that </w:t>
      </w:r>
      <w:r w:rsidR="00191F42" w:rsidRPr="008A4C82">
        <w:rPr>
          <w:rFonts w:ascii="Calibri" w:hAnsi="Calibri" w:cs="Calibri"/>
        </w:rPr>
        <w:t xml:space="preserve">the historical theories of Biological positivism and </w:t>
      </w:r>
      <w:r w:rsidR="00F8242D">
        <w:rPr>
          <w:rFonts w:ascii="Calibri" w:hAnsi="Calibri" w:cs="Calibri"/>
        </w:rPr>
        <w:t>Classicism</w:t>
      </w:r>
      <w:r w:rsidR="00191F42" w:rsidRPr="008A4C82">
        <w:rPr>
          <w:rFonts w:ascii="Calibri" w:hAnsi="Calibri" w:cs="Calibri"/>
        </w:rPr>
        <w:t xml:space="preserve"> whilst having some ability to be applied to a modern case study, do still have large gaps that need addressing. From discussing the more up to date versions of these theories it is easy to see how this can occur. </w:t>
      </w:r>
      <w:r w:rsidR="00C87FCD" w:rsidRPr="008A4C82">
        <w:rPr>
          <w:rFonts w:ascii="Calibri" w:hAnsi="Calibri" w:cs="Calibri"/>
        </w:rPr>
        <w:t>When understanding</w:t>
      </w:r>
      <w:r w:rsidR="00C5274E" w:rsidRPr="008A4C82">
        <w:rPr>
          <w:rFonts w:ascii="Calibri" w:hAnsi="Calibri" w:cs="Calibri"/>
        </w:rPr>
        <w:t xml:space="preserve"> the background to Aileen Wuornos and how complex of her life was, it doesn’t seem fair to be applying the theories of Lombroso and taking away from it that she was destined to be a criminal just because she lived a life that was different from what the ‘norm’ of society would consider. It is also a similar argument that can be said for the theory of </w:t>
      </w:r>
      <w:r w:rsidR="00F8242D">
        <w:rPr>
          <w:rFonts w:ascii="Calibri" w:hAnsi="Calibri" w:cs="Calibri"/>
        </w:rPr>
        <w:t>Classicism</w:t>
      </w:r>
      <w:r w:rsidR="00C5274E" w:rsidRPr="008A4C82">
        <w:rPr>
          <w:rFonts w:ascii="Calibri" w:hAnsi="Calibri" w:cs="Calibri"/>
        </w:rPr>
        <w:t xml:space="preserve">, due to this having the idea of it being down to the choice of the individual, if Wuornos was acting out of self-defence then surely the theory of </w:t>
      </w:r>
      <w:r w:rsidR="00E335DC">
        <w:rPr>
          <w:rFonts w:ascii="Calibri" w:hAnsi="Calibri" w:cs="Calibri"/>
        </w:rPr>
        <w:t>Classicism</w:t>
      </w:r>
      <w:r w:rsidR="00C5274E" w:rsidRPr="008A4C82">
        <w:rPr>
          <w:rFonts w:ascii="Calibri" w:hAnsi="Calibri" w:cs="Calibri"/>
        </w:rPr>
        <w:t xml:space="preserve"> does not stand?</w:t>
      </w:r>
    </w:p>
    <w:p w14:paraId="63313AA1" w14:textId="5976FEE7" w:rsidR="00C5274E" w:rsidRDefault="00C5274E" w:rsidP="008A4C82">
      <w:pPr>
        <w:spacing w:line="360" w:lineRule="auto"/>
        <w:rPr>
          <w:rFonts w:ascii="Calibri" w:hAnsi="Calibri" w:cs="Calibri"/>
        </w:rPr>
      </w:pPr>
      <w:r w:rsidRPr="008A4C82">
        <w:rPr>
          <w:rFonts w:ascii="Calibri" w:hAnsi="Calibri" w:cs="Calibri"/>
        </w:rPr>
        <w:t>Whatever way you decide to look at the theories and the case example, there are flaws within both which is expected given the different time constraints, although it is important to note the similarities that were noted as this shows the theories despite being outdated do still hold some credibility albeit little credibility.</w:t>
      </w:r>
    </w:p>
    <w:p w14:paraId="451DD0F0" w14:textId="23E56C0B" w:rsidR="00044370" w:rsidRDefault="00044370" w:rsidP="008A4C82">
      <w:pPr>
        <w:spacing w:line="360" w:lineRule="auto"/>
        <w:rPr>
          <w:rFonts w:ascii="Calibri" w:hAnsi="Calibri" w:cs="Calibri"/>
        </w:rPr>
      </w:pPr>
    </w:p>
    <w:p w14:paraId="336EA834" w14:textId="3737B44C" w:rsidR="00044370" w:rsidRDefault="00044370" w:rsidP="008A4C82">
      <w:pPr>
        <w:spacing w:line="360" w:lineRule="auto"/>
        <w:rPr>
          <w:rFonts w:ascii="Calibri" w:hAnsi="Calibri" w:cs="Calibri"/>
        </w:rPr>
      </w:pPr>
    </w:p>
    <w:p w14:paraId="6F0CA68A" w14:textId="535E01A7" w:rsidR="00044370" w:rsidRDefault="00044370" w:rsidP="008A4C82">
      <w:pPr>
        <w:spacing w:line="360" w:lineRule="auto"/>
        <w:rPr>
          <w:rFonts w:ascii="Calibri" w:hAnsi="Calibri" w:cs="Calibri"/>
        </w:rPr>
      </w:pPr>
    </w:p>
    <w:p w14:paraId="587257E1" w14:textId="35A24860" w:rsidR="00044370" w:rsidRDefault="00044370" w:rsidP="008A4C82">
      <w:pPr>
        <w:spacing w:line="360" w:lineRule="auto"/>
        <w:rPr>
          <w:rFonts w:ascii="Calibri" w:hAnsi="Calibri" w:cs="Calibri"/>
        </w:rPr>
      </w:pPr>
    </w:p>
    <w:p w14:paraId="2DBF6B76" w14:textId="238A4684" w:rsidR="00044370" w:rsidRDefault="00044370" w:rsidP="008A4C82">
      <w:pPr>
        <w:spacing w:line="360" w:lineRule="auto"/>
        <w:rPr>
          <w:rFonts w:ascii="Calibri" w:hAnsi="Calibri" w:cs="Calibri"/>
        </w:rPr>
      </w:pPr>
    </w:p>
    <w:p w14:paraId="0ABFF5B8" w14:textId="01425D6D" w:rsidR="00044370" w:rsidRDefault="00044370" w:rsidP="008A4C82">
      <w:pPr>
        <w:spacing w:line="360" w:lineRule="auto"/>
        <w:rPr>
          <w:rFonts w:ascii="Calibri" w:hAnsi="Calibri" w:cs="Calibri"/>
        </w:rPr>
      </w:pPr>
    </w:p>
    <w:p w14:paraId="6A06E04F" w14:textId="24D81C01" w:rsidR="00044370" w:rsidRDefault="00044370" w:rsidP="008A4C82">
      <w:pPr>
        <w:spacing w:line="360" w:lineRule="auto"/>
        <w:rPr>
          <w:rFonts w:ascii="Calibri" w:hAnsi="Calibri" w:cs="Calibri"/>
        </w:rPr>
      </w:pPr>
    </w:p>
    <w:p w14:paraId="11B7277C" w14:textId="3A7280B6" w:rsidR="00044370" w:rsidRDefault="00044370" w:rsidP="008A4C82">
      <w:pPr>
        <w:spacing w:line="360" w:lineRule="auto"/>
        <w:rPr>
          <w:rFonts w:ascii="Calibri" w:hAnsi="Calibri" w:cs="Calibri"/>
        </w:rPr>
      </w:pPr>
    </w:p>
    <w:p w14:paraId="55C09697" w14:textId="585DFBD7" w:rsidR="00044370" w:rsidRDefault="00044370" w:rsidP="008A4C82">
      <w:pPr>
        <w:spacing w:line="360" w:lineRule="auto"/>
        <w:rPr>
          <w:rFonts w:ascii="Calibri" w:hAnsi="Calibri" w:cs="Calibri"/>
        </w:rPr>
      </w:pPr>
    </w:p>
    <w:p w14:paraId="12610E4E" w14:textId="77777777" w:rsidR="001D737A" w:rsidRDefault="001D737A" w:rsidP="001D737A">
      <w:pPr>
        <w:spacing w:line="360" w:lineRule="auto"/>
        <w:rPr>
          <w:rFonts w:ascii="Calibri" w:hAnsi="Calibri" w:cs="Calibri"/>
        </w:rPr>
      </w:pPr>
    </w:p>
    <w:p w14:paraId="2ECED859" w14:textId="77777777" w:rsidR="00E335DC" w:rsidRDefault="00E335DC" w:rsidP="001D737A">
      <w:pPr>
        <w:spacing w:line="360" w:lineRule="auto"/>
        <w:rPr>
          <w:rFonts w:ascii="Calibri" w:hAnsi="Calibri" w:cs="Calibri"/>
          <w:u w:val="single"/>
        </w:rPr>
      </w:pPr>
    </w:p>
    <w:p w14:paraId="7AF6BB70" w14:textId="77777777" w:rsidR="004E595F" w:rsidRDefault="004E595F" w:rsidP="001D737A">
      <w:pPr>
        <w:spacing w:line="360" w:lineRule="auto"/>
        <w:rPr>
          <w:rFonts w:ascii="Calibri" w:hAnsi="Calibri" w:cs="Calibri"/>
          <w:u w:val="single"/>
        </w:rPr>
      </w:pPr>
    </w:p>
    <w:p w14:paraId="192ADAFF" w14:textId="77777777" w:rsidR="004E595F" w:rsidRDefault="004E595F" w:rsidP="001D737A">
      <w:pPr>
        <w:spacing w:line="360" w:lineRule="auto"/>
        <w:rPr>
          <w:rFonts w:ascii="Calibri" w:hAnsi="Calibri" w:cs="Calibri"/>
          <w:u w:val="single"/>
        </w:rPr>
      </w:pPr>
    </w:p>
    <w:p w14:paraId="163F7D95" w14:textId="77777777" w:rsidR="004E595F" w:rsidRDefault="004E595F" w:rsidP="001D737A">
      <w:pPr>
        <w:spacing w:line="360" w:lineRule="auto"/>
        <w:rPr>
          <w:rFonts w:ascii="Calibri" w:hAnsi="Calibri" w:cs="Calibri"/>
          <w:u w:val="single"/>
        </w:rPr>
      </w:pPr>
    </w:p>
    <w:p w14:paraId="339669A7" w14:textId="1CC174E1" w:rsidR="004E595F" w:rsidRPr="008C6A2C" w:rsidRDefault="00044370" w:rsidP="001D737A">
      <w:pPr>
        <w:spacing w:line="360" w:lineRule="auto"/>
        <w:rPr>
          <w:rFonts w:ascii="Calibri" w:hAnsi="Calibri" w:cs="Calibri"/>
          <w:u w:val="single"/>
        </w:rPr>
      </w:pPr>
      <w:r w:rsidRPr="00044370">
        <w:rPr>
          <w:rFonts w:ascii="Calibri" w:hAnsi="Calibri" w:cs="Calibri"/>
          <w:u w:val="single"/>
        </w:rPr>
        <w:lastRenderedPageBreak/>
        <w:t>Reference List</w:t>
      </w:r>
      <w:bookmarkStart w:id="0" w:name="_GoBack"/>
      <w:bookmarkEnd w:id="0"/>
    </w:p>
    <w:p w14:paraId="5C83FA9F" w14:textId="77777777" w:rsidR="008C6A2C" w:rsidRPr="00BC06EE" w:rsidRDefault="008C6A2C" w:rsidP="001D737A">
      <w:pPr>
        <w:pStyle w:val="dx-doi"/>
        <w:spacing w:before="0" w:after="0" w:line="360" w:lineRule="auto"/>
        <w:rPr>
          <w:rFonts w:ascii="Calibri" w:hAnsi="Calibri" w:cs="Calibri"/>
          <w:color w:val="000000" w:themeColor="text1"/>
        </w:rPr>
      </w:pPr>
      <w:r w:rsidRPr="00BC06EE">
        <w:rPr>
          <w:rFonts w:ascii="Calibri" w:hAnsi="Calibri" w:cs="Calibri"/>
          <w:color w:val="000000" w:themeColor="text1"/>
        </w:rPr>
        <w:t xml:space="preserve">Broomfield, N (2003). </w:t>
      </w:r>
      <w:r w:rsidRPr="00BC06EE">
        <w:rPr>
          <w:rFonts w:ascii="Calibri" w:hAnsi="Calibri" w:cs="Calibri"/>
          <w:i/>
          <w:color w:val="000000" w:themeColor="text1"/>
        </w:rPr>
        <w:t>Aileen: Life and Death of a serial killer</w:t>
      </w:r>
      <w:r w:rsidRPr="00BC06EE">
        <w:rPr>
          <w:rFonts w:ascii="Calibri" w:hAnsi="Calibri" w:cs="Calibri"/>
          <w:color w:val="000000" w:themeColor="text1"/>
        </w:rPr>
        <w:t xml:space="preserve">. Amazon Prime Streaming Service. Retrieved from: </w:t>
      </w:r>
      <w:hyperlink r:id="rId7" w:history="1">
        <w:r w:rsidRPr="00BC06EE">
          <w:rPr>
            <w:rStyle w:val="Hyperlink"/>
            <w:rFonts w:ascii="Calibri" w:hAnsi="Calibri" w:cs="Calibri"/>
            <w:color w:val="000000" w:themeColor="text1"/>
          </w:rPr>
          <w:t>https://www.amazon.co.uk/Aileen-Life-Death-Serial-Killer/dp/B07M727G9Q/ref=sr_1_1?crid=140TGRCIBOVK5&amp;keywords=aileen+wuornos&amp;qid=1584126258&amp;s=instant-video&amp;sprefix=aileen+w%2Cprime-instant-video%2C156&amp;sr=1-1</w:t>
        </w:r>
      </w:hyperlink>
      <w:r w:rsidRPr="00BC06EE">
        <w:rPr>
          <w:rFonts w:ascii="Calibri" w:hAnsi="Calibri" w:cs="Calibri"/>
          <w:color w:val="000000" w:themeColor="text1"/>
        </w:rPr>
        <w:t xml:space="preserve">. (Accessed 11/03/2020). </w:t>
      </w:r>
    </w:p>
    <w:p w14:paraId="4E329A93" w14:textId="77777777" w:rsidR="008C6A2C" w:rsidRPr="00BC06EE" w:rsidRDefault="008C6A2C" w:rsidP="001D737A">
      <w:pPr>
        <w:spacing w:line="360" w:lineRule="auto"/>
        <w:rPr>
          <w:rFonts w:ascii="Calibri" w:hAnsi="Calibri" w:cs="Calibri"/>
          <w:color w:val="000000" w:themeColor="text1"/>
        </w:rPr>
      </w:pPr>
      <w:r w:rsidRPr="00BC06EE">
        <w:rPr>
          <w:rFonts w:ascii="Calibri" w:hAnsi="Calibri" w:cs="Calibri"/>
          <w:color w:val="000000" w:themeColor="text1"/>
        </w:rPr>
        <w:t xml:space="preserve">Brown, C.W. (2014). </w:t>
      </w:r>
      <w:r w:rsidRPr="00BC06EE">
        <w:rPr>
          <w:rFonts w:ascii="Calibri" w:hAnsi="Calibri" w:cs="Calibri"/>
          <w:i/>
          <w:color w:val="000000" w:themeColor="text1"/>
        </w:rPr>
        <w:t>Violence in Medieval Europe</w:t>
      </w:r>
      <w:r w:rsidRPr="00BC06EE">
        <w:rPr>
          <w:rFonts w:ascii="Calibri" w:hAnsi="Calibri" w:cs="Calibri"/>
          <w:color w:val="000000" w:themeColor="text1"/>
        </w:rPr>
        <w:t>. Routledge, pp. 1-6.</w:t>
      </w:r>
    </w:p>
    <w:p w14:paraId="0660DA10" w14:textId="77777777" w:rsidR="008C6A2C" w:rsidRPr="00BC06EE" w:rsidRDefault="008C6A2C" w:rsidP="001D737A">
      <w:pPr>
        <w:spacing w:line="360" w:lineRule="auto"/>
        <w:rPr>
          <w:rFonts w:ascii="Calibri" w:hAnsi="Calibri" w:cs="Calibri"/>
          <w:color w:val="000000" w:themeColor="text1"/>
        </w:rPr>
      </w:pPr>
      <w:r w:rsidRPr="00BC06EE">
        <w:rPr>
          <w:rFonts w:ascii="Calibri" w:hAnsi="Calibri" w:cs="Calibri"/>
          <w:color w:val="000000" w:themeColor="text1"/>
        </w:rPr>
        <w:t xml:space="preserve">Brown, D.B., Loomba-Albrecht. A.L. &amp; Bremer, A.A. (2013). Sexual precocity and its treatment. World Journal of Paediatrics, Volume 9. Pp. 103-111. Retrieved from: </w:t>
      </w:r>
      <w:hyperlink r:id="rId8" w:history="1">
        <w:r w:rsidRPr="00BC06EE">
          <w:rPr>
            <w:rStyle w:val="Hyperlink"/>
            <w:rFonts w:ascii="Calibri" w:hAnsi="Calibri" w:cs="Calibri"/>
            <w:color w:val="000000" w:themeColor="text1"/>
          </w:rPr>
          <w:t>https://link.springer.com/article/10.1007/s12519-013-0411-7</w:t>
        </w:r>
      </w:hyperlink>
      <w:r w:rsidRPr="00BC06EE">
        <w:rPr>
          <w:rFonts w:ascii="Calibri" w:hAnsi="Calibri" w:cs="Calibri"/>
          <w:color w:val="000000" w:themeColor="text1"/>
        </w:rPr>
        <w:t xml:space="preserve"> (Accessed 10/03/2020).</w:t>
      </w:r>
    </w:p>
    <w:p w14:paraId="4C9A576D" w14:textId="77777777" w:rsidR="008C6A2C" w:rsidRPr="00BC06EE" w:rsidRDefault="008C6A2C" w:rsidP="001D737A">
      <w:pPr>
        <w:pStyle w:val="dx-doi"/>
        <w:spacing w:before="0" w:after="0" w:line="360" w:lineRule="auto"/>
        <w:rPr>
          <w:rFonts w:ascii="Calibri" w:hAnsi="Calibri" w:cs="Calibri"/>
          <w:color w:val="000000" w:themeColor="text1"/>
        </w:rPr>
      </w:pPr>
      <w:r w:rsidRPr="00BC06EE">
        <w:rPr>
          <w:rFonts w:ascii="Calibri" w:hAnsi="Calibri" w:cs="Calibri"/>
          <w:color w:val="000000" w:themeColor="text1"/>
        </w:rPr>
        <w:t xml:space="preserve">Burkeman, O. (2002). Florida executes woman serial killer. Retrieved from: </w:t>
      </w:r>
      <w:hyperlink r:id="rId9" w:history="1">
        <w:r w:rsidRPr="00BC06EE">
          <w:rPr>
            <w:rStyle w:val="Hyperlink"/>
            <w:rFonts w:ascii="Calibri" w:hAnsi="Calibri" w:cs="Calibri"/>
            <w:color w:val="000000" w:themeColor="text1"/>
          </w:rPr>
          <w:t>https://www.theguardian.com/world/2002/oct/10/usa.oliverburkeman</w:t>
        </w:r>
      </w:hyperlink>
      <w:r w:rsidRPr="00BC06EE">
        <w:rPr>
          <w:rFonts w:ascii="Calibri" w:hAnsi="Calibri" w:cs="Calibri"/>
          <w:color w:val="000000" w:themeColor="text1"/>
        </w:rPr>
        <w:t xml:space="preserve"> (Accessed 11/03/2020)</w:t>
      </w:r>
    </w:p>
    <w:p w14:paraId="5818D29A" w14:textId="77777777" w:rsidR="008C6A2C" w:rsidRPr="00BC06EE" w:rsidRDefault="008C6A2C" w:rsidP="001D737A">
      <w:pPr>
        <w:shd w:val="clear" w:color="auto" w:fill="FFFFFF"/>
        <w:spacing w:after="180" w:line="360" w:lineRule="auto"/>
        <w:ind w:left="450" w:hanging="450"/>
        <w:rPr>
          <w:rFonts w:ascii="Calibri" w:hAnsi="Calibri" w:cs="Calibri"/>
          <w:color w:val="000000" w:themeColor="text1"/>
          <w:lang w:eastAsia="en-GB"/>
        </w:rPr>
      </w:pPr>
      <w:r w:rsidRPr="00BC06EE">
        <w:rPr>
          <w:rFonts w:ascii="Calibri" w:hAnsi="Calibri" w:cs="Calibri"/>
          <w:color w:val="000000" w:themeColor="text1"/>
          <w:lang w:eastAsia="en-GB"/>
        </w:rPr>
        <w:t>Kraska, P. and Neuman, W. (2011). </w:t>
      </w:r>
      <w:r w:rsidRPr="00BC06EE">
        <w:rPr>
          <w:rFonts w:ascii="Calibri" w:hAnsi="Calibri" w:cs="Calibri"/>
          <w:i/>
          <w:iCs/>
          <w:color w:val="000000" w:themeColor="text1"/>
          <w:lang w:eastAsia="en-GB"/>
        </w:rPr>
        <w:t>Criminal justice and Criminology Research methods</w:t>
      </w:r>
      <w:r w:rsidRPr="00BC06EE">
        <w:rPr>
          <w:rFonts w:ascii="Calibri" w:hAnsi="Calibri" w:cs="Calibri"/>
          <w:color w:val="000000" w:themeColor="text1"/>
          <w:lang w:eastAsia="en-GB"/>
        </w:rPr>
        <w:t>. Boston: Prentice Hall, pp.88-92.</w:t>
      </w:r>
    </w:p>
    <w:p w14:paraId="4B544E43" w14:textId="77777777" w:rsidR="008C6A2C" w:rsidRPr="00BC06EE" w:rsidRDefault="008C6A2C" w:rsidP="001D737A">
      <w:pPr>
        <w:shd w:val="clear" w:color="auto" w:fill="FFFFFF"/>
        <w:spacing w:after="180" w:line="360" w:lineRule="auto"/>
        <w:ind w:left="450" w:hanging="450"/>
        <w:rPr>
          <w:rFonts w:ascii="Calibri" w:hAnsi="Calibri" w:cs="Calibri"/>
          <w:color w:val="000000" w:themeColor="text1"/>
          <w:lang w:eastAsia="en-GB"/>
        </w:rPr>
      </w:pPr>
      <w:r w:rsidRPr="00BC06EE">
        <w:rPr>
          <w:rFonts w:ascii="Calibri" w:hAnsi="Calibri" w:cs="Calibri"/>
          <w:color w:val="000000" w:themeColor="text1"/>
          <w:lang w:eastAsia="en-GB"/>
        </w:rPr>
        <w:t>Lombroso, C., Ferrero, G., Rafter, N. and Gibson, M. (2004). </w:t>
      </w:r>
      <w:r w:rsidRPr="00BC06EE">
        <w:rPr>
          <w:rFonts w:ascii="Calibri" w:hAnsi="Calibri" w:cs="Calibri"/>
          <w:i/>
          <w:iCs/>
          <w:color w:val="000000" w:themeColor="text1"/>
          <w:lang w:eastAsia="en-GB"/>
        </w:rPr>
        <w:t>Criminal woman, the prostitute, and the normal woman</w:t>
      </w:r>
      <w:r w:rsidRPr="00BC06EE">
        <w:rPr>
          <w:rFonts w:ascii="Calibri" w:hAnsi="Calibri" w:cs="Calibri"/>
          <w:color w:val="000000" w:themeColor="text1"/>
          <w:lang w:eastAsia="en-GB"/>
        </w:rPr>
        <w:t>. Durham: Duke University Press.</w:t>
      </w:r>
    </w:p>
    <w:p w14:paraId="7C4B44E4" w14:textId="77777777" w:rsidR="008C6A2C" w:rsidRPr="00BC06EE" w:rsidRDefault="008C6A2C" w:rsidP="001D737A">
      <w:pPr>
        <w:spacing w:line="360" w:lineRule="auto"/>
        <w:rPr>
          <w:rFonts w:ascii="Calibri" w:hAnsi="Calibri" w:cs="Calibri"/>
          <w:color w:val="000000" w:themeColor="text1"/>
        </w:rPr>
      </w:pPr>
      <w:r w:rsidRPr="00BC06EE">
        <w:rPr>
          <w:rFonts w:ascii="Calibri" w:hAnsi="Calibri" w:cs="Calibri"/>
          <w:color w:val="000000" w:themeColor="text1"/>
        </w:rPr>
        <w:t xml:space="preserve">McCormick, M. (2020). Immanuel Kant: Metaphysics. Retrieved from: </w:t>
      </w:r>
      <w:hyperlink r:id="rId10" w:history="1">
        <w:r w:rsidRPr="00BC06EE">
          <w:rPr>
            <w:rStyle w:val="Hyperlink"/>
            <w:rFonts w:ascii="Calibri" w:hAnsi="Calibri" w:cs="Calibri"/>
            <w:color w:val="000000" w:themeColor="text1"/>
          </w:rPr>
          <w:t>https://www.iep.utm.edu/kantmeta/</w:t>
        </w:r>
      </w:hyperlink>
      <w:r w:rsidRPr="00BC06EE">
        <w:rPr>
          <w:rFonts w:ascii="Calibri" w:hAnsi="Calibri" w:cs="Calibri"/>
          <w:color w:val="000000" w:themeColor="text1"/>
        </w:rPr>
        <w:t xml:space="preserve"> (Accessed 11/03/2020). </w:t>
      </w:r>
    </w:p>
    <w:p w14:paraId="6E9ED5E3" w14:textId="77777777" w:rsidR="008C6A2C" w:rsidRPr="00BC06EE" w:rsidRDefault="008C6A2C" w:rsidP="001D737A">
      <w:pPr>
        <w:shd w:val="clear" w:color="auto" w:fill="FFFFFF"/>
        <w:spacing w:after="180" w:line="360" w:lineRule="auto"/>
        <w:ind w:left="450" w:hanging="450"/>
        <w:rPr>
          <w:rFonts w:ascii="Calibri" w:hAnsi="Calibri" w:cs="Calibri"/>
          <w:color w:val="000000" w:themeColor="text1"/>
          <w:lang w:eastAsia="en-GB"/>
        </w:rPr>
      </w:pPr>
      <w:r w:rsidRPr="00BC06EE">
        <w:rPr>
          <w:rFonts w:ascii="Calibri" w:hAnsi="Calibri" w:cs="Calibri"/>
          <w:color w:val="000000" w:themeColor="text1"/>
          <w:lang w:eastAsia="en-GB"/>
        </w:rPr>
        <w:t>Mednick, S., Gabrielli Jr, W. and Hutchings, B. (1999). Genetic factors in the etiology of criminal behaviour. In: F. Williams and M. McShane, ed., </w:t>
      </w:r>
      <w:r w:rsidRPr="00BC06EE">
        <w:rPr>
          <w:rFonts w:ascii="Calibri" w:hAnsi="Calibri" w:cs="Calibri"/>
          <w:i/>
          <w:iCs/>
          <w:color w:val="000000" w:themeColor="text1"/>
          <w:lang w:eastAsia="en-GB"/>
        </w:rPr>
        <w:t>Criminological theory</w:t>
      </w:r>
      <w:r w:rsidRPr="00BC06EE">
        <w:rPr>
          <w:rFonts w:ascii="Calibri" w:hAnsi="Calibri" w:cs="Calibri"/>
          <w:color w:val="000000" w:themeColor="text1"/>
          <w:lang w:eastAsia="en-GB"/>
        </w:rPr>
        <w:t>, 3rd ed. New Jersey: Prentice Hall, pp.89-95.</w:t>
      </w:r>
    </w:p>
    <w:p w14:paraId="5E80576E" w14:textId="77777777" w:rsidR="008C6A2C" w:rsidRPr="00BC06EE" w:rsidRDefault="008C6A2C" w:rsidP="001D737A">
      <w:pPr>
        <w:spacing w:line="360" w:lineRule="auto"/>
        <w:rPr>
          <w:rFonts w:ascii="Calibri" w:hAnsi="Calibri" w:cs="Calibri"/>
          <w:color w:val="000000" w:themeColor="text1"/>
          <w:lang w:eastAsia="en-GB"/>
        </w:rPr>
      </w:pPr>
      <w:r w:rsidRPr="00BC06EE">
        <w:rPr>
          <w:rFonts w:ascii="Calibri" w:hAnsi="Calibri" w:cs="Calibri"/>
          <w:color w:val="000000" w:themeColor="text1"/>
          <w:lang w:eastAsia="en-GB"/>
        </w:rPr>
        <w:t>Mednick, S., Gabrielli Jr, W. and Hutchings, B. Genetic Influences in Criminal Behavior: Evidence from an Adoption Cohort. In: </w:t>
      </w:r>
      <w:r w:rsidRPr="00BC06EE">
        <w:rPr>
          <w:rFonts w:ascii="Calibri" w:hAnsi="Calibri" w:cs="Calibri"/>
          <w:i/>
          <w:iCs/>
          <w:color w:val="000000" w:themeColor="text1"/>
          <w:lang w:eastAsia="en-GB"/>
        </w:rPr>
        <w:t>Prospective Studies of Crime and Delinquency</w:t>
      </w:r>
      <w:r w:rsidRPr="00BC06EE">
        <w:rPr>
          <w:rFonts w:ascii="Calibri" w:hAnsi="Calibri" w:cs="Calibri"/>
          <w:color w:val="000000" w:themeColor="text1"/>
          <w:lang w:eastAsia="en-GB"/>
        </w:rPr>
        <w:t xml:space="preserve">. [online] pp.39-56. Available at: </w:t>
      </w:r>
      <w:hyperlink r:id="rId11" w:history="1">
        <w:r w:rsidRPr="00BC06EE">
          <w:rPr>
            <w:rStyle w:val="Hyperlink"/>
            <w:rFonts w:ascii="Calibri" w:hAnsi="Calibri" w:cs="Calibri"/>
            <w:color w:val="000000" w:themeColor="text1"/>
            <w:lang w:eastAsia="en-GB"/>
          </w:rPr>
          <w:t>https://link.springer.com/chapter/10.1007/978-94-009-6672-7_4</w:t>
        </w:r>
      </w:hyperlink>
    </w:p>
    <w:p w14:paraId="7CA6FB70" w14:textId="77777777" w:rsidR="008C6A2C" w:rsidRPr="00BC06EE" w:rsidRDefault="008C6A2C" w:rsidP="001D737A">
      <w:pPr>
        <w:pStyle w:val="dx-doi"/>
        <w:spacing w:before="0" w:after="0" w:line="360" w:lineRule="auto"/>
        <w:rPr>
          <w:rFonts w:ascii="Calibri" w:hAnsi="Calibri" w:cs="Calibri"/>
          <w:color w:val="000000" w:themeColor="text1"/>
        </w:rPr>
      </w:pPr>
      <w:r w:rsidRPr="00BC06EE">
        <w:rPr>
          <w:rFonts w:ascii="Calibri" w:hAnsi="Calibri" w:cs="Calibri"/>
          <w:color w:val="000000" w:themeColor="text1"/>
        </w:rPr>
        <w:lastRenderedPageBreak/>
        <w:t xml:space="preserve">Pearson, K. (2007). The Trouble with Aileen Wuornos, Feminism’s “First Serial Killer”. Communication and Critical/Cultural Studies. Volume 4 Issue 3. Retrieved from: </w:t>
      </w:r>
      <w:hyperlink r:id="rId12" w:history="1">
        <w:r w:rsidRPr="00BC06EE">
          <w:rPr>
            <w:rStyle w:val="Hyperlink"/>
            <w:rFonts w:ascii="Calibri" w:hAnsi="Calibri" w:cs="Calibri"/>
            <w:color w:val="000000" w:themeColor="text1"/>
          </w:rPr>
          <w:t>https://doi.org/10.1080/14791420701472791</w:t>
        </w:r>
      </w:hyperlink>
      <w:r w:rsidRPr="00BC06EE">
        <w:rPr>
          <w:rFonts w:ascii="Calibri" w:hAnsi="Calibri" w:cs="Calibri"/>
          <w:color w:val="000000" w:themeColor="text1"/>
        </w:rPr>
        <w:t xml:space="preserve"> (Accessed 12/03/2020). </w:t>
      </w:r>
    </w:p>
    <w:p w14:paraId="2D08E7C8" w14:textId="77777777" w:rsidR="008C6A2C" w:rsidRPr="00BC06EE" w:rsidRDefault="008C6A2C" w:rsidP="001D737A">
      <w:pPr>
        <w:pStyle w:val="dx-doi"/>
        <w:spacing w:before="0" w:after="0" w:line="360" w:lineRule="auto"/>
        <w:rPr>
          <w:rFonts w:ascii="Calibri" w:hAnsi="Calibri" w:cs="Calibri"/>
          <w:color w:val="000000" w:themeColor="text1"/>
          <w:lang w:eastAsia="en-GB"/>
        </w:rPr>
      </w:pPr>
      <w:r w:rsidRPr="00BC06EE">
        <w:rPr>
          <w:rFonts w:ascii="Calibri" w:hAnsi="Calibri" w:cs="Calibri"/>
          <w:color w:val="000000" w:themeColor="text1"/>
          <w:lang w:eastAsia="en-GB"/>
        </w:rPr>
        <w:t>Rafter, N. (2008). Criminology's Darkest Hour: Biocriminology in Nazi Germany. </w:t>
      </w:r>
      <w:r w:rsidRPr="00BC06EE">
        <w:rPr>
          <w:rFonts w:ascii="Calibri" w:hAnsi="Calibri" w:cs="Calibri"/>
          <w:i/>
          <w:iCs/>
          <w:color w:val="000000" w:themeColor="text1"/>
          <w:lang w:eastAsia="en-GB"/>
        </w:rPr>
        <w:t>Australian &amp; New Zealand journal of criminology</w:t>
      </w:r>
      <w:r w:rsidRPr="00BC06EE">
        <w:rPr>
          <w:rFonts w:ascii="Calibri" w:hAnsi="Calibri" w:cs="Calibri"/>
          <w:color w:val="000000" w:themeColor="text1"/>
          <w:lang w:eastAsia="en-GB"/>
        </w:rPr>
        <w:t xml:space="preserve">, [online] 41(2), pp.287-306. Available at: </w:t>
      </w:r>
      <w:hyperlink r:id="rId13" w:history="1">
        <w:r w:rsidRPr="00BC06EE">
          <w:rPr>
            <w:rStyle w:val="Hyperlink"/>
            <w:rFonts w:ascii="Calibri" w:hAnsi="Calibri" w:cs="Calibri"/>
            <w:color w:val="000000" w:themeColor="text1"/>
            <w:lang w:eastAsia="en-GB"/>
          </w:rPr>
          <w:t>http://zh8wk8vq8w.search.serialssolutions.com/?ctx_ver=Z39.88-2004&amp;ctx_enc=info%3Aofi%2Fenc%3AUTF-8&amp;rfr_id=info%3Asid%2Fsummon.serialssolutions.com&amp;rft_val_fmt=info%3Aofi%2Ffmt%3Akev%3Amtx%3Ajournal&amp;rft.genre=article&amp;rft.atitle=Criminology%27s+Darkest+Hour%3A+Biocriminology+in+Nazi+Germany&amp;rft.jtitle=Australian+%26+New+Zealand+Journal+of+Criminology&amp;rft.au=Rafter%2C+Nicole&amp;rft.date=2008-08-01&amp;rft.pub=SAGE+Publications&amp;rft.issn=0004-8658&amp;rft.eissn=1837-9273&amp;rft.volume=41&amp;rft.issue=2&amp;rft.spage=287&amp;rft.epage=306&amp;rft_id=info:doi/10.1375%2Facri.41.2.287&amp;rft.externalDocID=10.1375_acri.41.2.287&amp;paramdict=en-US</w:t>
        </w:r>
      </w:hyperlink>
    </w:p>
    <w:p w14:paraId="49B0B34E" w14:textId="77777777" w:rsidR="008C6A2C" w:rsidRDefault="008C6A2C" w:rsidP="001D737A">
      <w:pPr>
        <w:spacing w:line="360" w:lineRule="auto"/>
        <w:rPr>
          <w:rFonts w:ascii="Calibri" w:hAnsi="Calibri" w:cs="Calibri"/>
          <w:color w:val="000000" w:themeColor="text1"/>
        </w:rPr>
      </w:pPr>
      <w:r>
        <w:rPr>
          <w:rFonts w:ascii="Calibri" w:hAnsi="Calibri" w:cs="Calibri"/>
          <w:color w:val="000000" w:themeColor="text1"/>
        </w:rPr>
        <w:t xml:space="preserve">Stockton, R. (2018). </w:t>
      </w:r>
      <w:r w:rsidRPr="00316942">
        <w:rPr>
          <w:rFonts w:ascii="Calibri" w:hAnsi="Calibri" w:cs="Calibri"/>
          <w:i/>
          <w:color w:val="000000" w:themeColor="text1"/>
        </w:rPr>
        <w:t xml:space="preserve">How Aileen Wuornos became History’s Most Terrifying Female Serial Killer. </w:t>
      </w:r>
      <w:r>
        <w:rPr>
          <w:rFonts w:ascii="Calibri" w:hAnsi="Calibri" w:cs="Calibri"/>
          <w:color w:val="000000" w:themeColor="text1"/>
        </w:rPr>
        <w:t xml:space="preserve">Retrieved from: </w:t>
      </w:r>
      <w:hyperlink r:id="rId14" w:history="1">
        <w:r w:rsidRPr="00581033">
          <w:rPr>
            <w:rStyle w:val="Hyperlink"/>
            <w:rFonts w:ascii="Calibri" w:hAnsi="Calibri" w:cs="Calibri"/>
          </w:rPr>
          <w:t>https://allthatsinteresting.com/aileen-wuornos</w:t>
        </w:r>
      </w:hyperlink>
      <w:r>
        <w:rPr>
          <w:rFonts w:ascii="Calibri" w:hAnsi="Calibri" w:cs="Calibri"/>
          <w:color w:val="000000" w:themeColor="text1"/>
        </w:rPr>
        <w:t xml:space="preserve"> (Accessed 11/03/2020).</w:t>
      </w:r>
    </w:p>
    <w:p w14:paraId="1ADB9466" w14:textId="77777777" w:rsidR="008C6A2C" w:rsidRPr="00BC06EE" w:rsidRDefault="008C6A2C" w:rsidP="001D737A">
      <w:pPr>
        <w:pStyle w:val="dx-doi"/>
        <w:spacing w:before="0" w:after="0" w:line="360" w:lineRule="auto"/>
        <w:rPr>
          <w:rFonts w:ascii="Calibri" w:hAnsi="Calibri" w:cs="Calibri"/>
          <w:color w:val="000000" w:themeColor="text1"/>
        </w:rPr>
      </w:pPr>
      <w:r w:rsidRPr="00BC06EE">
        <w:rPr>
          <w:rFonts w:ascii="Calibri" w:hAnsi="Calibri" w:cs="Calibri"/>
          <w:color w:val="000000" w:themeColor="text1"/>
        </w:rPr>
        <w:t xml:space="preserve">Trochim, W.M.K (2020). Positivism &amp; Post-Positivism. Retrieved from: </w:t>
      </w:r>
      <w:hyperlink r:id="rId15" w:history="1">
        <w:r w:rsidRPr="00BC06EE">
          <w:rPr>
            <w:rStyle w:val="Hyperlink"/>
            <w:rFonts w:ascii="Calibri" w:hAnsi="Calibri" w:cs="Calibri"/>
            <w:color w:val="000000" w:themeColor="text1"/>
          </w:rPr>
          <w:t>https://socialresearchmethods.net/kb/positivism-and-post-positivism/</w:t>
        </w:r>
      </w:hyperlink>
      <w:r w:rsidRPr="00BC06EE">
        <w:rPr>
          <w:rFonts w:ascii="Calibri" w:hAnsi="Calibri" w:cs="Calibri"/>
          <w:color w:val="000000" w:themeColor="text1"/>
        </w:rPr>
        <w:t xml:space="preserve"> (Accessed 10/03/2020).</w:t>
      </w:r>
    </w:p>
    <w:p w14:paraId="74D8D775" w14:textId="77777777" w:rsidR="008C6A2C" w:rsidRPr="00BC06EE" w:rsidRDefault="008C6A2C" w:rsidP="001D737A">
      <w:pPr>
        <w:spacing w:line="360" w:lineRule="auto"/>
        <w:rPr>
          <w:rFonts w:ascii="Calibri" w:hAnsi="Calibri" w:cs="Calibri"/>
          <w:color w:val="000000" w:themeColor="text1"/>
        </w:rPr>
      </w:pPr>
      <w:r w:rsidRPr="00BC06EE">
        <w:rPr>
          <w:rFonts w:ascii="Calibri" w:hAnsi="Calibri" w:cs="Calibri"/>
          <w:i/>
          <w:color w:val="000000" w:themeColor="text1"/>
        </w:rPr>
        <w:t>Tudor Crime &amp; Punishment; Execution</w:t>
      </w:r>
      <w:r w:rsidRPr="00BC06EE">
        <w:rPr>
          <w:rFonts w:ascii="Calibri" w:hAnsi="Calibri" w:cs="Calibri"/>
          <w:color w:val="000000" w:themeColor="text1"/>
        </w:rPr>
        <w:t xml:space="preserve">. Retrieved from: </w:t>
      </w:r>
      <w:hyperlink r:id="rId16" w:history="1">
        <w:r w:rsidRPr="00BC06EE">
          <w:rPr>
            <w:rStyle w:val="Hyperlink"/>
            <w:rFonts w:ascii="Calibri" w:hAnsi="Calibri" w:cs="Calibri"/>
            <w:color w:val="000000" w:themeColor="text1"/>
          </w:rPr>
          <w:t>https://tudorelp.weebly.com/crime-and-punishment.html</w:t>
        </w:r>
      </w:hyperlink>
      <w:r w:rsidRPr="00BC06EE">
        <w:rPr>
          <w:rFonts w:ascii="Calibri" w:hAnsi="Calibri" w:cs="Calibri"/>
          <w:color w:val="000000" w:themeColor="text1"/>
        </w:rPr>
        <w:t xml:space="preserve"> (Accessed 10/03/2020) </w:t>
      </w:r>
    </w:p>
    <w:p w14:paraId="3DCE8B81" w14:textId="77777777" w:rsidR="008C6A2C" w:rsidRPr="00BC06EE" w:rsidRDefault="008C6A2C" w:rsidP="001D737A">
      <w:pPr>
        <w:pStyle w:val="dx-doi"/>
        <w:spacing w:before="0" w:after="0" w:line="360" w:lineRule="auto"/>
        <w:rPr>
          <w:rFonts w:ascii="Calibri" w:hAnsi="Calibri" w:cs="Calibri"/>
          <w:color w:val="000000" w:themeColor="text1"/>
        </w:rPr>
      </w:pPr>
      <w:r w:rsidRPr="00BC06EE">
        <w:rPr>
          <w:rFonts w:ascii="Calibri" w:hAnsi="Calibri" w:cs="Calibri"/>
          <w:color w:val="000000" w:themeColor="text1"/>
        </w:rPr>
        <w:t xml:space="preserve">Yeoman, L. (2019). The woman who stood up to a witch-hunt. Retrieved from: </w:t>
      </w:r>
      <w:hyperlink r:id="rId17" w:history="1">
        <w:r w:rsidRPr="00BC06EE">
          <w:rPr>
            <w:rStyle w:val="Hyperlink"/>
            <w:rFonts w:ascii="Calibri" w:hAnsi="Calibri" w:cs="Calibri"/>
            <w:color w:val="000000" w:themeColor="text1"/>
          </w:rPr>
          <w:t>https://www.bbc.co.uk/news/uk-scotland-glasgow-west-50330147</w:t>
        </w:r>
      </w:hyperlink>
      <w:r w:rsidRPr="00BC06EE">
        <w:rPr>
          <w:rFonts w:ascii="Calibri" w:hAnsi="Calibri" w:cs="Calibri"/>
          <w:color w:val="000000" w:themeColor="text1"/>
        </w:rPr>
        <w:t xml:space="preserve"> (Accessed 10/03/2020). </w:t>
      </w:r>
    </w:p>
    <w:p w14:paraId="37CAB233" w14:textId="77777777" w:rsidR="008C6A2C" w:rsidRDefault="008C6A2C" w:rsidP="001D737A">
      <w:pPr>
        <w:spacing w:line="360" w:lineRule="auto"/>
        <w:rPr>
          <w:rFonts w:ascii="Calibri" w:hAnsi="Calibri" w:cs="Calibri"/>
          <w:color w:val="000000" w:themeColor="text1"/>
        </w:rPr>
      </w:pPr>
      <w:r w:rsidRPr="00BC06EE">
        <w:rPr>
          <w:rFonts w:ascii="Calibri" w:hAnsi="Calibri" w:cs="Calibri"/>
          <w:color w:val="000000" w:themeColor="text1"/>
        </w:rPr>
        <w:t xml:space="preserve">Young, D.B. (1983). </w:t>
      </w:r>
      <w:r w:rsidRPr="00BC06EE">
        <w:rPr>
          <w:rFonts w:ascii="Calibri" w:hAnsi="Calibri" w:cs="Calibri"/>
          <w:i/>
          <w:color w:val="000000" w:themeColor="text1"/>
        </w:rPr>
        <w:t>Cesare Beccaria: Utilitarian or retributivist?</w:t>
      </w:r>
      <w:r w:rsidRPr="00BC06EE">
        <w:rPr>
          <w:rFonts w:ascii="Calibri" w:hAnsi="Calibri" w:cs="Calibri"/>
          <w:color w:val="000000" w:themeColor="text1"/>
        </w:rPr>
        <w:t xml:space="preserve"> Journal of Criminal Justice. Volume 11, Issue 4. Pages 317-326. Retrieved from: </w:t>
      </w:r>
      <w:hyperlink r:id="rId18" w:tgtFrame="_blank" w:tooltip="Persistent link using digital object identifier" w:history="1">
        <w:r w:rsidRPr="00BC06EE">
          <w:rPr>
            <w:rStyle w:val="Hyperlink"/>
            <w:rFonts w:ascii="Calibri" w:hAnsi="Calibri" w:cs="Calibri"/>
            <w:color w:val="000000" w:themeColor="text1"/>
            <w:u w:val="none"/>
          </w:rPr>
          <w:t>https://doi.org/10.1016/0047-2352(83)90071-5</w:t>
        </w:r>
      </w:hyperlink>
      <w:r w:rsidRPr="00BC06EE">
        <w:rPr>
          <w:rFonts w:ascii="Calibri" w:hAnsi="Calibri" w:cs="Calibri"/>
          <w:color w:val="000000" w:themeColor="text1"/>
        </w:rPr>
        <w:t xml:space="preserve"> (Accessed 11/03/2020). </w:t>
      </w:r>
    </w:p>
    <w:p w14:paraId="6FA0A729" w14:textId="77777777" w:rsidR="00581B63" w:rsidRPr="00BC06EE" w:rsidRDefault="00581B63" w:rsidP="001D737A">
      <w:pPr>
        <w:spacing w:line="360" w:lineRule="auto"/>
        <w:rPr>
          <w:rFonts w:ascii="Calibri" w:hAnsi="Calibri" w:cs="Calibri"/>
          <w:color w:val="000000" w:themeColor="text1"/>
        </w:rPr>
      </w:pPr>
    </w:p>
    <w:p w14:paraId="647549D4" w14:textId="77777777" w:rsidR="00EB199D" w:rsidRDefault="00EB199D" w:rsidP="00863D64">
      <w:pPr>
        <w:pStyle w:val="dx-doi"/>
        <w:spacing w:before="0" w:after="0"/>
        <w:rPr>
          <w:rFonts w:ascii="Arial" w:hAnsi="Arial" w:cs="Arial"/>
          <w:color w:val="333333"/>
          <w:sz w:val="20"/>
          <w:szCs w:val="20"/>
        </w:rPr>
      </w:pPr>
    </w:p>
    <w:p w14:paraId="61FB1047" w14:textId="77777777" w:rsidR="005B7EAA" w:rsidRDefault="005B7EAA" w:rsidP="00863D64">
      <w:pPr>
        <w:pStyle w:val="dx-doi"/>
        <w:spacing w:before="0" w:after="0"/>
        <w:rPr>
          <w:rFonts w:ascii="Arial" w:hAnsi="Arial" w:cs="Arial"/>
          <w:color w:val="333333"/>
          <w:sz w:val="20"/>
          <w:szCs w:val="20"/>
        </w:rPr>
      </w:pPr>
    </w:p>
    <w:p w14:paraId="7A94A840" w14:textId="77777777" w:rsidR="00863D64" w:rsidRDefault="00863D64" w:rsidP="00863D64">
      <w:pPr>
        <w:pStyle w:val="dx-doi"/>
        <w:spacing w:before="0" w:after="0"/>
        <w:rPr>
          <w:rFonts w:ascii="Arial" w:hAnsi="Arial" w:cs="Arial"/>
          <w:color w:val="333333"/>
          <w:sz w:val="20"/>
          <w:szCs w:val="20"/>
        </w:rPr>
      </w:pPr>
    </w:p>
    <w:p w14:paraId="69D77B10" w14:textId="524C1544" w:rsidR="00793548" w:rsidRDefault="00793548" w:rsidP="003462C8"/>
    <w:p w14:paraId="02E686FD" w14:textId="3DCED2B0" w:rsidR="00D224ED" w:rsidRDefault="00D224ED" w:rsidP="000E6340">
      <w:pPr>
        <w:rPr>
          <w:rFonts w:ascii="Arial" w:hAnsi="Arial" w:cs="Arial"/>
        </w:rPr>
      </w:pPr>
    </w:p>
    <w:p w14:paraId="510FBD66" w14:textId="77777777" w:rsidR="003462C8" w:rsidRDefault="003462C8" w:rsidP="000E6340">
      <w:pPr>
        <w:rPr>
          <w:rFonts w:ascii="Arial" w:hAnsi="Arial" w:cs="Arial"/>
        </w:rPr>
      </w:pPr>
    </w:p>
    <w:p w14:paraId="4BFCC359" w14:textId="3ADF10FD" w:rsidR="00C300B9" w:rsidRDefault="00C300B9" w:rsidP="000E6340">
      <w:pPr>
        <w:rPr>
          <w:rFonts w:ascii="Arial" w:hAnsi="Arial" w:cs="Arial"/>
        </w:rPr>
      </w:pPr>
    </w:p>
    <w:p w14:paraId="1A9B83B8" w14:textId="77777777" w:rsidR="00C300B9" w:rsidRDefault="00C300B9" w:rsidP="000E6340">
      <w:pPr>
        <w:rPr>
          <w:rFonts w:ascii="Arial" w:hAnsi="Arial" w:cs="Arial"/>
        </w:rPr>
      </w:pPr>
    </w:p>
    <w:p w14:paraId="0FE3BBE8" w14:textId="2EAC736C" w:rsidR="002040B7" w:rsidRDefault="002040B7" w:rsidP="000E6340">
      <w:pPr>
        <w:rPr>
          <w:rFonts w:ascii="Arial" w:hAnsi="Arial" w:cs="Arial"/>
        </w:rPr>
      </w:pPr>
    </w:p>
    <w:p w14:paraId="28D4BC4B" w14:textId="77777777" w:rsidR="002040B7" w:rsidRDefault="002040B7" w:rsidP="000E6340">
      <w:pPr>
        <w:rPr>
          <w:rFonts w:ascii="Arial" w:hAnsi="Arial" w:cs="Arial"/>
        </w:rPr>
      </w:pPr>
    </w:p>
    <w:p w14:paraId="381948B5" w14:textId="2AF1976E" w:rsidR="000E6340" w:rsidRDefault="000E6340" w:rsidP="000E6340">
      <w:pPr>
        <w:rPr>
          <w:rFonts w:ascii="Arial" w:hAnsi="Arial" w:cs="Arial"/>
        </w:rPr>
      </w:pPr>
      <w:r>
        <w:rPr>
          <w:rFonts w:ascii="Arial" w:hAnsi="Arial" w:cs="Arial"/>
        </w:rPr>
        <w:t xml:space="preserve"> </w:t>
      </w:r>
    </w:p>
    <w:p w14:paraId="27F9E029" w14:textId="3D0709FE" w:rsidR="000E6340" w:rsidRDefault="000E6340" w:rsidP="00E923AF">
      <w:pPr>
        <w:shd w:val="clear" w:color="auto" w:fill="FFFFFF"/>
        <w:spacing w:after="180" w:line="360" w:lineRule="auto"/>
        <w:ind w:left="450" w:hanging="450"/>
        <w:rPr>
          <w:rFonts w:ascii="Arial" w:hAnsi="Arial" w:cs="Arial"/>
          <w:color w:val="000000"/>
          <w:lang w:eastAsia="en-GB"/>
        </w:rPr>
      </w:pPr>
    </w:p>
    <w:p w14:paraId="52171EA1" w14:textId="77777777" w:rsidR="000E6340" w:rsidRDefault="000E6340" w:rsidP="00E923AF">
      <w:pPr>
        <w:shd w:val="clear" w:color="auto" w:fill="FFFFFF"/>
        <w:spacing w:after="180" w:line="360" w:lineRule="auto"/>
        <w:ind w:left="450" w:hanging="450"/>
        <w:rPr>
          <w:rFonts w:ascii="Arial" w:hAnsi="Arial" w:cs="Arial"/>
          <w:color w:val="000000"/>
          <w:lang w:eastAsia="en-GB"/>
        </w:rPr>
      </w:pPr>
    </w:p>
    <w:p w14:paraId="1E3A46A3" w14:textId="77777777" w:rsidR="000E6340" w:rsidRPr="00F4077B" w:rsidRDefault="000E6340" w:rsidP="00E923AF">
      <w:pPr>
        <w:shd w:val="clear" w:color="auto" w:fill="FFFFFF"/>
        <w:spacing w:after="180" w:line="360" w:lineRule="auto"/>
        <w:ind w:left="450" w:hanging="450"/>
        <w:rPr>
          <w:rFonts w:ascii="Arial" w:hAnsi="Arial" w:cs="Arial"/>
          <w:color w:val="000000"/>
          <w:lang w:eastAsia="en-GB"/>
        </w:rPr>
      </w:pPr>
    </w:p>
    <w:p w14:paraId="7D048D89" w14:textId="5CA51765" w:rsidR="00E923AF" w:rsidRDefault="00E923AF" w:rsidP="00E923AF">
      <w:pPr>
        <w:shd w:val="clear" w:color="auto" w:fill="FFFFFF"/>
        <w:spacing w:after="180" w:line="360" w:lineRule="auto"/>
        <w:ind w:left="450" w:hanging="450"/>
        <w:rPr>
          <w:rFonts w:ascii="Arial" w:hAnsi="Arial" w:cs="Arial"/>
          <w:color w:val="000000"/>
          <w:lang w:eastAsia="en-GB"/>
        </w:rPr>
      </w:pPr>
    </w:p>
    <w:p w14:paraId="447F6744" w14:textId="77777777" w:rsidR="00E923AF" w:rsidRPr="00F4077B" w:rsidRDefault="00E923AF" w:rsidP="00E923AF">
      <w:pPr>
        <w:shd w:val="clear" w:color="auto" w:fill="FFFFFF"/>
        <w:spacing w:after="180" w:line="360" w:lineRule="auto"/>
        <w:ind w:left="450" w:hanging="450"/>
        <w:rPr>
          <w:rFonts w:ascii="Arial" w:hAnsi="Arial" w:cs="Arial"/>
          <w:color w:val="000000"/>
          <w:lang w:eastAsia="en-GB"/>
        </w:rPr>
      </w:pPr>
    </w:p>
    <w:p w14:paraId="72947EB0" w14:textId="77777777" w:rsidR="00E923AF" w:rsidRPr="00044370" w:rsidRDefault="00E923AF" w:rsidP="008A4C82">
      <w:pPr>
        <w:spacing w:line="360" w:lineRule="auto"/>
        <w:rPr>
          <w:rFonts w:ascii="Calibri" w:hAnsi="Calibri" w:cs="Calibri"/>
          <w:u w:val="single"/>
        </w:rPr>
      </w:pPr>
    </w:p>
    <w:p w14:paraId="17C231BE" w14:textId="77777777" w:rsidR="00DF2475" w:rsidRDefault="00DF2475" w:rsidP="00303037">
      <w:pPr>
        <w:pStyle w:val="ListParagraph"/>
        <w:rPr>
          <w:rFonts w:ascii="Calibri" w:hAnsi="Calibri" w:cs="Calibri"/>
          <w:sz w:val="24"/>
          <w:szCs w:val="24"/>
        </w:rPr>
      </w:pPr>
    </w:p>
    <w:p w14:paraId="68044A35" w14:textId="2B760756" w:rsidR="006B7860" w:rsidRPr="00550EAF" w:rsidRDefault="006B7860" w:rsidP="00303037">
      <w:pPr>
        <w:pStyle w:val="ListParagraph"/>
        <w:rPr>
          <w:rFonts w:ascii="Calibri" w:hAnsi="Calibri" w:cs="Calibri"/>
          <w:sz w:val="24"/>
          <w:szCs w:val="24"/>
        </w:rPr>
      </w:pPr>
      <w:r>
        <w:rPr>
          <w:rFonts w:ascii="Calibri" w:hAnsi="Calibri" w:cs="Calibri"/>
          <w:sz w:val="24"/>
          <w:szCs w:val="24"/>
        </w:rPr>
        <w:t xml:space="preserve"> </w:t>
      </w:r>
    </w:p>
    <w:sectPr w:rsidR="006B7860" w:rsidRPr="00550EAF" w:rsidSect="00E46B9A">
      <w:footerReference w:type="even" r:id="rId19"/>
      <w:footerReference w:type="default" r:id="rId20"/>
      <w:pgSz w:w="11900" w:h="16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6DD45D7" w14:textId="77777777" w:rsidR="0041125A" w:rsidRDefault="0041125A" w:rsidP="00E40625">
      <w:r>
        <w:separator/>
      </w:r>
    </w:p>
  </w:endnote>
  <w:endnote w:type="continuationSeparator" w:id="0">
    <w:p w14:paraId="020AFA66" w14:textId="77777777" w:rsidR="0041125A" w:rsidRDefault="0041125A" w:rsidP="00E4062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ACFF" w:usb2="00000009" w:usb3="00000000" w:csb0="000001FF" w:csb1="00000000"/>
  </w:font>
  <w:font w:name="Courier New">
    <w:panose1 w:val="02070309020205020404"/>
    <w:charset w:val="00"/>
    <w:family w:val="modern"/>
    <w:pitch w:val="fixed"/>
    <w:sig w:usb0="E0002AFF" w:usb1="C0007843" w:usb2="00000009" w:usb3="00000000" w:csb0="000001FF" w:csb1="00000000"/>
  </w:font>
  <w:font w:name="Times New Roman">
    <w:panose1 w:val="02020603050405020304"/>
    <w:charset w:val="00"/>
    <w:family w:val="roman"/>
    <w:pitch w:val="variable"/>
    <w:sig w:usb0="E0002AEF" w:usb1="C0007841"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Symbol">
    <w:panose1 w:val="05050102010706020507"/>
    <w:charset w:val="02"/>
    <w:family w:val="decorative"/>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Style w:val="PageNumber"/>
      </w:rPr>
      <w:id w:val="-2137321150"/>
      <w:docPartObj>
        <w:docPartGallery w:val="Page Numbers (Bottom of Page)"/>
        <w:docPartUnique/>
      </w:docPartObj>
    </w:sdtPr>
    <w:sdtContent>
      <w:p w14:paraId="66EA6F1E" w14:textId="3C050439" w:rsidR="00E40625" w:rsidRDefault="00E40625" w:rsidP="00581033">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1E240542" w14:textId="77777777" w:rsidR="00E40625" w:rsidRDefault="00E40625" w:rsidP="00E40625">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Style w:val="PageNumber"/>
      </w:rPr>
      <w:id w:val="-1719432787"/>
      <w:docPartObj>
        <w:docPartGallery w:val="Page Numbers (Bottom of Page)"/>
        <w:docPartUnique/>
      </w:docPartObj>
    </w:sdtPr>
    <w:sdtContent>
      <w:p w14:paraId="603A6C29" w14:textId="18259EC7" w:rsidR="00E40625" w:rsidRDefault="00E40625" w:rsidP="00581033">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14:paraId="01DEED18" w14:textId="77777777" w:rsidR="00E40625" w:rsidRDefault="00E40625" w:rsidP="00E40625">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E8BBFBD" w14:textId="77777777" w:rsidR="0041125A" w:rsidRDefault="0041125A" w:rsidP="00E40625">
      <w:r>
        <w:separator/>
      </w:r>
    </w:p>
  </w:footnote>
  <w:footnote w:type="continuationSeparator" w:id="0">
    <w:p w14:paraId="5D47DF75" w14:textId="77777777" w:rsidR="0041125A" w:rsidRDefault="0041125A" w:rsidP="00E40625">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25C10E81"/>
    <w:multiLevelType w:val="hybridMultilevel"/>
    <w:tmpl w:val="5EAC5E94"/>
    <w:lvl w:ilvl="0" w:tplc="AB288904">
      <w:start w:val="1"/>
      <w:numFmt w:val="decimal"/>
      <w:lvlText w:val="%1."/>
      <w:lvlJc w:val="left"/>
      <w:pPr>
        <w:ind w:left="720" w:hanging="360"/>
      </w:pPr>
    </w:lvl>
    <w:lvl w:ilvl="1" w:tplc="F9E2DE26">
      <w:start w:val="1"/>
      <w:numFmt w:val="lowerLetter"/>
      <w:lvlText w:val="%2."/>
      <w:lvlJc w:val="left"/>
      <w:pPr>
        <w:ind w:left="1440" w:hanging="360"/>
      </w:pPr>
    </w:lvl>
    <w:lvl w:ilvl="2" w:tplc="0DD85FD4">
      <w:start w:val="1"/>
      <w:numFmt w:val="lowerRoman"/>
      <w:lvlText w:val="%3."/>
      <w:lvlJc w:val="right"/>
      <w:pPr>
        <w:ind w:left="2160" w:hanging="180"/>
      </w:pPr>
    </w:lvl>
    <w:lvl w:ilvl="3" w:tplc="CEE6EEA2">
      <w:start w:val="1"/>
      <w:numFmt w:val="decimal"/>
      <w:lvlText w:val="%4."/>
      <w:lvlJc w:val="left"/>
      <w:pPr>
        <w:ind w:left="2880" w:hanging="360"/>
      </w:pPr>
    </w:lvl>
    <w:lvl w:ilvl="4" w:tplc="55E4A836">
      <w:start w:val="1"/>
      <w:numFmt w:val="lowerLetter"/>
      <w:lvlText w:val="%5."/>
      <w:lvlJc w:val="left"/>
      <w:pPr>
        <w:ind w:left="3600" w:hanging="360"/>
      </w:pPr>
    </w:lvl>
    <w:lvl w:ilvl="5" w:tplc="9D484482">
      <w:start w:val="1"/>
      <w:numFmt w:val="lowerRoman"/>
      <w:lvlText w:val="%6."/>
      <w:lvlJc w:val="right"/>
      <w:pPr>
        <w:ind w:left="4320" w:hanging="180"/>
      </w:pPr>
    </w:lvl>
    <w:lvl w:ilvl="6" w:tplc="7B68E7A2">
      <w:start w:val="1"/>
      <w:numFmt w:val="decimal"/>
      <w:lvlText w:val="%7."/>
      <w:lvlJc w:val="left"/>
      <w:pPr>
        <w:ind w:left="5040" w:hanging="360"/>
      </w:pPr>
    </w:lvl>
    <w:lvl w:ilvl="7" w:tplc="D1B6D300">
      <w:start w:val="1"/>
      <w:numFmt w:val="lowerLetter"/>
      <w:lvlText w:val="%8."/>
      <w:lvlJc w:val="left"/>
      <w:pPr>
        <w:ind w:left="5760" w:hanging="360"/>
      </w:pPr>
    </w:lvl>
    <w:lvl w:ilvl="8" w:tplc="2E70CC4E">
      <w:start w:val="1"/>
      <w:numFmt w:val="lowerRoman"/>
      <w:lvlText w:val="%9."/>
      <w:lvlJc w:val="right"/>
      <w:pPr>
        <w:ind w:left="6480" w:hanging="180"/>
      </w:pPr>
    </w:lvl>
  </w:abstractNum>
  <w:abstractNum w:abstractNumId="1" w15:restartNumberingAfterBreak="0">
    <w:nsid w:val="4D4D444E"/>
    <w:multiLevelType w:val="hybridMultilevel"/>
    <w:tmpl w:val="6548DA52"/>
    <w:lvl w:ilvl="0" w:tplc="FAF654AA">
      <w:start w:val="27"/>
      <w:numFmt w:val="bullet"/>
      <w:lvlText w:val="-"/>
      <w:lvlJc w:val="left"/>
      <w:pPr>
        <w:ind w:left="720" w:hanging="360"/>
      </w:pPr>
      <w:rPr>
        <w:rFonts w:ascii="Calibri" w:eastAsiaTheme="minorHAnsi"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711863A4"/>
    <w:multiLevelType w:val="multilevel"/>
    <w:tmpl w:val="98B60D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97"/>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56CA0"/>
    <w:rsid w:val="00044370"/>
    <w:rsid w:val="00051B88"/>
    <w:rsid w:val="00061D69"/>
    <w:rsid w:val="000C4D2D"/>
    <w:rsid w:val="000D663C"/>
    <w:rsid w:val="000D6E40"/>
    <w:rsid w:val="000E6340"/>
    <w:rsid w:val="000F2282"/>
    <w:rsid w:val="00157F85"/>
    <w:rsid w:val="00191F42"/>
    <w:rsid w:val="00195F9D"/>
    <w:rsid w:val="001C7DED"/>
    <w:rsid w:val="001D480C"/>
    <w:rsid w:val="001D737A"/>
    <w:rsid w:val="001E1DC7"/>
    <w:rsid w:val="002040B7"/>
    <w:rsid w:val="0025736D"/>
    <w:rsid w:val="002A3A70"/>
    <w:rsid w:val="002A6C85"/>
    <w:rsid w:val="002F52E9"/>
    <w:rsid w:val="00303037"/>
    <w:rsid w:val="00313EE1"/>
    <w:rsid w:val="00316942"/>
    <w:rsid w:val="003462C8"/>
    <w:rsid w:val="003D0885"/>
    <w:rsid w:val="003D6328"/>
    <w:rsid w:val="003E648D"/>
    <w:rsid w:val="0041125A"/>
    <w:rsid w:val="00471C3D"/>
    <w:rsid w:val="004E595F"/>
    <w:rsid w:val="004F7195"/>
    <w:rsid w:val="004F786F"/>
    <w:rsid w:val="005000EB"/>
    <w:rsid w:val="00550EAF"/>
    <w:rsid w:val="005566E8"/>
    <w:rsid w:val="00561358"/>
    <w:rsid w:val="00581B63"/>
    <w:rsid w:val="00583EC7"/>
    <w:rsid w:val="005B7EAA"/>
    <w:rsid w:val="005F34BE"/>
    <w:rsid w:val="00633E32"/>
    <w:rsid w:val="00635310"/>
    <w:rsid w:val="00683C8B"/>
    <w:rsid w:val="006B7860"/>
    <w:rsid w:val="00701D80"/>
    <w:rsid w:val="007135F6"/>
    <w:rsid w:val="007415F5"/>
    <w:rsid w:val="00760323"/>
    <w:rsid w:val="00793548"/>
    <w:rsid w:val="007B0C1E"/>
    <w:rsid w:val="007B7D97"/>
    <w:rsid w:val="007D1698"/>
    <w:rsid w:val="007D5A76"/>
    <w:rsid w:val="00804317"/>
    <w:rsid w:val="00815A72"/>
    <w:rsid w:val="00863D64"/>
    <w:rsid w:val="008A4C82"/>
    <w:rsid w:val="008C4346"/>
    <w:rsid w:val="008C696A"/>
    <w:rsid w:val="008C6A2C"/>
    <w:rsid w:val="008F160A"/>
    <w:rsid w:val="008F610E"/>
    <w:rsid w:val="009302D4"/>
    <w:rsid w:val="00961805"/>
    <w:rsid w:val="0098619C"/>
    <w:rsid w:val="009903EB"/>
    <w:rsid w:val="00A031DC"/>
    <w:rsid w:val="00A2050F"/>
    <w:rsid w:val="00A34186"/>
    <w:rsid w:val="00A65A69"/>
    <w:rsid w:val="00A761DE"/>
    <w:rsid w:val="00AB344D"/>
    <w:rsid w:val="00AE6DB6"/>
    <w:rsid w:val="00AF0E0A"/>
    <w:rsid w:val="00B00AA8"/>
    <w:rsid w:val="00B97389"/>
    <w:rsid w:val="00BC06EE"/>
    <w:rsid w:val="00C05B2B"/>
    <w:rsid w:val="00C07EB9"/>
    <w:rsid w:val="00C10057"/>
    <w:rsid w:val="00C20C47"/>
    <w:rsid w:val="00C300B9"/>
    <w:rsid w:val="00C5274E"/>
    <w:rsid w:val="00C61DE2"/>
    <w:rsid w:val="00C87FCD"/>
    <w:rsid w:val="00CA118D"/>
    <w:rsid w:val="00CB76CF"/>
    <w:rsid w:val="00D224ED"/>
    <w:rsid w:val="00D473D7"/>
    <w:rsid w:val="00D913CB"/>
    <w:rsid w:val="00DC284F"/>
    <w:rsid w:val="00DF2475"/>
    <w:rsid w:val="00DF562F"/>
    <w:rsid w:val="00E335DC"/>
    <w:rsid w:val="00E40625"/>
    <w:rsid w:val="00E46B9A"/>
    <w:rsid w:val="00E50301"/>
    <w:rsid w:val="00E56CA0"/>
    <w:rsid w:val="00E67AE4"/>
    <w:rsid w:val="00E923AF"/>
    <w:rsid w:val="00EB199D"/>
    <w:rsid w:val="00EB4129"/>
    <w:rsid w:val="00F64DFE"/>
    <w:rsid w:val="00F8242D"/>
    <w:rsid w:val="00FB5747"/>
    <w:rsid w:val="00FD695E"/>
    <w:rsid w:val="00FE07E2"/>
    <w:rsid w:val="00FF355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D50D22B"/>
  <w14:defaultImageDpi w14:val="32767"/>
  <w15:chartTrackingRefBased/>
  <w15:docId w15:val="{F2B118EC-788A-3B4E-AD45-29C6A9C2997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E56CA0"/>
    <w:pPr>
      <w:ind w:left="720"/>
      <w:contextualSpacing/>
    </w:pPr>
    <w:rPr>
      <w:rFonts w:ascii="Times New Roman" w:eastAsia="Times New Roman" w:hAnsi="Times New Roman" w:cs="Times New Roman"/>
      <w:sz w:val="20"/>
      <w:szCs w:val="20"/>
      <w:lang w:eastAsia="en-GB"/>
    </w:rPr>
  </w:style>
  <w:style w:type="character" w:styleId="Hyperlink">
    <w:name w:val="Hyperlink"/>
    <w:basedOn w:val="DefaultParagraphFont"/>
    <w:uiPriority w:val="99"/>
    <w:unhideWhenUsed/>
    <w:rsid w:val="00E923AF"/>
    <w:rPr>
      <w:color w:val="0563C1" w:themeColor="hyperlink"/>
      <w:u w:val="single"/>
    </w:rPr>
  </w:style>
  <w:style w:type="character" w:styleId="UnresolvedMention">
    <w:name w:val="Unresolved Mention"/>
    <w:basedOn w:val="DefaultParagraphFont"/>
    <w:uiPriority w:val="99"/>
    <w:rsid w:val="00E923AF"/>
    <w:rPr>
      <w:color w:val="605E5C"/>
      <w:shd w:val="clear" w:color="auto" w:fill="E1DFDD"/>
    </w:rPr>
  </w:style>
  <w:style w:type="paragraph" w:customStyle="1" w:styleId="dx-doi">
    <w:name w:val="dx-doi"/>
    <w:basedOn w:val="Normal"/>
    <w:rsid w:val="00863D64"/>
    <w:pPr>
      <w:spacing w:before="100" w:beforeAutospacing="1" w:after="100" w:afterAutospacing="1"/>
    </w:pPr>
    <w:rPr>
      <w:rFonts w:ascii="Times New Roman" w:eastAsia="Times New Roman" w:hAnsi="Times New Roman" w:cs="Times New Roman"/>
    </w:rPr>
  </w:style>
  <w:style w:type="paragraph" w:styleId="Footer">
    <w:name w:val="footer"/>
    <w:basedOn w:val="Normal"/>
    <w:link w:val="FooterChar"/>
    <w:uiPriority w:val="99"/>
    <w:unhideWhenUsed/>
    <w:rsid w:val="00E40625"/>
    <w:pPr>
      <w:tabs>
        <w:tab w:val="center" w:pos="4680"/>
        <w:tab w:val="right" w:pos="9360"/>
      </w:tabs>
    </w:pPr>
  </w:style>
  <w:style w:type="character" w:customStyle="1" w:styleId="FooterChar">
    <w:name w:val="Footer Char"/>
    <w:basedOn w:val="DefaultParagraphFont"/>
    <w:link w:val="Footer"/>
    <w:uiPriority w:val="99"/>
    <w:rsid w:val="00E40625"/>
  </w:style>
  <w:style w:type="character" w:styleId="PageNumber">
    <w:name w:val="page number"/>
    <w:basedOn w:val="DefaultParagraphFont"/>
    <w:uiPriority w:val="99"/>
    <w:semiHidden/>
    <w:unhideWhenUsed/>
    <w:rsid w:val="00E4062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512569112">
      <w:bodyDiv w:val="1"/>
      <w:marLeft w:val="0"/>
      <w:marRight w:val="0"/>
      <w:marTop w:val="0"/>
      <w:marBottom w:val="0"/>
      <w:divBdr>
        <w:top w:val="none" w:sz="0" w:space="0" w:color="auto"/>
        <w:left w:val="none" w:sz="0" w:space="0" w:color="auto"/>
        <w:bottom w:val="none" w:sz="0" w:space="0" w:color="auto"/>
        <w:right w:val="none" w:sz="0" w:space="0" w:color="auto"/>
      </w:divBdr>
    </w:div>
    <w:div w:id="166916693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link.springer.com/article/10.1007/s12519-013-0411-7" TargetMode="External"/><Relationship Id="rId13" Type="http://schemas.openxmlformats.org/officeDocument/2006/relationships/hyperlink" Target="http://zh8wk8vq8w.search.serialssolutions.com/?ctx_ver=Z39.88-2004&amp;ctx_enc=info%3Aofi%2Fenc%3AUTF-8&amp;rfr_id=info%3Asid%2Fsummon.serialssolutions.com&amp;rft_val_fmt=info%3Aofi%2Ffmt%3Akev%3Amtx%3Ajournal&amp;rft.genre=article&amp;rft.atitle=Criminology%27s+Darkest+Hour%3A+Biocriminology+in+Nazi+Germany&amp;rft.jtitle=Australian+%26+New+Zealand+Journal+of+Criminology&amp;rft.au=Rafter%2C+Nicole&amp;rft.date=2008-08-01&amp;rft.pub=SAGE+Publications&amp;rft.issn=0004-8658&amp;rft.eissn=1837-9273&amp;rft.volume=41&amp;rft.issue=2&amp;rft.spage=287&amp;rft.epage=306&amp;rft_id=info:doi/10.1375%2Facri.41.2.287&amp;rft.externalDocID=10.1375_acri.41.2.287&amp;paramdict=en-US" TargetMode="External"/><Relationship Id="rId18" Type="http://schemas.openxmlformats.org/officeDocument/2006/relationships/hyperlink" Target="https://doi.org/10.1016/0047-2352(83)90071-5" TargetMode="External"/><Relationship Id="rId3" Type="http://schemas.openxmlformats.org/officeDocument/2006/relationships/settings" Target="settings.xml"/><Relationship Id="rId21" Type="http://schemas.openxmlformats.org/officeDocument/2006/relationships/fontTable" Target="fontTable.xml"/><Relationship Id="rId7" Type="http://schemas.openxmlformats.org/officeDocument/2006/relationships/hyperlink" Target="https://www.amazon.co.uk/Aileen-Life-Death-Serial-Killer/dp/B07M727G9Q/ref=sr_1_1?crid=140TGRCIBOVK5&amp;keywords=aileen+wuornos&amp;qid=1584126258&amp;s=instant-video&amp;sprefix=aileen+w%2Cprime-instant-video%2C156&amp;sr=1-1" TargetMode="External"/><Relationship Id="rId12" Type="http://schemas.openxmlformats.org/officeDocument/2006/relationships/hyperlink" Target="https://doi.org/10.1080/14791420701472791" TargetMode="External"/><Relationship Id="rId17" Type="http://schemas.openxmlformats.org/officeDocument/2006/relationships/hyperlink" Target="https://www.bbc.co.uk/news/uk-scotland-glasgow-west-50330147" TargetMode="External"/><Relationship Id="rId2" Type="http://schemas.openxmlformats.org/officeDocument/2006/relationships/styles" Target="styles.xml"/><Relationship Id="rId16" Type="http://schemas.openxmlformats.org/officeDocument/2006/relationships/hyperlink" Target="https://tudorelp.weebly.com/crime-and-punishment.html" TargetMode="External"/><Relationship Id="rId20" Type="http://schemas.openxmlformats.org/officeDocument/2006/relationships/footer" Target="footer2.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link.springer.com/chapter/10.1007/978-94-009-6672-7_4" TargetMode="External"/><Relationship Id="rId5" Type="http://schemas.openxmlformats.org/officeDocument/2006/relationships/footnotes" Target="footnotes.xml"/><Relationship Id="rId15" Type="http://schemas.openxmlformats.org/officeDocument/2006/relationships/hyperlink" Target="https://socialresearchmethods.net/kb/positivism-and-post-positivism/" TargetMode="External"/><Relationship Id="rId10" Type="http://schemas.openxmlformats.org/officeDocument/2006/relationships/hyperlink" Target="https://www.iep.utm.edu/kantmeta/" TargetMode="External"/><Relationship Id="rId19"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yperlink" Target="https://www.theguardian.com/world/2002/oct/10/usa.oliverburkeman" TargetMode="External"/><Relationship Id="rId14" Type="http://schemas.openxmlformats.org/officeDocument/2006/relationships/hyperlink" Target="https://allthatsinteresting.com/aileen-wuornos" TargetMode="External"/><Relationship Id="rId22"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333</TotalTime>
  <Pages>11</Pages>
  <Words>3274</Words>
  <Characters>18668</Characters>
  <Application>Microsoft Office Word</Application>
  <DocSecurity>0</DocSecurity>
  <Lines>155</Lines>
  <Paragraphs>43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21899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JENNIFER ELINOR SELBY</dc:creator>
  <cp:keywords/>
  <dc:description/>
  <cp:lastModifiedBy>JENNIFER ELINOR SELBY</cp:lastModifiedBy>
  <cp:revision>75</cp:revision>
  <dcterms:created xsi:type="dcterms:W3CDTF">2020-03-09T15:34:00Z</dcterms:created>
  <dcterms:modified xsi:type="dcterms:W3CDTF">2020-03-13T20:46:00Z</dcterms:modified>
</cp:coreProperties>
</file>