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E432D" w14:textId="00751E41" w:rsidR="38446623" w:rsidRDefault="38446623" w:rsidP="38446623">
      <w:pPr>
        <w:jc w:val="center"/>
        <w:rPr>
          <w:rFonts w:ascii="Times New Roman" w:hAnsi="Times New Roman" w:cs="Times New Roman"/>
          <w:b/>
          <w:bCs/>
          <w:color w:val="000000" w:themeColor="text1"/>
          <w:sz w:val="24"/>
          <w:szCs w:val="24"/>
          <w:u w:val="single"/>
        </w:rPr>
      </w:pPr>
      <w:r w:rsidRPr="38446623">
        <w:rPr>
          <w:rFonts w:ascii="Times New Roman" w:hAnsi="Times New Roman" w:cs="Times New Roman"/>
          <w:b/>
          <w:bCs/>
          <w:color w:val="000000" w:themeColor="text1"/>
          <w:sz w:val="24"/>
          <w:szCs w:val="24"/>
          <w:u w:val="single"/>
        </w:rPr>
        <w:t>Do religious experiences provide evidence of the existence of God?</w:t>
      </w:r>
    </w:p>
    <w:p w14:paraId="12163396" w14:textId="5070F18C" w:rsidR="00981462" w:rsidRDefault="38446623" w:rsidP="38446623">
      <w:pPr>
        <w:rPr>
          <w:rFonts w:ascii="Times New Roman" w:hAnsi="Times New Roman" w:cs="Times New Roman"/>
          <w:color w:val="000000" w:themeColor="text1"/>
          <w:sz w:val="24"/>
          <w:szCs w:val="24"/>
        </w:rPr>
      </w:pPr>
      <w:r w:rsidRPr="38446623">
        <w:rPr>
          <w:rFonts w:ascii="Times New Roman" w:hAnsi="Times New Roman" w:cs="Times New Roman"/>
          <w:color w:val="000000" w:themeColor="text1"/>
          <w:sz w:val="24"/>
          <w:szCs w:val="24"/>
        </w:rPr>
        <w:t>Some religious experiences, encountered by humankind, are now widely accepted worldwide, under religious contexts, and are seen by many as a global phenomenon, whether these are experiences of miracles, near-death experiences, visions, conversion, possessions or other different types of experience.</w:t>
      </w:r>
    </w:p>
    <w:p w14:paraId="1E2B92A4" w14:textId="0C418B55" w:rsidR="00981462" w:rsidRDefault="38446623" w:rsidP="38446623">
      <w:pPr>
        <w:rPr>
          <w:rFonts w:ascii="Times New Roman" w:hAnsi="Times New Roman" w:cs="Times New Roman"/>
          <w:color w:val="000000" w:themeColor="text1"/>
          <w:sz w:val="24"/>
          <w:szCs w:val="24"/>
        </w:rPr>
      </w:pPr>
      <w:r w:rsidRPr="38446623">
        <w:rPr>
          <w:rFonts w:ascii="Times New Roman" w:hAnsi="Times New Roman" w:cs="Times New Roman"/>
          <w:color w:val="000000" w:themeColor="text1"/>
          <w:sz w:val="24"/>
          <w:szCs w:val="24"/>
        </w:rPr>
        <w:t xml:space="preserve">In this essay, I will be exploring particular types of religious experiences which relate to the aforementioned types and I will discuss and compare three different case studies of religious experiences by individuals worldwide. These will be accounts taken from the Sir Alistair Hardy Religious Experience Research Centre. By observing these case studies, I can compare them to what different scholars believe when asking the question on whether such experiences can provide any evidence of the existence of God or divine power. I will also contribute my beliefs to answer this question, by exploring human definitions and perceptions on what experience is, and how varied it can be in individuals of culture, race, age and faith, and how they react differently depending on the experience they have. This will aid in my research to answering this question. Additionally, I will also engage with religious literature on the experiences of defined religious figures and the impact of these experiences upon their lives, comparing them to how individuals change today from similar experiences of divinity through conversion. </w:t>
      </w:r>
    </w:p>
    <w:p w14:paraId="3270BB53" w14:textId="7A652B8C" w:rsidR="004D3EAB" w:rsidRDefault="38446623" w:rsidP="38446623">
      <w:pPr>
        <w:rPr>
          <w:rFonts w:ascii="Times New Roman" w:hAnsi="Times New Roman" w:cs="Times New Roman"/>
          <w:color w:val="000000" w:themeColor="text1"/>
          <w:sz w:val="24"/>
          <w:szCs w:val="24"/>
        </w:rPr>
      </w:pPr>
      <w:r w:rsidRPr="38446623">
        <w:rPr>
          <w:rFonts w:ascii="Times New Roman" w:hAnsi="Times New Roman" w:cs="Times New Roman"/>
          <w:color w:val="000000" w:themeColor="text1"/>
          <w:sz w:val="24"/>
          <w:szCs w:val="24"/>
        </w:rPr>
        <w:t xml:space="preserve">In my first case study I will explore American psychologist William James’ view on religious experience and its relation to the argument of the existence of God through his given lectures in 1901/1902. These can be read in James’ book: </w:t>
      </w:r>
      <w:r w:rsidRPr="38446623">
        <w:rPr>
          <w:rFonts w:ascii="Times New Roman" w:hAnsi="Times New Roman" w:cs="Times New Roman"/>
          <w:i/>
          <w:iCs/>
          <w:color w:val="000000" w:themeColor="text1"/>
          <w:sz w:val="24"/>
          <w:szCs w:val="24"/>
        </w:rPr>
        <w:t>‘The Varieties of Religious Experience’</w:t>
      </w:r>
      <w:r w:rsidRPr="38446623">
        <w:rPr>
          <w:rFonts w:ascii="Times New Roman" w:hAnsi="Times New Roman" w:cs="Times New Roman"/>
          <w:color w:val="000000" w:themeColor="text1"/>
          <w:sz w:val="24"/>
          <w:szCs w:val="24"/>
        </w:rPr>
        <w:t xml:space="preserve">. He states that religious experiences are not as different when compared to ordinary experiences. However, the one key difference between these types of experiences are that </w:t>
      </w:r>
      <w:r w:rsidR="00AB26A8" w:rsidRPr="38446623">
        <w:rPr>
          <w:rFonts w:ascii="Times New Roman" w:hAnsi="Times New Roman" w:cs="Times New Roman"/>
          <w:color w:val="000000" w:themeColor="text1"/>
          <w:sz w:val="24"/>
          <w:szCs w:val="24"/>
        </w:rPr>
        <w:t>one’s</w:t>
      </w:r>
      <w:r w:rsidRPr="38446623">
        <w:rPr>
          <w:rFonts w:ascii="Times New Roman" w:hAnsi="Times New Roman" w:cs="Times New Roman"/>
          <w:color w:val="000000" w:themeColor="text1"/>
          <w:sz w:val="24"/>
          <w:szCs w:val="24"/>
        </w:rPr>
        <w:t xml:space="preserve"> of similar religious outlooks to James, are seen as ineffable and difficult to explain in full. He relates religious experiences to mysticism and raw human emotions, as he views individuals having religious experiences as somehow being connected to their own personal lives, thus, they are the only ones who can truly understand the experience they are going through.</w:t>
      </w:r>
    </w:p>
    <w:p w14:paraId="5CB940E5" w14:textId="7CB1C55E" w:rsidR="004D3EAB" w:rsidRDefault="38446623" w:rsidP="38446623">
      <w:pPr>
        <w:rPr>
          <w:rFonts w:ascii="Times New Roman" w:hAnsi="Times New Roman" w:cs="Times New Roman"/>
          <w:color w:val="000000" w:themeColor="text1"/>
          <w:sz w:val="24"/>
          <w:szCs w:val="24"/>
        </w:rPr>
      </w:pPr>
      <w:r w:rsidRPr="38446623">
        <w:rPr>
          <w:rFonts w:ascii="Times New Roman" w:hAnsi="Times New Roman" w:cs="Times New Roman"/>
          <w:color w:val="000000" w:themeColor="text1"/>
          <w:sz w:val="24"/>
          <w:szCs w:val="24"/>
        </w:rPr>
        <w:t xml:space="preserve"> Additionally, he declares that religious experiences should be viewed more as a kind of personal experience/journey rather than religious experiences and</w:t>
      </w:r>
      <w:r w:rsidR="00AB26A8">
        <w:rPr>
          <w:rFonts w:ascii="Times New Roman" w:hAnsi="Times New Roman" w:cs="Times New Roman"/>
          <w:color w:val="000000" w:themeColor="text1"/>
          <w:sz w:val="24"/>
          <w:szCs w:val="24"/>
        </w:rPr>
        <w:t xml:space="preserve"> </w:t>
      </w:r>
      <w:r w:rsidRPr="38446623">
        <w:rPr>
          <w:rFonts w:ascii="Times New Roman" w:hAnsi="Times New Roman" w:cs="Times New Roman"/>
          <w:color w:val="000000" w:themeColor="text1"/>
          <w:sz w:val="24"/>
          <w:szCs w:val="24"/>
        </w:rPr>
        <w:t xml:space="preserve">that any </w:t>
      </w:r>
      <w:r w:rsidRPr="38446623">
        <w:rPr>
          <w:rFonts w:ascii="Times New Roman" w:hAnsi="Times New Roman" w:cs="Times New Roman"/>
          <w:color w:val="000000" w:themeColor="text1"/>
          <w:sz w:val="24"/>
          <w:szCs w:val="24"/>
        </w:rPr>
        <w:lastRenderedPageBreak/>
        <w:t xml:space="preserve">living thing can have a religious and personal experiences any time in their lives and this can cause great changes possibly for the better, but in some cases, the worse. </w:t>
      </w:r>
    </w:p>
    <w:p w14:paraId="41441CD6" w14:textId="6E619389" w:rsidR="004D3EAB" w:rsidRDefault="00B949C4" w:rsidP="38446623">
      <w:pPr>
        <w:rPr>
          <w:rFonts w:ascii="Times New Roman" w:hAnsi="Times New Roman" w:cs="Times New Roman"/>
          <w:color w:val="000000" w:themeColor="text1"/>
          <w:sz w:val="24"/>
          <w:szCs w:val="24"/>
        </w:rPr>
      </w:pPr>
      <w:r w:rsidRPr="38446623">
        <w:rPr>
          <w:rFonts w:ascii="Times New Roman" w:hAnsi="Times New Roman" w:cs="Times New Roman"/>
          <w:color w:val="000000" w:themeColor="text1"/>
          <w:sz w:val="24"/>
          <w:szCs w:val="24"/>
        </w:rPr>
        <w:t>An experience that reflects James’ view on religious experiences is an account found within the Religious Experience Research Centre (RERC)</w:t>
      </w:r>
      <w:r w:rsidR="004D3EAB" w:rsidRPr="38446623">
        <w:rPr>
          <w:rFonts w:ascii="Times New Roman" w:hAnsi="Times New Roman" w:cs="Times New Roman"/>
          <w:color w:val="000000" w:themeColor="text1"/>
          <w:sz w:val="24"/>
          <w:szCs w:val="24"/>
        </w:rPr>
        <w:t xml:space="preserve"> which is entitled: </w:t>
      </w:r>
      <w:r w:rsidR="004469FF" w:rsidRPr="38446623">
        <w:rPr>
          <w:rFonts w:ascii="Times New Roman" w:hAnsi="Times New Roman" w:cs="Times New Roman"/>
          <w:i/>
          <w:iCs/>
          <w:color w:val="000000" w:themeColor="text1"/>
          <w:sz w:val="24"/>
          <w:szCs w:val="24"/>
        </w:rPr>
        <w:t>‘</w:t>
      </w:r>
      <w:bookmarkStart w:id="0" w:name="_Hlk3108496"/>
      <w:r w:rsidR="004469FF" w:rsidRPr="38446623">
        <w:rPr>
          <w:rFonts w:ascii="Times New Roman" w:hAnsi="Times New Roman" w:cs="Times New Roman"/>
          <w:i/>
          <w:iCs/>
          <w:color w:val="000000" w:themeColor="text1"/>
          <w:sz w:val="24"/>
          <w:szCs w:val="24"/>
        </w:rPr>
        <w:t>Pain. Loneliness. Prayer. Vow. Epiphany. Knowledge. Love. Selflessness</w:t>
      </w:r>
      <w:bookmarkEnd w:id="0"/>
      <w:r w:rsidR="004469FF" w:rsidRPr="38446623">
        <w:rPr>
          <w:rFonts w:ascii="Times New Roman" w:hAnsi="Times New Roman" w:cs="Times New Roman"/>
          <w:i/>
          <w:iCs/>
          <w:color w:val="000000" w:themeColor="text1"/>
          <w:sz w:val="24"/>
          <w:szCs w:val="24"/>
        </w:rPr>
        <w:t>.’</w:t>
      </w:r>
      <w:r w:rsidR="004469FF" w:rsidRPr="38446623">
        <w:rPr>
          <w:rFonts w:ascii="Times New Roman" w:hAnsi="Times New Roman" w:cs="Times New Roman"/>
          <w:color w:val="000000" w:themeColor="text1"/>
          <w:sz w:val="24"/>
          <w:szCs w:val="24"/>
        </w:rPr>
        <w:t xml:space="preserve"> This account was written by a Christian woman from Scotland on the 1</w:t>
      </w:r>
      <w:r w:rsidR="004469FF" w:rsidRPr="38446623">
        <w:rPr>
          <w:rFonts w:ascii="Times New Roman" w:hAnsi="Times New Roman" w:cs="Times New Roman"/>
          <w:color w:val="000000" w:themeColor="text1"/>
          <w:sz w:val="24"/>
          <w:szCs w:val="24"/>
          <w:vertAlign w:val="superscript"/>
        </w:rPr>
        <w:t>st</w:t>
      </w:r>
      <w:r w:rsidR="004469FF" w:rsidRPr="38446623">
        <w:rPr>
          <w:rFonts w:ascii="Times New Roman" w:hAnsi="Times New Roman" w:cs="Times New Roman"/>
          <w:color w:val="000000" w:themeColor="text1"/>
          <w:sz w:val="24"/>
          <w:szCs w:val="24"/>
        </w:rPr>
        <w:t xml:space="preserve"> of January 1966. Her story is, </w:t>
      </w:r>
      <w:r w:rsidR="00F25DC8" w:rsidRPr="38446623">
        <w:rPr>
          <w:rFonts w:ascii="Times New Roman" w:hAnsi="Times New Roman" w:cs="Times New Roman"/>
          <w:color w:val="000000" w:themeColor="text1"/>
          <w:sz w:val="24"/>
          <w:szCs w:val="24"/>
        </w:rPr>
        <w:t>as the title suggests, that her early life was filled with sorrow, pain, loneliness and a general constant unhappiness. This was, until she was alone in her house and was suddenly filled with the awareness of her own attitude to life</w:t>
      </w:r>
      <w:r w:rsidR="00664E5A" w:rsidRPr="38446623">
        <w:rPr>
          <w:rFonts w:ascii="Times New Roman" w:hAnsi="Times New Roman" w:cs="Times New Roman"/>
          <w:color w:val="000000" w:themeColor="text1"/>
          <w:sz w:val="24"/>
          <w:szCs w:val="24"/>
        </w:rPr>
        <w:t>. She felt constant self-pity and somewhat selfish empathy only to herself and not to others.</w:t>
      </w:r>
      <w:r w:rsidR="00F25DC8" w:rsidRPr="38446623">
        <w:rPr>
          <w:rFonts w:ascii="Times New Roman" w:hAnsi="Times New Roman" w:cs="Times New Roman"/>
          <w:color w:val="000000" w:themeColor="text1"/>
          <w:sz w:val="24"/>
          <w:szCs w:val="24"/>
        </w:rPr>
        <w:t xml:space="preserve"> </w:t>
      </w:r>
      <w:r w:rsidR="00664E5A" w:rsidRPr="38446623">
        <w:rPr>
          <w:rFonts w:ascii="Times New Roman" w:hAnsi="Times New Roman" w:cs="Times New Roman"/>
          <w:color w:val="000000" w:themeColor="text1"/>
          <w:sz w:val="24"/>
          <w:szCs w:val="24"/>
        </w:rPr>
        <w:t xml:space="preserve">Due to these feelings, she thought it essential that these attitudes </w:t>
      </w:r>
      <w:r w:rsidR="00F25DC8" w:rsidRPr="38446623">
        <w:rPr>
          <w:rFonts w:ascii="Times New Roman" w:hAnsi="Times New Roman" w:cs="Times New Roman"/>
          <w:color w:val="000000" w:themeColor="text1"/>
          <w:sz w:val="24"/>
          <w:szCs w:val="24"/>
        </w:rPr>
        <w:t>needed to be changed. Hence,</w:t>
      </w:r>
      <w:r w:rsidR="00664E5A" w:rsidRPr="38446623">
        <w:rPr>
          <w:rFonts w:ascii="Times New Roman" w:hAnsi="Times New Roman" w:cs="Times New Roman"/>
          <w:color w:val="000000" w:themeColor="text1"/>
          <w:sz w:val="24"/>
          <w:szCs w:val="24"/>
        </w:rPr>
        <w:t xml:space="preserve"> from that day, </w:t>
      </w:r>
      <w:r w:rsidR="00F25DC8" w:rsidRPr="38446623">
        <w:rPr>
          <w:rFonts w:ascii="Times New Roman" w:hAnsi="Times New Roman" w:cs="Times New Roman"/>
          <w:color w:val="000000" w:themeColor="text1"/>
          <w:sz w:val="24"/>
          <w:szCs w:val="24"/>
        </w:rPr>
        <w:t xml:space="preserve">she vowed </w:t>
      </w:r>
      <w:r w:rsidR="007113D7" w:rsidRPr="38446623">
        <w:rPr>
          <w:rFonts w:ascii="Times New Roman" w:hAnsi="Times New Roman" w:cs="Times New Roman"/>
          <w:color w:val="000000" w:themeColor="text1"/>
          <w:sz w:val="24"/>
          <w:szCs w:val="24"/>
        </w:rPr>
        <w:t>‘to God that from then on for the rest of</w:t>
      </w:r>
      <w:r w:rsidR="003E43AC" w:rsidRPr="38446623">
        <w:rPr>
          <w:rFonts w:ascii="Times New Roman" w:hAnsi="Times New Roman" w:cs="Times New Roman"/>
          <w:color w:val="000000" w:themeColor="text1"/>
          <w:sz w:val="24"/>
          <w:szCs w:val="24"/>
        </w:rPr>
        <w:t xml:space="preserve"> [her]</w:t>
      </w:r>
      <w:r w:rsidR="007113D7" w:rsidRPr="38446623">
        <w:rPr>
          <w:rFonts w:ascii="Times New Roman" w:hAnsi="Times New Roman" w:cs="Times New Roman"/>
          <w:color w:val="000000" w:themeColor="text1"/>
          <w:sz w:val="24"/>
          <w:szCs w:val="24"/>
        </w:rPr>
        <w:t xml:space="preserve"> life </w:t>
      </w:r>
      <w:r w:rsidR="003E43AC" w:rsidRPr="38446623">
        <w:rPr>
          <w:rFonts w:ascii="Times New Roman" w:hAnsi="Times New Roman" w:cs="Times New Roman"/>
          <w:color w:val="000000" w:themeColor="text1"/>
          <w:sz w:val="24"/>
          <w:szCs w:val="24"/>
        </w:rPr>
        <w:t>[she]</w:t>
      </w:r>
      <w:r w:rsidR="007113D7" w:rsidRPr="38446623">
        <w:rPr>
          <w:rFonts w:ascii="Times New Roman" w:hAnsi="Times New Roman" w:cs="Times New Roman"/>
          <w:color w:val="000000" w:themeColor="text1"/>
          <w:sz w:val="24"/>
          <w:szCs w:val="24"/>
        </w:rPr>
        <w:t xml:space="preserve"> would love and serve mankind.’</w:t>
      </w:r>
      <w:r w:rsidR="007113D7" w:rsidRPr="38446623">
        <w:rPr>
          <w:rStyle w:val="FootnoteReference"/>
          <w:rFonts w:ascii="Times New Roman" w:hAnsi="Times New Roman" w:cs="Times New Roman"/>
          <w:color w:val="000000" w:themeColor="text1"/>
          <w:sz w:val="24"/>
          <w:szCs w:val="24"/>
        </w:rPr>
        <w:footnoteReference w:id="1"/>
      </w:r>
      <w:r w:rsidR="00555884" w:rsidRPr="38446623">
        <w:rPr>
          <w:rFonts w:ascii="Times New Roman" w:hAnsi="Times New Roman" w:cs="Times New Roman"/>
          <w:color w:val="000000" w:themeColor="text1"/>
          <w:sz w:val="24"/>
          <w:szCs w:val="24"/>
        </w:rPr>
        <w:t xml:space="preserve"> This experience continued the following morning as she noted how she suddenly received spiritual knowledge pouring into her mind. She has possessed that experience ever since from that day to</w:t>
      </w:r>
      <w:r w:rsidR="00A133A6" w:rsidRPr="38446623">
        <w:rPr>
          <w:rFonts w:ascii="Times New Roman" w:hAnsi="Times New Roman" w:cs="Times New Roman"/>
          <w:color w:val="000000" w:themeColor="text1"/>
          <w:sz w:val="24"/>
          <w:szCs w:val="24"/>
        </w:rPr>
        <w:t xml:space="preserve"> this, certain that the love and service of mankind was the purpose and will of God.  Also, that </w:t>
      </w:r>
      <w:r w:rsidR="006A26C6" w:rsidRPr="38446623">
        <w:rPr>
          <w:rFonts w:ascii="Times New Roman" w:hAnsi="Times New Roman" w:cs="Times New Roman"/>
          <w:color w:val="000000" w:themeColor="text1"/>
          <w:sz w:val="24"/>
          <w:szCs w:val="24"/>
        </w:rPr>
        <w:t xml:space="preserve">God manifested everything and everyone in the universe and that the brotherhood of humanity </w:t>
      </w:r>
      <w:r w:rsidR="00ED5A77" w:rsidRPr="38446623">
        <w:rPr>
          <w:rFonts w:ascii="Times New Roman" w:hAnsi="Times New Roman" w:cs="Times New Roman"/>
          <w:color w:val="000000" w:themeColor="text1"/>
          <w:sz w:val="24"/>
          <w:szCs w:val="24"/>
        </w:rPr>
        <w:t>is what all living things must strive for on earth and mankind must turn away from selfish pursuits and instead be obedient to God. This obedience is</w:t>
      </w:r>
      <w:r w:rsidR="00E56B34" w:rsidRPr="38446623">
        <w:rPr>
          <w:rFonts w:ascii="Times New Roman" w:hAnsi="Times New Roman" w:cs="Times New Roman"/>
          <w:color w:val="000000" w:themeColor="text1"/>
          <w:sz w:val="24"/>
          <w:szCs w:val="24"/>
        </w:rPr>
        <w:t xml:space="preserve"> through selflessness and love</w:t>
      </w:r>
      <w:r w:rsidR="00C213BD" w:rsidRPr="38446623">
        <w:rPr>
          <w:rFonts w:ascii="Times New Roman" w:hAnsi="Times New Roman" w:cs="Times New Roman"/>
          <w:color w:val="000000" w:themeColor="text1"/>
          <w:sz w:val="24"/>
          <w:szCs w:val="24"/>
        </w:rPr>
        <w:t xml:space="preserve"> for the evolutionary progression of mankind to continue</w:t>
      </w:r>
      <w:r w:rsidR="00280E9F" w:rsidRPr="38446623">
        <w:rPr>
          <w:rFonts w:ascii="Times New Roman" w:hAnsi="Times New Roman" w:cs="Times New Roman"/>
          <w:color w:val="000000" w:themeColor="text1"/>
          <w:sz w:val="24"/>
          <w:szCs w:val="24"/>
        </w:rPr>
        <w:t>. The accountant then details this experience as if ‘all [her] life [she] had been in a darkened room and then [she] ha[s] suddenly walked out of it into the sunlight of day.</w:t>
      </w:r>
      <w:r w:rsidR="003E43AC" w:rsidRPr="38446623">
        <w:rPr>
          <w:rFonts w:ascii="Times New Roman" w:hAnsi="Times New Roman" w:cs="Times New Roman"/>
          <w:color w:val="000000" w:themeColor="text1"/>
          <w:sz w:val="24"/>
          <w:szCs w:val="24"/>
        </w:rPr>
        <w:t>’</w:t>
      </w:r>
      <w:r w:rsidR="003E43AC" w:rsidRPr="38446623">
        <w:rPr>
          <w:rStyle w:val="FootnoteReference"/>
          <w:rFonts w:ascii="Times New Roman" w:hAnsi="Times New Roman" w:cs="Times New Roman"/>
          <w:color w:val="000000" w:themeColor="text1"/>
          <w:sz w:val="24"/>
          <w:szCs w:val="24"/>
        </w:rPr>
        <w:footnoteReference w:id="2"/>
      </w:r>
      <w:r w:rsidR="00C52D95" w:rsidRPr="38446623">
        <w:rPr>
          <w:rFonts w:ascii="Times New Roman" w:hAnsi="Times New Roman" w:cs="Times New Roman"/>
          <w:color w:val="000000" w:themeColor="text1"/>
          <w:sz w:val="24"/>
          <w:szCs w:val="24"/>
        </w:rPr>
        <w:t xml:space="preserve"> All her regrets, misfortunes and sorrows were all gone within a matter of weeks due to this experience and she notes that those that have not received this experience yet, are still in great ignorance of the true message, and soon, all beings will receive this revelation and work for the will of God.</w:t>
      </w:r>
    </w:p>
    <w:p w14:paraId="408FBC64" w14:textId="5DF15BF6" w:rsidR="00C52D95" w:rsidRDefault="38446623" w:rsidP="38446623">
      <w:pPr>
        <w:rPr>
          <w:rFonts w:ascii="Times New Roman" w:hAnsi="Times New Roman" w:cs="Times New Roman"/>
          <w:color w:val="000000" w:themeColor="text1"/>
          <w:sz w:val="24"/>
          <w:szCs w:val="24"/>
        </w:rPr>
      </w:pPr>
      <w:r w:rsidRPr="38446623">
        <w:rPr>
          <w:rFonts w:ascii="Times New Roman" w:hAnsi="Times New Roman" w:cs="Times New Roman"/>
          <w:color w:val="000000" w:themeColor="text1"/>
          <w:sz w:val="24"/>
          <w:szCs w:val="24"/>
        </w:rPr>
        <w:t xml:space="preserve">This case study heavily relates to William James’ view on religious experience and it can be used as a good argument if claiming that religious experiences do provide evidence for the existence of God because the woman does not claim throughout her account that she is heavily religious in any way. Also, that it was from this </w:t>
      </w:r>
      <w:r w:rsidRPr="38446623">
        <w:rPr>
          <w:rFonts w:ascii="Times New Roman" w:hAnsi="Times New Roman" w:cs="Times New Roman"/>
          <w:color w:val="000000" w:themeColor="text1"/>
          <w:sz w:val="24"/>
          <w:szCs w:val="24"/>
        </w:rPr>
        <w:lastRenderedPageBreak/>
        <w:t xml:space="preserve">experience of being filled with ‘spiritual knowledge’ that she relates the change of attitude in her life to God. Additionally, as James suggests, the accountant is indeed, on her own personal journey. She has experienced years of grief, sorrow and unhappiness, to then becoming compassionate and giving to mankind. Therefore, this can offer an answer to the question on whether religious experience can prove the existence of God as a God, described as omnibenevolent within biblical scripture. The accountant’s life was changed for the better due to the spiritual knowledge she received and thus, is living a much happier life even to this day because of it. Possibly, this proves the existence of God from the views of individuals already religious or converted. </w:t>
      </w:r>
    </w:p>
    <w:p w14:paraId="7AEDB2E4" w14:textId="7037D2FB" w:rsidR="00F30123" w:rsidRDefault="38446623" w:rsidP="38446623">
      <w:pPr>
        <w:rPr>
          <w:rFonts w:ascii="Times New Roman" w:hAnsi="Times New Roman" w:cs="Times New Roman"/>
          <w:color w:val="000000" w:themeColor="text1"/>
          <w:sz w:val="24"/>
          <w:szCs w:val="24"/>
        </w:rPr>
      </w:pPr>
      <w:r w:rsidRPr="38446623">
        <w:rPr>
          <w:rFonts w:ascii="Times New Roman" w:hAnsi="Times New Roman" w:cs="Times New Roman"/>
          <w:color w:val="000000" w:themeColor="text1"/>
          <w:sz w:val="24"/>
          <w:szCs w:val="24"/>
        </w:rPr>
        <w:t>The biblical passage that follows embodies what God is to millions worldwide through his omnibenevolence:</w:t>
      </w:r>
    </w:p>
    <w:p w14:paraId="28A5EA4F" w14:textId="77777777" w:rsidR="006A5BD6" w:rsidRDefault="006A5BD6" w:rsidP="38446623">
      <w:pPr>
        <w:rPr>
          <w:rFonts w:ascii="Times New Roman" w:hAnsi="Times New Roman" w:cs="Times New Roman"/>
          <w:color w:val="000000" w:themeColor="text1"/>
          <w:sz w:val="24"/>
          <w:szCs w:val="24"/>
        </w:rPr>
      </w:pPr>
      <w:bookmarkStart w:id="2" w:name="_GoBack"/>
      <w:bookmarkEnd w:id="2"/>
    </w:p>
    <w:p w14:paraId="42049857" w14:textId="03EA59E6" w:rsidR="00F30123" w:rsidRPr="004469FF" w:rsidRDefault="38446623" w:rsidP="38446623">
      <w:pPr>
        <w:rPr>
          <w:rFonts w:ascii="Times New Roman" w:hAnsi="Times New Roman" w:cs="Times New Roman"/>
          <w:color w:val="000000" w:themeColor="text1"/>
          <w:sz w:val="24"/>
          <w:szCs w:val="24"/>
        </w:rPr>
      </w:pPr>
      <w:r w:rsidRPr="38446623">
        <w:rPr>
          <w:rFonts w:ascii="Times New Roman" w:hAnsi="Times New Roman" w:cs="Times New Roman"/>
          <w:color w:val="000000" w:themeColor="text1"/>
          <w:sz w:val="24"/>
          <w:szCs w:val="24"/>
        </w:rPr>
        <w:t>‘As for God, his way is perfect; the word of the Lord is tried: he is a buckler to all them that trust in him.’ (2 Samuel 22:31)</w:t>
      </w:r>
    </w:p>
    <w:p w14:paraId="29EFCAB2" w14:textId="4703C3CA" w:rsidR="00F32117"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Richard Swinburne’s view on religious experience can be seen in his book: ‘</w:t>
      </w:r>
      <w:r w:rsidRPr="38446623">
        <w:rPr>
          <w:rFonts w:ascii="Times New Roman" w:hAnsi="Times New Roman" w:cs="Times New Roman"/>
          <w:i/>
          <w:iCs/>
          <w:sz w:val="24"/>
          <w:szCs w:val="24"/>
        </w:rPr>
        <w:t>The Existence of God’</w:t>
      </w:r>
      <w:r w:rsidRPr="38446623">
        <w:rPr>
          <w:rFonts w:ascii="Times New Roman" w:hAnsi="Times New Roman" w:cs="Times New Roman"/>
          <w:sz w:val="24"/>
          <w:szCs w:val="24"/>
        </w:rPr>
        <w:t xml:space="preserve"> where he claims that religious experiences both have internal and external interpretations to them. Arguments can be given for internal experiences such as someone saying that they communicated with God, and an external experience such as someone experiencing a completely different reality to our own. Additionally, he notes that religious experiences are based on the definition, interpretation and sensory perception of the individual receiving the experience from God or a greater supernatural being. We can only have a religious experiencing of God if we truly believe that is our perception of mystical divinity we are communicating with. The following quote taken from Swinburne’s book summarises what this means using ‘</w:t>
      </w:r>
      <w:r w:rsidRPr="38446623">
        <w:rPr>
          <w:rFonts w:ascii="Times New Roman" w:hAnsi="Times New Roman" w:cs="Times New Roman"/>
          <w:i/>
          <w:iCs/>
          <w:sz w:val="24"/>
          <w:szCs w:val="24"/>
        </w:rPr>
        <w:t>S</w:t>
      </w:r>
      <w:r w:rsidRPr="38446623">
        <w:rPr>
          <w:rFonts w:ascii="Times New Roman" w:hAnsi="Times New Roman" w:cs="Times New Roman"/>
          <w:sz w:val="24"/>
          <w:szCs w:val="24"/>
        </w:rPr>
        <w:t>’ as the subject and ‘</w:t>
      </w:r>
      <w:r w:rsidRPr="38446623">
        <w:rPr>
          <w:rFonts w:ascii="Times New Roman" w:hAnsi="Times New Roman" w:cs="Times New Roman"/>
          <w:i/>
          <w:iCs/>
          <w:sz w:val="24"/>
          <w:szCs w:val="24"/>
        </w:rPr>
        <w:t>x</w:t>
      </w:r>
      <w:r w:rsidRPr="38446623">
        <w:rPr>
          <w:rFonts w:ascii="Times New Roman" w:hAnsi="Times New Roman" w:cs="Times New Roman"/>
          <w:sz w:val="24"/>
          <w:szCs w:val="24"/>
        </w:rPr>
        <w:t xml:space="preserve">’ as God: </w:t>
      </w:r>
    </w:p>
    <w:p w14:paraId="3F37777D" w14:textId="59DAE920" w:rsidR="006D7EED" w:rsidRDefault="006D7EED" w:rsidP="38446623">
      <w:pPr>
        <w:rPr>
          <w:rFonts w:ascii="Times New Roman" w:hAnsi="Times New Roman" w:cs="Times New Roman"/>
          <w:sz w:val="24"/>
          <w:szCs w:val="24"/>
        </w:rPr>
      </w:pPr>
      <w:r w:rsidRPr="38446623">
        <w:rPr>
          <w:rFonts w:ascii="Times New Roman" w:hAnsi="Times New Roman" w:cs="Times New Roman"/>
          <w:sz w:val="24"/>
          <w:szCs w:val="24"/>
        </w:rPr>
        <w:t xml:space="preserve">‘[If] </w:t>
      </w:r>
      <w:r w:rsidRPr="38446623">
        <w:rPr>
          <w:rFonts w:ascii="Times New Roman" w:hAnsi="Times New Roman" w:cs="Times New Roman"/>
          <w:i/>
          <w:iCs/>
          <w:sz w:val="24"/>
          <w:szCs w:val="24"/>
        </w:rPr>
        <w:t>S</w:t>
      </w:r>
      <w:r w:rsidRPr="38446623">
        <w:rPr>
          <w:rFonts w:ascii="Times New Roman" w:hAnsi="Times New Roman" w:cs="Times New Roman"/>
          <w:sz w:val="24"/>
          <w:szCs w:val="24"/>
        </w:rPr>
        <w:t xml:space="preserve"> perceives </w:t>
      </w:r>
      <w:r w:rsidRPr="38446623">
        <w:rPr>
          <w:rFonts w:ascii="Times New Roman" w:hAnsi="Times New Roman" w:cs="Times New Roman"/>
          <w:i/>
          <w:iCs/>
          <w:sz w:val="24"/>
          <w:szCs w:val="24"/>
        </w:rPr>
        <w:t>x</w:t>
      </w:r>
      <w:r w:rsidRPr="38446623">
        <w:rPr>
          <w:rFonts w:ascii="Times New Roman" w:hAnsi="Times New Roman" w:cs="Times New Roman"/>
          <w:sz w:val="24"/>
          <w:szCs w:val="24"/>
        </w:rPr>
        <w:t xml:space="preserve"> (believing that he is so doing) if and only if an experience </w:t>
      </w:r>
      <w:r w:rsidR="007954C8" w:rsidRPr="38446623">
        <w:rPr>
          <w:rFonts w:ascii="Times New Roman" w:hAnsi="Times New Roman" w:cs="Times New Roman"/>
          <w:sz w:val="24"/>
          <w:szCs w:val="24"/>
        </w:rPr>
        <w:t xml:space="preserve">its seeming (epistemically) to </w:t>
      </w:r>
      <w:r w:rsidR="007954C8" w:rsidRPr="38446623">
        <w:rPr>
          <w:rFonts w:ascii="Times New Roman" w:hAnsi="Times New Roman" w:cs="Times New Roman"/>
          <w:i/>
          <w:iCs/>
          <w:sz w:val="24"/>
          <w:szCs w:val="24"/>
        </w:rPr>
        <w:t>S</w:t>
      </w:r>
      <w:r w:rsidR="007954C8" w:rsidRPr="38446623">
        <w:rPr>
          <w:rFonts w:ascii="Times New Roman" w:hAnsi="Times New Roman" w:cs="Times New Roman"/>
          <w:sz w:val="24"/>
          <w:szCs w:val="24"/>
        </w:rPr>
        <w:t xml:space="preserve"> that</w:t>
      </w:r>
      <w:r w:rsidR="007954C8" w:rsidRPr="38446623">
        <w:rPr>
          <w:rFonts w:ascii="Times New Roman" w:hAnsi="Times New Roman" w:cs="Times New Roman"/>
          <w:i/>
          <w:iCs/>
          <w:sz w:val="24"/>
          <w:szCs w:val="24"/>
        </w:rPr>
        <w:t xml:space="preserve"> x</w:t>
      </w:r>
      <w:r w:rsidR="007954C8" w:rsidRPr="38446623">
        <w:rPr>
          <w:rFonts w:ascii="Times New Roman" w:hAnsi="Times New Roman" w:cs="Times New Roman"/>
          <w:sz w:val="24"/>
          <w:szCs w:val="24"/>
        </w:rPr>
        <w:t xml:space="preserve"> is present was caused by </w:t>
      </w:r>
      <w:r w:rsidR="007954C8" w:rsidRPr="38446623">
        <w:rPr>
          <w:rFonts w:ascii="Times New Roman" w:hAnsi="Times New Roman" w:cs="Times New Roman"/>
          <w:i/>
          <w:iCs/>
          <w:sz w:val="24"/>
          <w:szCs w:val="24"/>
        </w:rPr>
        <w:t>x</w:t>
      </w:r>
      <w:r w:rsidR="007954C8" w:rsidRPr="38446623">
        <w:rPr>
          <w:rFonts w:ascii="Times New Roman" w:hAnsi="Times New Roman" w:cs="Times New Roman"/>
          <w:sz w:val="24"/>
          <w:szCs w:val="24"/>
        </w:rPr>
        <w:t xml:space="preserve">’s being present. </w:t>
      </w:r>
      <w:r w:rsidR="00810FB7" w:rsidRPr="38446623">
        <w:rPr>
          <w:rFonts w:ascii="Times New Roman" w:hAnsi="Times New Roman" w:cs="Times New Roman"/>
          <w:sz w:val="24"/>
          <w:szCs w:val="24"/>
        </w:rPr>
        <w:t>So,</w:t>
      </w:r>
      <w:r w:rsidR="007954C8" w:rsidRPr="38446623">
        <w:rPr>
          <w:rFonts w:ascii="Times New Roman" w:hAnsi="Times New Roman" w:cs="Times New Roman"/>
          <w:sz w:val="24"/>
          <w:szCs w:val="24"/>
        </w:rPr>
        <w:t xml:space="preserve"> </w:t>
      </w:r>
      <w:r w:rsidR="007954C8" w:rsidRPr="38446623">
        <w:rPr>
          <w:rFonts w:ascii="Times New Roman" w:hAnsi="Times New Roman" w:cs="Times New Roman"/>
          <w:i/>
          <w:iCs/>
          <w:sz w:val="24"/>
          <w:szCs w:val="24"/>
        </w:rPr>
        <w:t xml:space="preserve">S </w:t>
      </w:r>
      <w:r w:rsidR="007954C8" w:rsidRPr="38446623">
        <w:rPr>
          <w:rFonts w:ascii="Times New Roman" w:hAnsi="Times New Roman" w:cs="Times New Roman"/>
          <w:sz w:val="24"/>
          <w:szCs w:val="24"/>
        </w:rPr>
        <w:lastRenderedPageBreak/>
        <w:t>has an</w:t>
      </w:r>
      <w:r w:rsidR="003E6487" w:rsidRPr="38446623">
        <w:rPr>
          <w:rFonts w:ascii="Times New Roman" w:hAnsi="Times New Roman" w:cs="Times New Roman"/>
          <w:sz w:val="24"/>
          <w:szCs w:val="24"/>
        </w:rPr>
        <w:t xml:space="preserve"> experience of God if and only if </w:t>
      </w:r>
      <w:r w:rsidR="00810FB7" w:rsidRPr="38446623">
        <w:rPr>
          <w:rFonts w:ascii="Times New Roman" w:hAnsi="Times New Roman" w:cs="Times New Roman"/>
          <w:sz w:val="24"/>
          <w:szCs w:val="24"/>
        </w:rPr>
        <w:t>[it is]</w:t>
      </w:r>
      <w:r w:rsidR="003E6487" w:rsidRPr="38446623">
        <w:rPr>
          <w:rFonts w:ascii="Times New Roman" w:hAnsi="Times New Roman" w:cs="Times New Roman"/>
          <w:sz w:val="24"/>
          <w:szCs w:val="24"/>
        </w:rPr>
        <w:t xml:space="preserve"> seeming to him that God is present is in fact caused by God being present.’</w:t>
      </w:r>
      <w:r w:rsidR="008D214C" w:rsidRPr="38446623">
        <w:rPr>
          <w:rStyle w:val="FootnoteReference"/>
          <w:rFonts w:ascii="Times New Roman" w:hAnsi="Times New Roman" w:cs="Times New Roman"/>
          <w:sz w:val="24"/>
          <w:szCs w:val="24"/>
        </w:rPr>
        <w:footnoteReference w:id="3"/>
      </w:r>
    </w:p>
    <w:p w14:paraId="53D150B0" w14:textId="76C21D92" w:rsidR="00482F14" w:rsidRDefault="000C5930" w:rsidP="38446623">
      <w:pPr>
        <w:rPr>
          <w:rFonts w:ascii="Times New Roman" w:hAnsi="Times New Roman" w:cs="Times New Roman"/>
          <w:sz w:val="24"/>
          <w:szCs w:val="24"/>
        </w:rPr>
      </w:pPr>
      <w:r w:rsidRPr="38446623">
        <w:rPr>
          <w:rFonts w:ascii="Times New Roman" w:hAnsi="Times New Roman" w:cs="Times New Roman"/>
          <w:sz w:val="24"/>
          <w:szCs w:val="24"/>
        </w:rPr>
        <w:t>Another case study from the research centre that relates to Swinburne’s views is an account</w:t>
      </w:r>
      <w:r w:rsidR="008A4F12" w:rsidRPr="38446623">
        <w:rPr>
          <w:rFonts w:ascii="Times New Roman" w:hAnsi="Times New Roman" w:cs="Times New Roman"/>
          <w:sz w:val="24"/>
          <w:szCs w:val="24"/>
        </w:rPr>
        <w:t xml:space="preserve"> entitled: ‘</w:t>
      </w:r>
      <w:bookmarkStart w:id="3" w:name="_Hlk3108338"/>
      <w:r w:rsidR="008A4F12" w:rsidRPr="38446623">
        <w:rPr>
          <w:rFonts w:ascii="Times New Roman" w:hAnsi="Times New Roman" w:cs="Times New Roman"/>
          <w:i/>
          <w:iCs/>
          <w:sz w:val="24"/>
          <w:szCs w:val="24"/>
        </w:rPr>
        <w:t>Prayer communication god</w:t>
      </w:r>
      <w:bookmarkEnd w:id="3"/>
      <w:r w:rsidR="008A4F12" w:rsidRPr="38446623">
        <w:rPr>
          <w:rFonts w:ascii="Times New Roman" w:hAnsi="Times New Roman" w:cs="Times New Roman"/>
          <w:i/>
          <w:iCs/>
          <w:sz w:val="24"/>
          <w:szCs w:val="24"/>
        </w:rPr>
        <w:t xml:space="preserve">’. </w:t>
      </w:r>
      <w:r w:rsidR="008A4F12" w:rsidRPr="38446623">
        <w:rPr>
          <w:rFonts w:ascii="Times New Roman" w:hAnsi="Times New Roman" w:cs="Times New Roman"/>
          <w:sz w:val="24"/>
          <w:szCs w:val="24"/>
        </w:rPr>
        <w:t>This was written by a Christian woman from England on the 20</w:t>
      </w:r>
      <w:r w:rsidR="008A4F12" w:rsidRPr="38446623">
        <w:rPr>
          <w:rFonts w:ascii="Times New Roman" w:hAnsi="Times New Roman" w:cs="Times New Roman"/>
          <w:sz w:val="24"/>
          <w:szCs w:val="24"/>
          <w:vertAlign w:val="superscript"/>
        </w:rPr>
        <w:t>th</w:t>
      </w:r>
      <w:r w:rsidR="008A4F12" w:rsidRPr="38446623">
        <w:rPr>
          <w:rFonts w:ascii="Times New Roman" w:hAnsi="Times New Roman" w:cs="Times New Roman"/>
          <w:sz w:val="24"/>
          <w:szCs w:val="24"/>
        </w:rPr>
        <w:t xml:space="preserve"> of September 1969. She writes about taking her religion casually unless in dangerous or difficult times. She prays to God for help and her prayers are always answered</w:t>
      </w:r>
      <w:r w:rsidR="00482F14" w:rsidRPr="38446623">
        <w:rPr>
          <w:rFonts w:ascii="Times New Roman" w:hAnsi="Times New Roman" w:cs="Times New Roman"/>
          <w:sz w:val="24"/>
          <w:szCs w:val="24"/>
        </w:rPr>
        <w:t xml:space="preserve"> and ultimately, she gets the outcomes she desires.</w:t>
      </w:r>
      <w:r w:rsidR="008A4F12" w:rsidRPr="38446623">
        <w:rPr>
          <w:rFonts w:ascii="Times New Roman" w:hAnsi="Times New Roman" w:cs="Times New Roman"/>
          <w:sz w:val="24"/>
          <w:szCs w:val="24"/>
        </w:rPr>
        <w:t xml:space="preserve"> She describes her form of prayer as her: ‘Whole will and mind [concentrating] together’</w:t>
      </w:r>
      <w:r w:rsidR="00482F14" w:rsidRPr="38446623">
        <w:rPr>
          <w:rFonts w:ascii="Times New Roman" w:hAnsi="Times New Roman" w:cs="Times New Roman"/>
          <w:sz w:val="24"/>
          <w:szCs w:val="24"/>
        </w:rPr>
        <w:t>.</w:t>
      </w:r>
      <w:r w:rsidR="00482F14" w:rsidRPr="38446623">
        <w:rPr>
          <w:rStyle w:val="FootnoteReference"/>
          <w:rFonts w:ascii="Times New Roman" w:hAnsi="Times New Roman" w:cs="Times New Roman"/>
          <w:sz w:val="24"/>
          <w:szCs w:val="24"/>
        </w:rPr>
        <w:footnoteReference w:id="4"/>
      </w:r>
      <w:r w:rsidR="00482F14" w:rsidRPr="38446623">
        <w:rPr>
          <w:rFonts w:ascii="Times New Roman" w:hAnsi="Times New Roman" w:cs="Times New Roman"/>
          <w:sz w:val="24"/>
          <w:szCs w:val="24"/>
        </w:rPr>
        <w:t xml:space="preserve"> She describes this, her religious experiences, as similar to the previous case study, there is a somewhat </w:t>
      </w:r>
      <w:r w:rsidR="003151C8" w:rsidRPr="38446623">
        <w:rPr>
          <w:rFonts w:ascii="Times New Roman" w:hAnsi="Times New Roman" w:cs="Times New Roman"/>
          <w:sz w:val="24"/>
          <w:szCs w:val="24"/>
        </w:rPr>
        <w:t>omnibenevolent</w:t>
      </w:r>
      <w:r w:rsidR="00482F14" w:rsidRPr="38446623">
        <w:rPr>
          <w:rFonts w:ascii="Times New Roman" w:hAnsi="Times New Roman" w:cs="Times New Roman"/>
          <w:sz w:val="24"/>
          <w:szCs w:val="24"/>
        </w:rPr>
        <w:t xml:space="preserve"> figure that seems to care for her especially, when in danger or in hard times. </w:t>
      </w:r>
    </w:p>
    <w:p w14:paraId="7C1BC864" w14:textId="7E70868F" w:rsidR="00F13FB6"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 xml:space="preserve">This case study relates to Swinburne’s views and also supports an answer to the question regarding the accountant. The accountant uses her whole will and concentrates her mind in order to create her version, or in this case, sensory perception of God through her mind as Swinburne mentions. Additionally, this also supports my views regarding this question. As I also view experiences, including ones under religious contexts; as personal (similar to James) and also based upon personal perception (similar to Swinburne). I observe experiences also as ineffable causes due to my belief that no one else will experience exactly the same type of experience as another person. For example, if two people were having an operation and both received a similar experience of a supposed bright light, one person may externally believe mentally that this bright light is a divine source of greater power beyond our materialistic world and thus, possibly God. Whereas the second person may internally believe that the bright light is literally just a bright light above themselves, possibly so the operators can simply see what they are doing and nothing more. Also, I believe many factors of an individual can be contributed depending on the type of experience they receive and how they perceive it. These range from upbringing, religious background, culture, race, the age at the time of the experience and many other possible factors which can determine what individuals take out of some of these suggested ‘religious’ experiences. Hence, this can give an </w:t>
      </w:r>
      <w:r w:rsidRPr="38446623">
        <w:rPr>
          <w:rFonts w:ascii="Times New Roman" w:hAnsi="Times New Roman" w:cs="Times New Roman"/>
          <w:sz w:val="24"/>
          <w:szCs w:val="24"/>
        </w:rPr>
        <w:lastRenderedPageBreak/>
        <w:t>argument both in support, and against the question on whether religious experiences provide compelling evidence for the existence of God. Everyone defines and interprets situations different and thus, it is only in the eyes of the beholder that different experiences can be described and defined.</w:t>
      </w:r>
    </w:p>
    <w:p w14:paraId="08CE6C68" w14:textId="4E663E6B" w:rsidR="004E3562"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Relating to the research centre, its founder, Sir Alistair Hardy also has a unique outlook on religious experiences in his book: ‘</w:t>
      </w:r>
      <w:r w:rsidRPr="38446623">
        <w:rPr>
          <w:rFonts w:ascii="Times New Roman" w:hAnsi="Times New Roman" w:cs="Times New Roman"/>
          <w:i/>
          <w:iCs/>
          <w:sz w:val="24"/>
          <w:szCs w:val="24"/>
        </w:rPr>
        <w:t xml:space="preserve">The Spiritual Nature of Man’. </w:t>
      </w:r>
      <w:r w:rsidRPr="38446623">
        <w:rPr>
          <w:rFonts w:ascii="Times New Roman" w:hAnsi="Times New Roman" w:cs="Times New Roman"/>
          <w:sz w:val="24"/>
          <w:szCs w:val="24"/>
        </w:rPr>
        <w:t>Hardy views religious experiences being more like transcendental realities consisting of religious phenomena rather than just physical materialistic experiences. He also views the outcomes of religious experiences as being a new spiritual awakening for subjects and that new awareness’ are formed from such different experiences that happen to different people. Additionally, similar to James, Hardy observes these spiritual awakenings as only having personal meanings for the individuals that receive the experiences. Hence, Hardy notes that individuals that come across transcendental realities are merging into the divinity and coming under the presence of something far greater than ourselves, to Hardy, being God, the numinous. The quote that follows demonstrates Hardy’s views, in this case. Many of his received accounts consist of early childhood manifestation types of experiences and the sense of a greater presence:</w:t>
      </w:r>
    </w:p>
    <w:p w14:paraId="20C4F912" w14:textId="321E0C5B" w:rsidR="00AB0070" w:rsidRPr="004E3562" w:rsidRDefault="00AB0070" w:rsidP="38446623">
      <w:pPr>
        <w:rPr>
          <w:rFonts w:ascii="Times New Roman" w:hAnsi="Times New Roman" w:cs="Times New Roman"/>
          <w:sz w:val="24"/>
          <w:szCs w:val="24"/>
        </w:rPr>
      </w:pPr>
      <w:r w:rsidRPr="38446623">
        <w:rPr>
          <w:rFonts w:ascii="Times New Roman" w:hAnsi="Times New Roman" w:cs="Times New Roman"/>
          <w:sz w:val="24"/>
          <w:szCs w:val="24"/>
        </w:rPr>
        <w:t>‘The feeling that there is a spiritual reality that appears to be beyond the conscious self with which the individual can have communication in one way or another – and whether spoken of as God or not – is indeed the most characteristic feature of the vast number of records we have received’</w:t>
      </w:r>
      <w:r w:rsidRPr="38446623">
        <w:rPr>
          <w:rStyle w:val="FootnoteReference"/>
          <w:rFonts w:ascii="Times New Roman" w:hAnsi="Times New Roman" w:cs="Times New Roman"/>
          <w:sz w:val="24"/>
          <w:szCs w:val="24"/>
        </w:rPr>
        <w:footnoteReference w:id="5"/>
      </w:r>
    </w:p>
    <w:p w14:paraId="485CA4E1" w14:textId="252E2BCC" w:rsidR="00F13FB6" w:rsidRDefault="00F13FB6" w:rsidP="38446623">
      <w:pPr>
        <w:rPr>
          <w:rFonts w:ascii="Times New Roman" w:hAnsi="Times New Roman" w:cs="Times New Roman"/>
          <w:sz w:val="24"/>
          <w:szCs w:val="24"/>
        </w:rPr>
      </w:pPr>
    </w:p>
    <w:p w14:paraId="18299853" w14:textId="072161D4" w:rsidR="00F13FB6"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Another case study that reflects Hardy’s work on experience is entitled</w:t>
      </w:r>
      <w:r w:rsidRPr="38446623">
        <w:rPr>
          <w:rFonts w:ascii="Times New Roman" w:hAnsi="Times New Roman" w:cs="Times New Roman"/>
          <w:i/>
          <w:iCs/>
          <w:sz w:val="24"/>
          <w:szCs w:val="24"/>
        </w:rPr>
        <w:t xml:space="preserve">: ‘Childhood. Nature. Oneness. Coma. </w:t>
      </w:r>
      <w:proofErr w:type="spellStart"/>
      <w:r w:rsidRPr="38446623">
        <w:rPr>
          <w:rFonts w:ascii="Times New Roman" w:hAnsi="Times New Roman" w:cs="Times New Roman"/>
          <w:i/>
          <w:iCs/>
          <w:sz w:val="24"/>
          <w:szCs w:val="24"/>
        </w:rPr>
        <w:t>O.b.e.</w:t>
      </w:r>
      <w:proofErr w:type="spellEnd"/>
      <w:r w:rsidRPr="38446623">
        <w:rPr>
          <w:rFonts w:ascii="Times New Roman" w:hAnsi="Times New Roman" w:cs="Times New Roman"/>
          <w:i/>
          <w:iCs/>
          <w:sz w:val="24"/>
          <w:szCs w:val="24"/>
        </w:rPr>
        <w:t xml:space="preserve"> [Out of body Experience]. Nuns. Prayer. Presence. Power. Goodness. Silence. Time’, </w:t>
      </w:r>
      <w:r w:rsidRPr="38446623">
        <w:rPr>
          <w:rFonts w:ascii="Times New Roman" w:hAnsi="Times New Roman" w:cs="Times New Roman"/>
          <w:sz w:val="24"/>
          <w:szCs w:val="24"/>
        </w:rPr>
        <w:t>which was acquired by the research centre on the 6</w:t>
      </w:r>
      <w:r w:rsidRPr="38446623">
        <w:rPr>
          <w:rFonts w:ascii="Times New Roman" w:hAnsi="Times New Roman" w:cs="Times New Roman"/>
          <w:sz w:val="24"/>
          <w:szCs w:val="24"/>
          <w:vertAlign w:val="superscript"/>
        </w:rPr>
        <w:t>th</w:t>
      </w:r>
      <w:r w:rsidRPr="38446623">
        <w:rPr>
          <w:rFonts w:ascii="Times New Roman" w:hAnsi="Times New Roman" w:cs="Times New Roman"/>
          <w:sz w:val="24"/>
          <w:szCs w:val="24"/>
        </w:rPr>
        <w:t xml:space="preserve"> of April 1985. The woman in this account details three different experiences she had. One as a child on a moor in Scotland in 1939, a near-death experience in 1977, and an experience whilst on an excursion to an ancient ruined city of Petra in Jordan. She describes these experiences as being in the presence of something good and </w:t>
      </w:r>
      <w:r w:rsidRPr="38446623">
        <w:rPr>
          <w:rFonts w:ascii="Times New Roman" w:hAnsi="Times New Roman" w:cs="Times New Roman"/>
          <w:sz w:val="24"/>
          <w:szCs w:val="24"/>
        </w:rPr>
        <w:lastRenderedPageBreak/>
        <w:t xml:space="preserve">great. Her first experience took place on a moor in Scotland in which she felt a beautiful feeling of becoming one with the moor and being part of something far greater than even our materialistic world. In her second experience, she recounts how she was looking down at her own body as she was dying, and she could see two brown-faced nuns sitting at the end of her bed in the hospital seeming to pray for her. Her third experience in Jordan, took place whilst she was observing two towering rocks. She felt a great silence and peacefulness in which resulted in her feeling like she was, again, with a presence that was unexplainable but completely uplifted her. Even to the day of her writing the account still fills her with great peace and happiness. </w:t>
      </w:r>
    </w:p>
    <w:p w14:paraId="2BBC3D59" w14:textId="65D9EA91" w:rsidR="004C0E34"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 xml:space="preserve">This case study can also reinforce Hardy’s views and can help in giving another answer to this question as, just like in the second case study, this accountant also endures great difficulty and unhappiness in her life due to her failed marriage. Even thinking about the </w:t>
      </w:r>
      <w:r w:rsidR="00BB268B" w:rsidRPr="38446623">
        <w:rPr>
          <w:rFonts w:ascii="Times New Roman" w:hAnsi="Times New Roman" w:cs="Times New Roman"/>
          <w:sz w:val="24"/>
          <w:szCs w:val="24"/>
        </w:rPr>
        <w:t>experiences,</w:t>
      </w:r>
      <w:r w:rsidRPr="38446623">
        <w:rPr>
          <w:rFonts w:ascii="Times New Roman" w:hAnsi="Times New Roman" w:cs="Times New Roman"/>
          <w:sz w:val="24"/>
          <w:szCs w:val="24"/>
        </w:rPr>
        <w:t xml:space="preserve"> she had fills her with happiness and peace and makes her feel reborn. Relating this back to the question, it can give another compelling argument as to why religious experiences do offer evidence into the existence of God as this woman does not state in her account that she is in any way, seriously religious. However, when she is under the observation of nature or even death, there seems to be arguable work of divine intervention occurring which results in the accountant having a more uplifting outlook on life. This can be argued to be under the work of again, an omnibenevolent creator and possibly, giving evidence of the existence of this creator being God.</w:t>
      </w:r>
    </w:p>
    <w:p w14:paraId="2D9811D1" w14:textId="6E2ADB83" w:rsidR="008B420D"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 xml:space="preserve">Another supportive argument to this question can be seen through religious experiences that result in subjects converting to a certain religion, group or a complete change in their whole lifestyle. The example I will be using is taken from Acts 9 from the New Revised Standard Version (NRSV) bible which is entitled: </w:t>
      </w:r>
      <w:r w:rsidRPr="38446623">
        <w:rPr>
          <w:rFonts w:ascii="Times New Roman" w:hAnsi="Times New Roman" w:cs="Times New Roman"/>
          <w:i/>
          <w:iCs/>
          <w:sz w:val="24"/>
          <w:szCs w:val="24"/>
        </w:rPr>
        <w:t>‘The Conversion of Saul’</w:t>
      </w:r>
      <w:r w:rsidRPr="38446623">
        <w:rPr>
          <w:rFonts w:ascii="Times New Roman" w:hAnsi="Times New Roman" w:cs="Times New Roman"/>
          <w:sz w:val="24"/>
          <w:szCs w:val="24"/>
        </w:rPr>
        <w:t xml:space="preserve">. Saul was a persecutor of Christian men and women who converted to Christianity after his experience of being under the presence of God on his way to Damascus. He then became known as Paul and was a key missionary in the early spread of Christianity throughout Israel. Many religious followers would use this example when attempting to answer this question as there are thousands of cases today of individuals converting to other religions based on signs or </w:t>
      </w:r>
      <w:r w:rsidRPr="38446623">
        <w:rPr>
          <w:rFonts w:ascii="Times New Roman" w:hAnsi="Times New Roman" w:cs="Times New Roman"/>
          <w:sz w:val="24"/>
          <w:szCs w:val="24"/>
        </w:rPr>
        <w:lastRenderedPageBreak/>
        <w:t xml:space="preserve">experiences, they have had, which to them, clearly indicated one sort of religious organization more than any others. </w:t>
      </w:r>
    </w:p>
    <w:p w14:paraId="5988CB89" w14:textId="44DBEA1F" w:rsidR="003C5E5D" w:rsidRPr="00E116BF"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In conclusion, I believe an answer to this question can encompass parts of what all scholars have contributed to the argument. William James offers an argument that one’s own perceived religious experience is but their own. This means only they can understand what their own experience means, and how they interpret their experience cannot be identically interpreted by someone who has not received the same experience. However, this could also give a counter-argument as many individuals, possibly atheists in particular, may view similar experience more as ordinary rather than religious as James points out. Therefore, to them, it may be more an experience of coincidence rather than an experience relating to religion or God. Swinburne’s argument contributes as he states that personal experiences of individuals rely on their definition, interpretation and sensory perception of the experience in order to justify whether it is a religious type of experience or not and if the subject truly believes that they are in fact, under the greater presence of God. (</w:t>
      </w:r>
      <w:r w:rsidRPr="38446623">
        <w:rPr>
          <w:rFonts w:ascii="Times New Roman" w:hAnsi="Times New Roman" w:cs="Times New Roman"/>
          <w:i/>
          <w:iCs/>
          <w:sz w:val="24"/>
          <w:szCs w:val="24"/>
        </w:rPr>
        <w:t xml:space="preserve">x </w:t>
      </w:r>
      <w:r w:rsidRPr="38446623">
        <w:rPr>
          <w:rFonts w:ascii="Times New Roman" w:hAnsi="Times New Roman" w:cs="Times New Roman"/>
          <w:sz w:val="24"/>
          <w:szCs w:val="24"/>
        </w:rPr>
        <w:t xml:space="preserve">and </w:t>
      </w:r>
      <w:r w:rsidRPr="38446623">
        <w:rPr>
          <w:rFonts w:ascii="Times New Roman" w:hAnsi="Times New Roman" w:cs="Times New Roman"/>
          <w:i/>
          <w:iCs/>
          <w:sz w:val="24"/>
          <w:szCs w:val="24"/>
        </w:rPr>
        <w:t xml:space="preserve">S </w:t>
      </w:r>
      <w:r w:rsidRPr="38446623">
        <w:rPr>
          <w:rFonts w:ascii="Times New Roman" w:hAnsi="Times New Roman" w:cs="Times New Roman"/>
          <w:sz w:val="24"/>
          <w:szCs w:val="24"/>
        </w:rPr>
        <w:t>argument). Hardy’s contribution is that of the transcendental realities endured by subjects during an experience. This is similar to Swinburne’s external and internal types of experiences. These experiences could provide compelling evidence for the existence of God due to the concept of being in another unexplainable realm of existence. Furthermore, to Hardy, subjects tend to have spiritual awakening from these supposed mystical experiences and thus, seems to contribute to the conversional argument similar to Saul’s conversion to Paul.</w:t>
      </w:r>
    </w:p>
    <w:p w14:paraId="4E98241B" w14:textId="227A7494" w:rsidR="003C5E5D" w:rsidRPr="00E116BF"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 xml:space="preserve"> Overall, my answer to this question is that religious experiences cannot accurately provide compelling evidence for the existence of God because all human beings will not receive exactly the same experience and will not perceive the experience in exactly the same way. As previously mentioned, many factors can play into this, such as race, gender, upbringing, culture, disability, mental illness and many other reasons as to how experiences can be interpreted. Therefore, despite the strong arguments given by the scholars and case studies mentioned, I conclude that religious experiences do not provide compelling evidence of the existence of God.</w:t>
      </w:r>
    </w:p>
    <w:p w14:paraId="0D53E092" w14:textId="77777777" w:rsidR="003C5E5D" w:rsidRPr="000457CC" w:rsidRDefault="003C5E5D" w:rsidP="38446623">
      <w:pPr>
        <w:rPr>
          <w:rFonts w:ascii="Times New Roman" w:hAnsi="Times New Roman" w:cs="Times New Roman"/>
          <w:sz w:val="24"/>
          <w:szCs w:val="24"/>
        </w:rPr>
      </w:pPr>
    </w:p>
    <w:p w14:paraId="58999A73" w14:textId="17C70AEA" w:rsidR="00F13FB6" w:rsidRDefault="00F13FB6" w:rsidP="38446623">
      <w:pPr>
        <w:rPr>
          <w:rFonts w:ascii="Times New Roman" w:hAnsi="Times New Roman" w:cs="Times New Roman"/>
          <w:sz w:val="24"/>
          <w:szCs w:val="24"/>
        </w:rPr>
      </w:pPr>
    </w:p>
    <w:p w14:paraId="1F10841A" w14:textId="559E326C" w:rsidR="00B90BB3" w:rsidRDefault="38446623" w:rsidP="38446623">
      <w:pPr>
        <w:rPr>
          <w:rFonts w:ascii="Times New Roman" w:hAnsi="Times New Roman" w:cs="Times New Roman"/>
          <w:b/>
          <w:bCs/>
          <w:sz w:val="24"/>
          <w:szCs w:val="24"/>
          <w:u w:val="single"/>
        </w:rPr>
      </w:pPr>
      <w:r w:rsidRPr="38446623">
        <w:rPr>
          <w:rFonts w:ascii="Times New Roman" w:hAnsi="Times New Roman" w:cs="Times New Roman"/>
          <w:b/>
          <w:bCs/>
          <w:sz w:val="24"/>
          <w:szCs w:val="24"/>
          <w:u w:val="single"/>
        </w:rPr>
        <w:lastRenderedPageBreak/>
        <w:t xml:space="preserve">Bibliography </w:t>
      </w:r>
    </w:p>
    <w:p w14:paraId="440ACF36" w14:textId="2B1C1B6A" w:rsidR="002C6D88"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 xml:space="preserve">Hardy, Alistair, </w:t>
      </w:r>
      <w:r w:rsidRPr="38446623">
        <w:rPr>
          <w:rFonts w:ascii="Times New Roman" w:hAnsi="Times New Roman" w:cs="Times New Roman"/>
          <w:i/>
          <w:iCs/>
          <w:sz w:val="24"/>
          <w:szCs w:val="24"/>
        </w:rPr>
        <w:t>The Spiritual Nature of Man</w:t>
      </w:r>
      <w:r w:rsidRPr="38446623">
        <w:rPr>
          <w:rFonts w:ascii="Times New Roman" w:hAnsi="Times New Roman" w:cs="Times New Roman"/>
          <w:sz w:val="24"/>
          <w:szCs w:val="24"/>
        </w:rPr>
        <w:t xml:space="preserve">, 1st </w:t>
      </w:r>
      <w:proofErr w:type="spellStart"/>
      <w:r w:rsidRPr="38446623">
        <w:rPr>
          <w:rFonts w:ascii="Times New Roman" w:hAnsi="Times New Roman" w:cs="Times New Roman"/>
          <w:sz w:val="24"/>
          <w:szCs w:val="24"/>
        </w:rPr>
        <w:t>edn</w:t>
      </w:r>
      <w:proofErr w:type="spellEnd"/>
      <w:r w:rsidRPr="38446623">
        <w:rPr>
          <w:rFonts w:ascii="Times New Roman" w:hAnsi="Times New Roman" w:cs="Times New Roman"/>
          <w:sz w:val="24"/>
          <w:szCs w:val="24"/>
        </w:rPr>
        <w:t xml:space="preserve"> (Oxford: Oxford University Press, 1979).</w:t>
      </w:r>
    </w:p>
    <w:p w14:paraId="70548E1E" w14:textId="7CC654B3" w:rsidR="00BF50E7"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 xml:space="preserve">James, William, </w:t>
      </w:r>
      <w:r w:rsidRPr="38446623">
        <w:rPr>
          <w:rFonts w:ascii="Times New Roman" w:hAnsi="Times New Roman" w:cs="Times New Roman"/>
          <w:i/>
          <w:iCs/>
          <w:sz w:val="24"/>
          <w:szCs w:val="24"/>
        </w:rPr>
        <w:t>The Varieties of Religious Experience</w:t>
      </w:r>
      <w:r w:rsidRPr="38446623">
        <w:rPr>
          <w:rFonts w:ascii="Times New Roman" w:hAnsi="Times New Roman" w:cs="Times New Roman"/>
          <w:sz w:val="24"/>
          <w:szCs w:val="24"/>
        </w:rPr>
        <w:t xml:space="preserve">, 1st </w:t>
      </w:r>
      <w:proofErr w:type="spellStart"/>
      <w:r w:rsidRPr="38446623">
        <w:rPr>
          <w:rFonts w:ascii="Times New Roman" w:hAnsi="Times New Roman" w:cs="Times New Roman"/>
          <w:sz w:val="24"/>
          <w:szCs w:val="24"/>
        </w:rPr>
        <w:t>edn</w:t>
      </w:r>
      <w:proofErr w:type="spellEnd"/>
      <w:r w:rsidRPr="38446623">
        <w:rPr>
          <w:rFonts w:ascii="Times New Roman" w:hAnsi="Times New Roman" w:cs="Times New Roman"/>
          <w:sz w:val="24"/>
          <w:szCs w:val="24"/>
        </w:rPr>
        <w:t xml:space="preserve"> (UK: Collins Clear-Type Press, 1960).</w:t>
      </w:r>
    </w:p>
    <w:p w14:paraId="5FAC5E0C" w14:textId="6CA71261" w:rsidR="004715F0" w:rsidRPr="004715F0" w:rsidRDefault="38446623" w:rsidP="38446623">
      <w:pPr>
        <w:rPr>
          <w:rFonts w:ascii="Times New Roman" w:hAnsi="Times New Roman" w:cs="Times New Roman"/>
          <w:sz w:val="24"/>
          <w:szCs w:val="24"/>
        </w:rPr>
      </w:pPr>
      <w:r w:rsidRPr="38446623">
        <w:rPr>
          <w:rFonts w:ascii="Times New Roman" w:hAnsi="Times New Roman" w:cs="Times New Roman"/>
          <w:i/>
          <w:iCs/>
          <w:sz w:val="24"/>
          <w:szCs w:val="24"/>
        </w:rPr>
        <w:t xml:space="preserve">New Revised Standard Version, </w:t>
      </w:r>
      <w:r w:rsidRPr="38446623">
        <w:rPr>
          <w:rFonts w:ascii="Times New Roman" w:hAnsi="Times New Roman" w:cs="Times New Roman"/>
          <w:sz w:val="24"/>
          <w:szCs w:val="24"/>
        </w:rPr>
        <w:t>(NRSV)</w:t>
      </w:r>
    </w:p>
    <w:p w14:paraId="60C927CC" w14:textId="08D17BDE" w:rsidR="005D78F2" w:rsidRPr="0025413D"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 xml:space="preserve">Religious Experience Research Centre, </w:t>
      </w:r>
      <w:r w:rsidRPr="38446623">
        <w:rPr>
          <w:rFonts w:ascii="Times New Roman" w:hAnsi="Times New Roman" w:cs="Times New Roman"/>
          <w:i/>
          <w:iCs/>
          <w:sz w:val="24"/>
          <w:szCs w:val="24"/>
        </w:rPr>
        <w:t xml:space="preserve">‘Subjects: Childhood. Nature. Oneness. Coma. </w:t>
      </w:r>
      <w:proofErr w:type="spellStart"/>
      <w:r w:rsidRPr="38446623">
        <w:rPr>
          <w:rFonts w:ascii="Times New Roman" w:hAnsi="Times New Roman" w:cs="Times New Roman"/>
          <w:i/>
          <w:iCs/>
          <w:sz w:val="24"/>
          <w:szCs w:val="24"/>
        </w:rPr>
        <w:t>O.b.e.</w:t>
      </w:r>
      <w:proofErr w:type="spellEnd"/>
      <w:r w:rsidRPr="38446623">
        <w:rPr>
          <w:rFonts w:ascii="Times New Roman" w:hAnsi="Times New Roman" w:cs="Times New Roman"/>
          <w:i/>
          <w:iCs/>
          <w:sz w:val="24"/>
          <w:szCs w:val="24"/>
        </w:rPr>
        <w:t xml:space="preserve"> [Out of body Experience]. Nuns. Prayer. Presence. Power. Goodness. Silence. Time’</w:t>
      </w:r>
      <w:r w:rsidRPr="38446623">
        <w:rPr>
          <w:rFonts w:ascii="Times New Roman" w:hAnsi="Times New Roman" w:cs="Times New Roman"/>
          <w:sz w:val="24"/>
          <w:szCs w:val="24"/>
        </w:rPr>
        <w:t>, (1985), Account No. 004274</w:t>
      </w:r>
    </w:p>
    <w:p w14:paraId="1BEDCFE6" w14:textId="0C64F8A4" w:rsidR="002C6D88" w:rsidRPr="00566AB4"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 xml:space="preserve">Religious Experience Research Centre, </w:t>
      </w:r>
      <w:r w:rsidRPr="38446623">
        <w:rPr>
          <w:rFonts w:ascii="Times New Roman" w:hAnsi="Times New Roman" w:cs="Times New Roman"/>
          <w:i/>
          <w:iCs/>
          <w:sz w:val="24"/>
          <w:szCs w:val="24"/>
        </w:rPr>
        <w:t xml:space="preserve">‘Pain. Loneliness. Prayer. Vow. Epiphany. Knowledge. Love. Selflessness’, </w:t>
      </w:r>
      <w:r w:rsidRPr="38446623">
        <w:rPr>
          <w:rFonts w:ascii="Times New Roman" w:hAnsi="Times New Roman" w:cs="Times New Roman"/>
          <w:sz w:val="24"/>
          <w:szCs w:val="24"/>
        </w:rPr>
        <w:t>(1969), Account No. 000002</w:t>
      </w:r>
    </w:p>
    <w:p w14:paraId="56F5244E" w14:textId="23F7D742" w:rsidR="002C6D88" w:rsidRPr="00566AB4"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 xml:space="preserve">Religious Experience Research Centre, </w:t>
      </w:r>
      <w:r w:rsidRPr="38446623">
        <w:rPr>
          <w:rFonts w:ascii="Times New Roman" w:hAnsi="Times New Roman" w:cs="Times New Roman"/>
          <w:i/>
          <w:iCs/>
          <w:sz w:val="24"/>
          <w:szCs w:val="24"/>
        </w:rPr>
        <w:t xml:space="preserve">‘Prayer communication god’, </w:t>
      </w:r>
      <w:r w:rsidRPr="38446623">
        <w:rPr>
          <w:rFonts w:ascii="Times New Roman" w:hAnsi="Times New Roman" w:cs="Times New Roman"/>
          <w:sz w:val="24"/>
          <w:szCs w:val="24"/>
        </w:rPr>
        <w:t>(1969), Account No. 000025</w:t>
      </w:r>
    </w:p>
    <w:p w14:paraId="0C873544" w14:textId="6161A8B9" w:rsidR="005D78F2" w:rsidRPr="00AD4BB0" w:rsidRDefault="38446623" w:rsidP="38446623">
      <w:pPr>
        <w:rPr>
          <w:rFonts w:ascii="Times New Roman" w:hAnsi="Times New Roman" w:cs="Times New Roman"/>
          <w:sz w:val="24"/>
          <w:szCs w:val="24"/>
        </w:rPr>
      </w:pPr>
      <w:r w:rsidRPr="38446623">
        <w:rPr>
          <w:rFonts w:ascii="Times New Roman" w:hAnsi="Times New Roman" w:cs="Times New Roman"/>
          <w:sz w:val="24"/>
          <w:szCs w:val="24"/>
        </w:rPr>
        <w:t xml:space="preserve">Swinburne, Richard, </w:t>
      </w:r>
      <w:r w:rsidRPr="38446623">
        <w:rPr>
          <w:rFonts w:ascii="Times New Roman" w:hAnsi="Times New Roman" w:cs="Times New Roman"/>
          <w:i/>
          <w:iCs/>
          <w:sz w:val="24"/>
          <w:szCs w:val="24"/>
        </w:rPr>
        <w:t>The Existence of God,</w:t>
      </w:r>
      <w:r w:rsidRPr="38446623">
        <w:rPr>
          <w:rFonts w:ascii="Times New Roman" w:hAnsi="Times New Roman" w:cs="Times New Roman"/>
          <w:sz w:val="24"/>
          <w:szCs w:val="24"/>
        </w:rPr>
        <w:t xml:space="preserve"> 2nd </w:t>
      </w:r>
      <w:proofErr w:type="spellStart"/>
      <w:r w:rsidRPr="38446623">
        <w:rPr>
          <w:rFonts w:ascii="Times New Roman" w:hAnsi="Times New Roman" w:cs="Times New Roman"/>
          <w:sz w:val="24"/>
          <w:szCs w:val="24"/>
        </w:rPr>
        <w:t>edn</w:t>
      </w:r>
      <w:proofErr w:type="spellEnd"/>
      <w:r w:rsidRPr="38446623">
        <w:rPr>
          <w:rFonts w:ascii="Times New Roman" w:hAnsi="Times New Roman" w:cs="Times New Roman"/>
          <w:sz w:val="24"/>
          <w:szCs w:val="24"/>
        </w:rPr>
        <w:t xml:space="preserve"> (Oxford: Clarendon Press, 2004).</w:t>
      </w:r>
    </w:p>
    <w:p w14:paraId="49FA8461" w14:textId="770B6DFB" w:rsidR="00F13FB6" w:rsidRPr="00F13FB6" w:rsidRDefault="38446623" w:rsidP="38446623">
      <w:pPr>
        <w:rPr>
          <w:rFonts w:ascii="Times New Roman" w:hAnsi="Times New Roman" w:cs="Times New Roman"/>
          <w:b/>
          <w:bCs/>
          <w:sz w:val="24"/>
          <w:szCs w:val="24"/>
          <w:u w:val="single"/>
        </w:rPr>
      </w:pPr>
      <w:r w:rsidRPr="38446623">
        <w:rPr>
          <w:rFonts w:ascii="Times New Roman" w:hAnsi="Times New Roman" w:cs="Times New Roman"/>
          <w:b/>
          <w:bCs/>
          <w:sz w:val="24"/>
          <w:szCs w:val="24"/>
          <w:u w:val="single"/>
        </w:rPr>
        <w:t xml:space="preserve">Luca Horton </w:t>
      </w:r>
    </w:p>
    <w:sectPr w:rsidR="00F13FB6" w:rsidRPr="00F13F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CFBF7" w14:textId="77777777" w:rsidR="002674AC" w:rsidRDefault="002674AC" w:rsidP="007113D7">
      <w:pPr>
        <w:spacing w:after="0" w:line="240" w:lineRule="auto"/>
      </w:pPr>
      <w:r>
        <w:separator/>
      </w:r>
    </w:p>
  </w:endnote>
  <w:endnote w:type="continuationSeparator" w:id="0">
    <w:p w14:paraId="31721D41" w14:textId="77777777" w:rsidR="002674AC" w:rsidRDefault="002674AC" w:rsidP="00711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4484F4" w14:textId="77777777" w:rsidR="002674AC" w:rsidRDefault="002674AC" w:rsidP="007113D7">
      <w:pPr>
        <w:spacing w:after="0" w:line="240" w:lineRule="auto"/>
      </w:pPr>
      <w:r>
        <w:separator/>
      </w:r>
    </w:p>
  </w:footnote>
  <w:footnote w:type="continuationSeparator" w:id="0">
    <w:p w14:paraId="7C6804DF" w14:textId="77777777" w:rsidR="002674AC" w:rsidRDefault="002674AC" w:rsidP="007113D7">
      <w:pPr>
        <w:spacing w:after="0" w:line="240" w:lineRule="auto"/>
      </w:pPr>
      <w:r>
        <w:continuationSeparator/>
      </w:r>
    </w:p>
  </w:footnote>
  <w:footnote w:id="1">
    <w:p w14:paraId="2F28F046" w14:textId="4855A403" w:rsidR="008B44C4" w:rsidRPr="009D7861" w:rsidRDefault="008B44C4">
      <w:pPr>
        <w:pStyle w:val="FootnoteText"/>
        <w:rPr>
          <w:rFonts w:ascii="Times New Roman" w:hAnsi="Times New Roman" w:cs="Times New Roman"/>
        </w:rPr>
      </w:pPr>
      <w:r>
        <w:rPr>
          <w:rStyle w:val="FootnoteReference"/>
        </w:rPr>
        <w:footnoteRef/>
      </w:r>
      <w:r>
        <w:t xml:space="preserve"> </w:t>
      </w:r>
      <w:r w:rsidR="009D7861">
        <w:rPr>
          <w:rFonts w:ascii="Times New Roman" w:hAnsi="Times New Roman" w:cs="Times New Roman"/>
        </w:rPr>
        <w:t>‘</w:t>
      </w:r>
      <w:bookmarkStart w:id="1" w:name="_Hlk3108539"/>
      <w:r w:rsidR="009D7861" w:rsidRPr="009D7861">
        <w:rPr>
          <w:rFonts w:ascii="Times New Roman" w:hAnsi="Times New Roman" w:cs="Times New Roman"/>
          <w:i/>
        </w:rPr>
        <w:t>Pain. Loneliness. Prayer. Vow. Epiphany. Knowledge. Love. Selflessness</w:t>
      </w:r>
      <w:r w:rsidR="009D7861">
        <w:rPr>
          <w:rFonts w:ascii="Times New Roman" w:hAnsi="Times New Roman" w:cs="Times New Roman"/>
          <w:i/>
        </w:rPr>
        <w:t xml:space="preserve">’, </w:t>
      </w:r>
      <w:r w:rsidR="009D7861">
        <w:rPr>
          <w:rFonts w:ascii="Times New Roman" w:hAnsi="Times New Roman" w:cs="Times New Roman"/>
        </w:rPr>
        <w:t>Account No. 000002</w:t>
      </w:r>
      <w:bookmarkEnd w:id="1"/>
    </w:p>
  </w:footnote>
  <w:footnote w:id="2">
    <w:p w14:paraId="75491DD1" w14:textId="6200DC27" w:rsidR="008B44C4" w:rsidRPr="009D7861" w:rsidRDefault="008B44C4">
      <w:pPr>
        <w:pStyle w:val="FootnoteText"/>
        <w:rPr>
          <w:rFonts w:ascii="Times New Roman" w:hAnsi="Times New Roman" w:cs="Times New Roman"/>
        </w:rPr>
      </w:pPr>
      <w:r>
        <w:rPr>
          <w:rStyle w:val="FootnoteReference"/>
        </w:rPr>
        <w:footnoteRef/>
      </w:r>
      <w:r>
        <w:t xml:space="preserve"> </w:t>
      </w:r>
      <w:r w:rsidR="009D7861">
        <w:t>‘</w:t>
      </w:r>
      <w:r w:rsidR="009D7861" w:rsidRPr="009D7861">
        <w:rPr>
          <w:rFonts w:ascii="Times New Roman" w:hAnsi="Times New Roman" w:cs="Times New Roman"/>
          <w:i/>
        </w:rPr>
        <w:t>Pain. Loneliness. Prayer. Vow. Epiphany. Knowledge. Love. Selflessness’</w:t>
      </w:r>
      <w:r w:rsidR="009D7861" w:rsidRPr="009D7861">
        <w:rPr>
          <w:rFonts w:ascii="Times New Roman" w:hAnsi="Times New Roman" w:cs="Times New Roman"/>
        </w:rPr>
        <w:t>, Account No. 000002</w:t>
      </w:r>
    </w:p>
  </w:footnote>
  <w:footnote w:id="3">
    <w:p w14:paraId="0EFF10FF" w14:textId="10396EED" w:rsidR="008B44C4" w:rsidRPr="008D214C" w:rsidRDefault="008B44C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Richard Swinburne, </w:t>
      </w:r>
      <w:r>
        <w:rPr>
          <w:rFonts w:ascii="Times New Roman" w:hAnsi="Times New Roman" w:cs="Times New Roman"/>
          <w:i/>
        </w:rPr>
        <w:t xml:space="preserve">The Existence of God, </w:t>
      </w:r>
      <w:r>
        <w:rPr>
          <w:rFonts w:ascii="Times New Roman" w:hAnsi="Times New Roman" w:cs="Times New Roman"/>
        </w:rPr>
        <w:t>p.247-248</w:t>
      </w:r>
    </w:p>
  </w:footnote>
  <w:footnote w:id="4">
    <w:p w14:paraId="6A893E72" w14:textId="5BC0FEE6" w:rsidR="008B44C4" w:rsidRPr="00AD4BB0" w:rsidRDefault="008B44C4">
      <w:pPr>
        <w:pStyle w:val="FootnoteText"/>
        <w:rPr>
          <w:rFonts w:ascii="Times New Roman" w:hAnsi="Times New Roman" w:cs="Times New Roman"/>
        </w:rPr>
      </w:pPr>
      <w:r>
        <w:rPr>
          <w:rStyle w:val="FootnoteReference"/>
        </w:rPr>
        <w:footnoteRef/>
      </w:r>
      <w:r>
        <w:t xml:space="preserve"> </w:t>
      </w:r>
      <w:r w:rsidR="00AD4BB0">
        <w:t>‘</w:t>
      </w:r>
      <w:r w:rsidR="00AD4BB0">
        <w:rPr>
          <w:rFonts w:ascii="Times New Roman" w:hAnsi="Times New Roman" w:cs="Times New Roman"/>
          <w:i/>
        </w:rPr>
        <w:t xml:space="preserve">Prayer communication god’, </w:t>
      </w:r>
      <w:r w:rsidR="00AD4BB0">
        <w:rPr>
          <w:rFonts w:ascii="Times New Roman" w:hAnsi="Times New Roman" w:cs="Times New Roman"/>
        </w:rPr>
        <w:t>Account No. 000025</w:t>
      </w:r>
    </w:p>
  </w:footnote>
  <w:footnote w:id="5">
    <w:p w14:paraId="45CCCDE2" w14:textId="37B6C63D" w:rsidR="008B44C4" w:rsidRPr="00AB0070" w:rsidRDefault="008B44C4">
      <w:pPr>
        <w:pStyle w:val="FootnoteText"/>
        <w:rPr>
          <w:rFonts w:ascii="Times New Roman" w:hAnsi="Times New Roman" w:cs="Times New Roman"/>
        </w:rPr>
      </w:pPr>
      <w:r>
        <w:rPr>
          <w:rStyle w:val="FootnoteReference"/>
        </w:rPr>
        <w:footnoteRef/>
      </w:r>
      <w:r>
        <w:t xml:space="preserve"> </w:t>
      </w:r>
      <w:r w:rsidRPr="00AB0070">
        <w:rPr>
          <w:rFonts w:ascii="Times New Roman" w:hAnsi="Times New Roman" w:cs="Times New Roman"/>
        </w:rPr>
        <w:t xml:space="preserve">Alistair Hardy, </w:t>
      </w:r>
      <w:r w:rsidRPr="00AB0070">
        <w:rPr>
          <w:rFonts w:ascii="Times New Roman" w:hAnsi="Times New Roman" w:cs="Times New Roman"/>
          <w:i/>
        </w:rPr>
        <w:t>The Spiritual Nature of Man</w:t>
      </w:r>
      <w:r w:rsidRPr="00AB0070">
        <w:rPr>
          <w:rFonts w:ascii="Times New Roman" w:hAnsi="Times New Roman" w:cs="Times New Roman"/>
        </w:rPr>
        <w:t>, p.132.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930"/>
    <w:rsid w:val="00010DAF"/>
    <w:rsid w:val="0001360D"/>
    <w:rsid w:val="00013904"/>
    <w:rsid w:val="00025365"/>
    <w:rsid w:val="000457CC"/>
    <w:rsid w:val="00070CE5"/>
    <w:rsid w:val="0007164B"/>
    <w:rsid w:val="00085A07"/>
    <w:rsid w:val="00094930"/>
    <w:rsid w:val="00097394"/>
    <w:rsid w:val="000C5930"/>
    <w:rsid w:val="000D0F65"/>
    <w:rsid w:val="000D210F"/>
    <w:rsid w:val="00165A70"/>
    <w:rsid w:val="00186957"/>
    <w:rsid w:val="001A0DAC"/>
    <w:rsid w:val="001E690B"/>
    <w:rsid w:val="00204330"/>
    <w:rsid w:val="00222D9C"/>
    <w:rsid w:val="0025413D"/>
    <w:rsid w:val="002674AC"/>
    <w:rsid w:val="00280E9F"/>
    <w:rsid w:val="002A7BFE"/>
    <w:rsid w:val="002C6D88"/>
    <w:rsid w:val="00312075"/>
    <w:rsid w:val="003151C8"/>
    <w:rsid w:val="00342C5D"/>
    <w:rsid w:val="003A0CAA"/>
    <w:rsid w:val="003A1AFF"/>
    <w:rsid w:val="003C56A5"/>
    <w:rsid w:val="003C5E5D"/>
    <w:rsid w:val="003E1DBD"/>
    <w:rsid w:val="003E43AC"/>
    <w:rsid w:val="003E6487"/>
    <w:rsid w:val="00426D9B"/>
    <w:rsid w:val="0043638F"/>
    <w:rsid w:val="004469FF"/>
    <w:rsid w:val="004715F0"/>
    <w:rsid w:val="00473EC2"/>
    <w:rsid w:val="00482F14"/>
    <w:rsid w:val="004A2328"/>
    <w:rsid w:val="004B22C7"/>
    <w:rsid w:val="004C0E34"/>
    <w:rsid w:val="004D3EAB"/>
    <w:rsid w:val="004E3562"/>
    <w:rsid w:val="005425FD"/>
    <w:rsid w:val="005473F4"/>
    <w:rsid w:val="00555884"/>
    <w:rsid w:val="0056077B"/>
    <w:rsid w:val="00566AB4"/>
    <w:rsid w:val="005D78F2"/>
    <w:rsid w:val="005E3214"/>
    <w:rsid w:val="005F7BBE"/>
    <w:rsid w:val="005F7D5E"/>
    <w:rsid w:val="00613586"/>
    <w:rsid w:val="006155C7"/>
    <w:rsid w:val="00664E5A"/>
    <w:rsid w:val="006A0E79"/>
    <w:rsid w:val="006A26C6"/>
    <w:rsid w:val="006A5BD6"/>
    <w:rsid w:val="006D7EED"/>
    <w:rsid w:val="006F0A40"/>
    <w:rsid w:val="007058FB"/>
    <w:rsid w:val="007113D7"/>
    <w:rsid w:val="00774ECA"/>
    <w:rsid w:val="00784DDC"/>
    <w:rsid w:val="00790718"/>
    <w:rsid w:val="007954C8"/>
    <w:rsid w:val="007B22EE"/>
    <w:rsid w:val="007D1D11"/>
    <w:rsid w:val="007D5FC8"/>
    <w:rsid w:val="007F1B12"/>
    <w:rsid w:val="00810FB7"/>
    <w:rsid w:val="008476AF"/>
    <w:rsid w:val="0085714F"/>
    <w:rsid w:val="00867B57"/>
    <w:rsid w:val="008845CE"/>
    <w:rsid w:val="008A4F12"/>
    <w:rsid w:val="008B420D"/>
    <w:rsid w:val="008B44C4"/>
    <w:rsid w:val="008B4A42"/>
    <w:rsid w:val="008D214C"/>
    <w:rsid w:val="008F5D74"/>
    <w:rsid w:val="00963BAC"/>
    <w:rsid w:val="00981462"/>
    <w:rsid w:val="0098641C"/>
    <w:rsid w:val="009952B0"/>
    <w:rsid w:val="009A7ACB"/>
    <w:rsid w:val="009D7861"/>
    <w:rsid w:val="00A0429B"/>
    <w:rsid w:val="00A133A6"/>
    <w:rsid w:val="00A23649"/>
    <w:rsid w:val="00A35931"/>
    <w:rsid w:val="00A52EF8"/>
    <w:rsid w:val="00A61F55"/>
    <w:rsid w:val="00A915C9"/>
    <w:rsid w:val="00AA2E9C"/>
    <w:rsid w:val="00AB0070"/>
    <w:rsid w:val="00AB26A8"/>
    <w:rsid w:val="00AD4BB0"/>
    <w:rsid w:val="00AE3E14"/>
    <w:rsid w:val="00B8271F"/>
    <w:rsid w:val="00B90BB3"/>
    <w:rsid w:val="00B949C4"/>
    <w:rsid w:val="00B95A95"/>
    <w:rsid w:val="00BB268B"/>
    <w:rsid w:val="00BD6370"/>
    <w:rsid w:val="00BF47FB"/>
    <w:rsid w:val="00BF50E7"/>
    <w:rsid w:val="00C009FD"/>
    <w:rsid w:val="00C213BD"/>
    <w:rsid w:val="00C2293F"/>
    <w:rsid w:val="00C34FB8"/>
    <w:rsid w:val="00C35AFF"/>
    <w:rsid w:val="00C4786A"/>
    <w:rsid w:val="00C52D95"/>
    <w:rsid w:val="00C55662"/>
    <w:rsid w:val="00C93591"/>
    <w:rsid w:val="00C93BE1"/>
    <w:rsid w:val="00CA1D48"/>
    <w:rsid w:val="00CF16B7"/>
    <w:rsid w:val="00D64AFA"/>
    <w:rsid w:val="00D668C5"/>
    <w:rsid w:val="00D71A30"/>
    <w:rsid w:val="00D73196"/>
    <w:rsid w:val="00DA5951"/>
    <w:rsid w:val="00DC26E9"/>
    <w:rsid w:val="00DD4410"/>
    <w:rsid w:val="00DF4348"/>
    <w:rsid w:val="00E116BF"/>
    <w:rsid w:val="00E15847"/>
    <w:rsid w:val="00E56B34"/>
    <w:rsid w:val="00E67B2C"/>
    <w:rsid w:val="00E767DD"/>
    <w:rsid w:val="00E834B8"/>
    <w:rsid w:val="00E93CC9"/>
    <w:rsid w:val="00ED5535"/>
    <w:rsid w:val="00ED5A77"/>
    <w:rsid w:val="00EE5610"/>
    <w:rsid w:val="00EF21B8"/>
    <w:rsid w:val="00EF42A6"/>
    <w:rsid w:val="00EF6C8F"/>
    <w:rsid w:val="00F13FB6"/>
    <w:rsid w:val="00F25DC8"/>
    <w:rsid w:val="00F30123"/>
    <w:rsid w:val="00F32117"/>
    <w:rsid w:val="00F85315"/>
    <w:rsid w:val="00FA462B"/>
    <w:rsid w:val="00FC1482"/>
    <w:rsid w:val="00FC171D"/>
    <w:rsid w:val="38446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922B0"/>
  <w15:chartTrackingRefBased/>
  <w15:docId w15:val="{5C4F261E-A2C9-4618-B9CB-1EE1CB969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1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113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13D7"/>
    <w:rPr>
      <w:sz w:val="20"/>
      <w:szCs w:val="20"/>
    </w:rPr>
  </w:style>
  <w:style w:type="character" w:styleId="FootnoteReference">
    <w:name w:val="footnote reference"/>
    <w:basedOn w:val="DefaultParagraphFont"/>
    <w:uiPriority w:val="99"/>
    <w:semiHidden/>
    <w:unhideWhenUsed/>
    <w:rsid w:val="007113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5A056F-E6E1-4004-BB04-A371F5EB8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2580</Words>
  <Characters>14706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Horton</dc:creator>
  <cp:keywords/>
  <dc:description/>
  <cp:lastModifiedBy>Luca Horton</cp:lastModifiedBy>
  <cp:revision>5</cp:revision>
  <dcterms:created xsi:type="dcterms:W3CDTF">2019-03-10T12:45:00Z</dcterms:created>
  <dcterms:modified xsi:type="dcterms:W3CDTF">2019-03-10T12:53:00Z</dcterms:modified>
</cp:coreProperties>
</file>