
<file path=[Content_Types].xml><?xml version="1.0" encoding="utf-8"?>
<Types xmlns="http://schemas.openxmlformats.org/package/2006/content-types">
  <Default Extension="xml" ContentType="application/xml"/>
  <Default Extension="wmf" ContentType="image/x-wmf"/>
  <Default Extension="bin" ContentType="application/vnd.openxmlformats-officedocument.oleObject"/>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5" Type="http://schemas.openxmlformats.org/officeDocument/2006/relationships/officeDocument" Target="word/document.xml"/><Relationship Id="rId1" Type="http://schemas.openxmlformats.org/package/2006/relationships/metadata/thumbnail" Target="docProps/thumbnail.wmf"/><Relationship Id="rId3" Type="http://schemas.openxmlformats.org/package/2006/relationships/metadata/core-properties" Target="docProps/core.xml"/><Relationship Id="rId2"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cs="Times New Roman"/>
          <w:b/>
          <w:bCs/>
          <w:color w:val="000000"/>
          <w:szCs w:val="24"/>
        </w:rPr>
      </w:pPr>
    </w:p>
    <w:p>
      <w:pPr>
        <w:jc w:val="center"/>
        <w:rPr>
          <w:rFonts w:cs="Times New Roman"/>
          <w:b/>
          <w:bCs/>
          <w:color w:val="000000"/>
          <w:sz w:val="28"/>
          <w:szCs w:val="28"/>
        </w:rPr>
      </w:pPr>
      <w:r>
        <w:rPr>
          <w:rFonts w:cs="Times New Roman"/>
          <w:b/>
          <w:bCs/>
          <w:color w:val="000000"/>
          <w:sz w:val="28"/>
          <w:szCs w:val="28"/>
        </w:rPr>
        <w:t>Consultancy Project Report for Sainsbury’s</w:t>
      </w:r>
    </w:p>
    <w:p>
      <w:pPr>
        <w:jc w:val="center"/>
        <w:rPr>
          <w:rFonts w:cs="Times New Roman"/>
          <w:b/>
          <w:bCs/>
          <w:color w:val="000000"/>
          <w:szCs w:val="24"/>
        </w:rPr>
      </w:pPr>
    </w:p>
    <w:p>
      <w:pPr>
        <w:jc w:val="center"/>
        <w:rPr>
          <w:rFonts w:cs="Times New Roman"/>
          <w:b/>
          <w:bCs/>
          <w:color w:val="000000"/>
          <w:szCs w:val="24"/>
        </w:rPr>
      </w:pPr>
    </w:p>
    <w:p>
      <w:pPr>
        <w:jc w:val="center"/>
        <w:rPr>
          <w:rFonts w:cs="Times New Roman"/>
          <w:b/>
          <w:bCs/>
          <w:color w:val="000000"/>
          <w:szCs w:val="24"/>
        </w:rPr>
      </w:pPr>
      <w:r>
        <w:rPr>
          <w:lang w:eastAsia="en-GB"/>
        </w:rPr>
        <w:drawing>
          <wp:inline distT="0" distB="0" distL="114300" distR="114300">
            <wp:extent cx="2860040" cy="3172460"/>
            <wp:effectExtent l="0" t="0" r="10160" b="2540"/>
            <wp:docPr id="1" name="图片 4"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4" descr="Crest of TSD.png"/>
                    <pic:cNvPicPr>
                      <a:picLocks noChangeAspect="1"/>
                    </pic:cNvPicPr>
                  </pic:nvPicPr>
                  <pic:blipFill>
                    <a:blip r:embed="rId8"/>
                    <a:stretch>
                      <a:fillRect/>
                    </a:stretch>
                  </pic:blipFill>
                  <pic:spPr>
                    <a:xfrm>
                      <a:off x="0" y="0"/>
                      <a:ext cx="2860040" cy="3172460"/>
                    </a:xfrm>
                    <a:prstGeom prst="rect">
                      <a:avLst/>
                    </a:prstGeom>
                    <a:noFill/>
                    <a:ln>
                      <a:noFill/>
                    </a:ln>
                  </pic:spPr>
                </pic:pic>
              </a:graphicData>
            </a:graphic>
          </wp:inline>
        </w:drawing>
      </w:r>
    </w:p>
    <w:p>
      <w:pPr>
        <w:jc w:val="center"/>
        <w:rPr>
          <w:rFonts w:cs="Times New Roman"/>
          <w:b/>
          <w:bCs/>
          <w:color w:val="000000"/>
          <w:szCs w:val="24"/>
        </w:rPr>
      </w:pPr>
    </w:p>
    <w:p>
      <w:pPr>
        <w:jc w:val="center"/>
        <w:rPr>
          <w:rFonts w:hint="default" w:eastAsia="等线" w:cs="Times New Roman"/>
          <w:b/>
          <w:bCs/>
          <w:color w:val="000000"/>
          <w:sz w:val="28"/>
          <w:szCs w:val="28"/>
          <w:lang w:val="en-US" w:eastAsia="zh-CN"/>
        </w:rPr>
      </w:pPr>
      <w:r>
        <w:rPr>
          <w:rFonts w:hint="eastAsia" w:cs="Times New Roman"/>
          <w:b/>
          <w:bCs/>
          <w:color w:val="000000"/>
          <w:sz w:val="28"/>
          <w:szCs w:val="28"/>
          <w:lang w:val="en-US" w:eastAsia="zh-CN"/>
        </w:rPr>
        <w:t>8 May 2020</w:t>
      </w:r>
    </w:p>
    <w:p>
      <w:pPr>
        <w:jc w:val="center"/>
        <w:rPr>
          <w:rFonts w:cs="Times New Roman"/>
          <w:b/>
          <w:bCs/>
          <w:color w:val="000000"/>
          <w:szCs w:val="24"/>
        </w:rPr>
      </w:pPr>
    </w:p>
    <w:p>
      <w:pPr>
        <w:jc w:val="center"/>
        <w:rPr>
          <w:rFonts w:hint="default" w:cs="Times New Roman"/>
          <w:b/>
          <w:bCs/>
          <w:color w:val="000000"/>
          <w:szCs w:val="24"/>
          <w:lang w:val="en-US" w:eastAsia="zh-CN"/>
        </w:rPr>
      </w:pPr>
      <w:bookmarkStart w:id="59" w:name="_GoBack"/>
      <w:r>
        <w:rPr>
          <w:rFonts w:hint="eastAsia" w:cs="Times New Roman"/>
          <w:b/>
          <w:bCs/>
          <w:color w:val="000000"/>
          <w:szCs w:val="24"/>
          <w:lang w:val="en-US" w:eastAsia="zh-CN"/>
        </w:rPr>
        <w:t>Module Name：organisational consultancy</w:t>
      </w:r>
    </w:p>
    <w:p>
      <w:pPr>
        <w:jc w:val="center"/>
        <w:rPr>
          <w:rFonts w:hint="eastAsia" w:cs="Times New Roman"/>
          <w:b/>
          <w:bCs/>
          <w:color w:val="000000"/>
          <w:szCs w:val="24"/>
          <w:lang w:val="en-US" w:eastAsia="zh-CN"/>
        </w:rPr>
      </w:pPr>
      <w:r>
        <w:rPr>
          <w:rFonts w:hint="eastAsia" w:cs="Times New Roman"/>
          <w:b/>
          <w:bCs/>
          <w:color w:val="000000"/>
          <w:szCs w:val="24"/>
          <w:lang w:val="en-US" w:eastAsia="zh-CN"/>
        </w:rPr>
        <w:t>Module Code:M6X01422</w:t>
      </w:r>
    </w:p>
    <w:p>
      <w:pPr>
        <w:jc w:val="center"/>
        <w:rPr>
          <w:rFonts w:hint="eastAsia" w:cs="Times New Roman"/>
          <w:b/>
          <w:bCs/>
          <w:color w:val="000000"/>
          <w:szCs w:val="24"/>
          <w:lang w:val="en-US" w:eastAsia="zh-CN"/>
        </w:rPr>
      </w:pPr>
      <w:r>
        <w:rPr>
          <w:rFonts w:hint="eastAsia" w:cs="Times New Roman"/>
          <w:b/>
          <w:bCs/>
          <w:color w:val="000000"/>
          <w:szCs w:val="24"/>
          <w:lang w:val="en-US" w:eastAsia="zh-CN"/>
        </w:rPr>
        <w:t>Student Name:Lanxin Li</w:t>
      </w:r>
    </w:p>
    <w:p>
      <w:pPr>
        <w:jc w:val="center"/>
        <w:rPr>
          <w:rFonts w:hint="default" w:cs="Times New Roman"/>
          <w:b/>
          <w:bCs/>
          <w:color w:val="000000"/>
          <w:szCs w:val="24"/>
          <w:lang w:val="en-US" w:eastAsia="zh-CN"/>
        </w:rPr>
      </w:pPr>
      <w:r>
        <w:rPr>
          <w:rFonts w:hint="eastAsia" w:cs="Times New Roman"/>
          <w:b/>
          <w:bCs/>
          <w:color w:val="000000"/>
          <w:szCs w:val="24"/>
          <w:lang w:val="en-US" w:eastAsia="zh-CN"/>
        </w:rPr>
        <w:t>Student Number:1900865</w:t>
      </w:r>
    </w:p>
    <w:bookmarkEnd w:id="59"/>
    <w:p>
      <w:pPr>
        <w:tabs>
          <w:tab w:val="center" w:pos="60"/>
        </w:tabs>
        <w:rPr>
          <w:rFonts w:hint="eastAsia" w:eastAsia="等线" w:cs="Times New Roman"/>
          <w:b/>
          <w:bCs/>
          <w:color w:val="000000"/>
          <w:szCs w:val="24"/>
          <w:lang w:eastAsia="zh-CN"/>
        </w:rPr>
      </w:pPr>
      <w:r>
        <w:rPr>
          <w:rFonts w:hint="eastAsia" w:cs="Times New Roman"/>
          <w:b/>
          <w:bCs/>
          <w:color w:val="000000"/>
          <w:szCs w:val="24"/>
          <w:lang w:eastAsia="zh-CN"/>
        </w:rPr>
        <w:tab/>
      </w:r>
    </w:p>
    <w:p>
      <w:pPr>
        <w:tabs>
          <w:tab w:val="left" w:pos="3289"/>
        </w:tabs>
        <w:jc w:val="left"/>
        <w:rPr>
          <w:rFonts w:hint="eastAsia" w:eastAsia="等线" w:cs="Times New Roman"/>
          <w:b/>
          <w:bCs/>
          <w:szCs w:val="24"/>
          <w:lang w:eastAsia="zh-CN"/>
        </w:rPr>
        <w:sectPr>
          <w:footerReference r:id="rId3" w:type="default"/>
          <w:pgSz w:w="11906" w:h="16838"/>
          <w:pgMar w:top="1440" w:right="1800" w:bottom="1440" w:left="1800" w:header="851" w:footer="992" w:gutter="0"/>
          <w:cols w:space="720" w:num="1"/>
          <w:docGrid w:type="lines" w:linePitch="312" w:charSpace="0"/>
        </w:sectPr>
      </w:pPr>
      <w:bookmarkStart w:id="0" w:name="_Toc39152442"/>
    </w:p>
    <w:p>
      <w:pPr>
        <w:pStyle w:val="12"/>
        <w:bidi w:val="0"/>
        <w:jc w:val="center"/>
        <w:outlineLvl w:val="0"/>
      </w:pPr>
      <w:r>
        <w:t>Executive Summary</w:t>
      </w:r>
    </w:p>
    <w:p>
      <w:pPr>
        <w:rPr>
          <w:rFonts w:cs="Times New Roman"/>
          <w:szCs w:val="24"/>
        </w:rPr>
      </w:pPr>
      <w:r>
        <w:rPr>
          <w:rFonts w:cs="Times New Roman"/>
          <w:szCs w:val="24"/>
        </w:rPr>
        <w:t xml:space="preserve">This report examined the causes of Sainsbury’s market decline and proposed strategic recommendations to the management at Sainsbury’s. </w:t>
      </w:r>
      <w:r>
        <w:rPr>
          <w:rFonts w:hint="eastAsia" w:cs="Times New Roman"/>
          <w:szCs w:val="24"/>
          <w:lang w:val="en-US" w:eastAsia="zh-CN"/>
        </w:rPr>
        <w:t>Results of Porter</w:t>
      </w:r>
      <w:r>
        <w:rPr>
          <w:rFonts w:hint="default" w:cs="Times New Roman"/>
          <w:szCs w:val="24"/>
          <w:lang w:val="en-US" w:eastAsia="zh-CN"/>
        </w:rPr>
        <w:t>’</w:t>
      </w:r>
      <w:r>
        <w:rPr>
          <w:rFonts w:hint="eastAsia" w:cs="Times New Roman"/>
          <w:szCs w:val="24"/>
          <w:lang w:val="en-US" w:eastAsia="zh-CN"/>
        </w:rPr>
        <w:t xml:space="preserve">s Five Forces analysis </w:t>
      </w:r>
      <w:r>
        <w:rPr>
          <w:rFonts w:cs="Times New Roman"/>
          <w:szCs w:val="24"/>
        </w:rPr>
        <w:t>show that the supermarket sector in UK is extremely competitive, especially with new competitions from discounters</w:t>
      </w:r>
      <w:r>
        <w:rPr>
          <w:rFonts w:hint="eastAsia" w:cs="Times New Roman"/>
          <w:szCs w:val="24"/>
          <w:lang w:val="en-US" w:eastAsia="zh-CN"/>
        </w:rPr>
        <w:t>, and the bargaining power of buyer is also high</w:t>
      </w:r>
      <w:r>
        <w:rPr>
          <w:rFonts w:cs="Times New Roman"/>
          <w:szCs w:val="24"/>
        </w:rPr>
        <w:t>.</w:t>
      </w:r>
      <w:r>
        <w:rPr>
          <w:rFonts w:hint="eastAsia" w:cs="Times New Roman"/>
          <w:szCs w:val="24"/>
          <w:lang w:val="en-US" w:eastAsia="zh-CN"/>
        </w:rPr>
        <w:t xml:space="preserve"> Consequently, </w:t>
      </w:r>
      <w:r>
        <w:rPr>
          <w:rFonts w:cs="Times New Roman"/>
          <w:szCs w:val="24"/>
        </w:rPr>
        <w:t xml:space="preserve"> </w:t>
      </w:r>
      <w:r>
        <w:rPr>
          <w:rFonts w:hint="eastAsia" w:cs="Times New Roman"/>
          <w:szCs w:val="24"/>
          <w:lang w:val="en-US" w:eastAsia="zh-CN"/>
        </w:rPr>
        <w:t>in order to effectively compete in the market, in addition to maintaining strict cost control, Sainsbury</w:t>
      </w:r>
      <w:r>
        <w:rPr>
          <w:rFonts w:hint="default" w:cs="Times New Roman"/>
          <w:szCs w:val="24"/>
          <w:lang w:val="en-US" w:eastAsia="zh-CN"/>
        </w:rPr>
        <w:t>’</w:t>
      </w:r>
      <w:r>
        <w:rPr>
          <w:rFonts w:hint="eastAsia" w:cs="Times New Roman"/>
          <w:szCs w:val="24"/>
          <w:lang w:val="en-US" w:eastAsia="zh-CN"/>
        </w:rPr>
        <w:t>s also needs to achieve differentiation in terms of products and services. SWOT analysis show that its distinctive range of products can be utilized for differentiation. It also need to act promptly to improving its customer satisfaction.</w:t>
      </w:r>
      <w:r>
        <w:rPr>
          <w:rFonts w:cs="Times New Roman"/>
          <w:szCs w:val="24"/>
        </w:rPr>
        <w:t xml:space="preserve"> The COVID-19 pandemic present great opportunity for it to rebuild its brand. Analysis of customer reviews show that Sainsbury’s suffer from extremely low customer satisfaction rate, mainly because of poor service, including those related to inadequate online capability. It is losing loyal customers to poor services, and also suffers from the problem of poor brand trust. Thus, it is recommended that Sainsbury’s to differentiate itself through training of its employees, meeting customer needs, improve online capability, increase product range, build brand trust through marketing, and possibly expand to oversea markets. </w:t>
      </w:r>
    </w:p>
    <w:p>
      <w:pPr>
        <w:rPr>
          <w:rFonts w:cs="Times New Roman"/>
          <w:szCs w:val="24"/>
        </w:rPr>
      </w:pPr>
    </w:p>
    <w:p>
      <w:pPr>
        <w:rPr>
          <w:rFonts w:cs="Times New Roman"/>
          <w:szCs w:val="24"/>
        </w:rPr>
      </w:pPr>
    </w:p>
    <w:p>
      <w:pPr>
        <w:rPr>
          <w:rFonts w:cs="Times New Roman"/>
          <w:szCs w:val="24"/>
        </w:rPr>
      </w:pPr>
    </w:p>
    <w:p>
      <w:pPr>
        <w:rPr>
          <w:rFonts w:cs="Times New Roman"/>
          <w:szCs w:val="24"/>
        </w:rPr>
      </w:pPr>
    </w:p>
    <w:p>
      <w:pPr>
        <w:rPr>
          <w:rFonts w:cs="Times New Roman"/>
          <w:szCs w:val="24"/>
        </w:rPr>
      </w:pPr>
    </w:p>
    <w:p>
      <w:pPr>
        <w:rPr>
          <w:rFonts w:cs="Times New Roman"/>
          <w:szCs w:val="24"/>
        </w:rPr>
      </w:pPr>
    </w:p>
    <w:p>
      <w:pPr>
        <w:rPr>
          <w:rFonts w:cs="Times New Roman"/>
          <w:szCs w:val="24"/>
        </w:rPr>
      </w:pPr>
    </w:p>
    <w:p>
      <w:pPr>
        <w:jc w:val="center"/>
        <w:rPr>
          <w:rFonts w:cs="Times New Roman"/>
          <w:b/>
          <w:bCs/>
          <w:szCs w:val="24"/>
        </w:rPr>
      </w:pPr>
    </w:p>
    <w:p>
      <w:pPr>
        <w:pStyle w:val="24"/>
        <w:tabs>
          <w:tab w:val="right" w:leader="dot" w:pos="8306"/>
        </w:tabs>
        <w:jc w:val="center"/>
        <w:rPr>
          <w:rFonts w:hint="eastAsia" w:cs="Times New Roman"/>
          <w:b/>
          <w:bCs/>
          <w:color w:val="000000"/>
          <w:szCs w:val="24"/>
          <w:lang w:val="en-US" w:eastAsia="zh-CN"/>
        </w:rPr>
      </w:pPr>
    </w:p>
    <w:p>
      <w:pPr>
        <w:pStyle w:val="24"/>
        <w:tabs>
          <w:tab w:val="right" w:leader="dot" w:pos="8306"/>
        </w:tabs>
        <w:jc w:val="center"/>
        <w:rPr>
          <w:rFonts w:hint="eastAsia" w:cs="Times New Roman"/>
          <w:b/>
          <w:bCs/>
          <w:color w:val="000000"/>
          <w:szCs w:val="24"/>
          <w:lang w:val="en-US" w:eastAsia="zh-CN"/>
        </w:rPr>
        <w:sectPr>
          <w:footerReference r:id="rId4" w:type="default"/>
          <w:pgSz w:w="11906" w:h="16838"/>
          <w:pgMar w:top="1440" w:right="1800" w:bottom="1440" w:left="1800" w:header="851" w:footer="992" w:gutter="0"/>
          <w:pgNumType w:start="1"/>
          <w:cols w:space="720" w:num="1"/>
          <w:docGrid w:type="lines" w:linePitch="312" w:charSpace="0"/>
        </w:sectPr>
      </w:pPr>
    </w:p>
    <w:p>
      <w:pPr>
        <w:pStyle w:val="24"/>
        <w:tabs>
          <w:tab w:val="right" w:leader="dot" w:pos="8306"/>
        </w:tabs>
        <w:jc w:val="center"/>
        <w:rPr>
          <w:rFonts w:hint="default" w:ascii="Times New Roman" w:hAnsi="Times New Roman" w:cs="Times New Roman"/>
          <w:b/>
          <w:bCs/>
          <w:color w:val="000000"/>
          <w:sz w:val="24"/>
          <w:szCs w:val="24"/>
          <w:lang w:val="en-US" w:eastAsia="zh-CN"/>
        </w:rPr>
      </w:pPr>
      <w:r>
        <w:rPr>
          <w:rFonts w:hint="default" w:ascii="Times New Roman" w:hAnsi="Times New Roman" w:cs="Times New Roman"/>
          <w:b/>
          <w:bCs/>
          <w:color w:val="000000"/>
          <w:sz w:val="24"/>
          <w:szCs w:val="24"/>
          <w:lang w:val="en-US" w:eastAsia="zh-CN"/>
        </w:rPr>
        <w:t>Table of Contents</w:t>
      </w:r>
    </w:p>
    <w:p>
      <w:pPr>
        <w:pStyle w:val="22"/>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t>Executive Summar</w:t>
      </w:r>
      <w:r>
        <w:rPr>
          <w:rFonts w:hint="default" w:ascii="Times New Roman" w:hAnsi="Times New Roman" w:cs="Times New Roman"/>
          <w:sz w:val="24"/>
          <w:szCs w:val="24"/>
          <w:lang w:val="en-US" w:eastAsia="zh-CN"/>
        </w:rPr>
        <w:t>y</w:t>
      </w:r>
      <w:r>
        <w:rPr>
          <w:rFonts w:hint="default" w:ascii="Times New Roman" w:hAnsi="Times New Roman" w:cs="Times New Roman"/>
          <w:color w:val="000000"/>
          <w:sz w:val="24"/>
          <w:szCs w:val="24"/>
        </w:rPr>
        <w:fldChar w:fldCharType="begin"/>
      </w:r>
      <w:r>
        <w:rPr>
          <w:rFonts w:hint="default" w:ascii="Times New Roman" w:hAnsi="Times New Roman" w:cs="Times New Roman"/>
          <w:sz w:val="24"/>
          <w:szCs w:val="24"/>
        </w:rPr>
        <w:instrText xml:space="preserve"> HYPERLINK \l _Toc6388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ab/>
      </w:r>
      <w:r>
        <w:rPr>
          <w:rFonts w:hint="eastAsia" w:ascii="Times New Roman" w:hAnsi="Times New Roman" w:cs="Times New Roman"/>
          <w:sz w:val="24"/>
          <w:szCs w:val="24"/>
          <w:lang w:val="en-US" w:eastAsia="zh-CN"/>
        </w:rPr>
        <w:t>2</w:t>
      </w:r>
      <w:r>
        <w:rPr>
          <w:rFonts w:hint="default" w:ascii="Times New Roman" w:hAnsi="Times New Roman" w:cs="Times New Roman"/>
          <w:color w:val="000000"/>
          <w:sz w:val="24"/>
          <w:szCs w:val="24"/>
        </w:rPr>
        <w:fldChar w:fldCharType="end"/>
      </w:r>
    </w:p>
    <w:p>
      <w:pPr>
        <w:pStyle w:val="22"/>
        <w:tabs>
          <w:tab w:val="right" w:leader="dot" w:pos="8306"/>
        </w:tabs>
        <w:rPr>
          <w:rFonts w:hint="default" w:ascii="Times New Roman" w:hAnsi="Times New Roman" w:cs="Times New Roman"/>
          <w:sz w:val="24"/>
          <w:szCs w:val="24"/>
        </w:rPr>
      </w:pPr>
      <w:r>
        <w:rPr>
          <w:rFonts w:hint="default" w:ascii="Times New Roman" w:hAnsi="Times New Roman" w:cs="Times New Roman"/>
          <w:color w:val="000000"/>
          <w:sz w:val="24"/>
          <w:szCs w:val="24"/>
        </w:rPr>
        <w:fldChar w:fldCharType="begin"/>
      </w:r>
      <w:r>
        <w:rPr>
          <w:rFonts w:hint="default" w:ascii="Times New Roman" w:hAnsi="Times New Roman" w:cs="Times New Roman"/>
          <w:color w:val="000000"/>
          <w:sz w:val="24"/>
          <w:szCs w:val="24"/>
        </w:rPr>
        <w:instrText xml:space="preserve">TOC \o "1-3" \h \u </w:instrText>
      </w:r>
      <w:r>
        <w:rPr>
          <w:rFonts w:hint="default" w:ascii="Times New Roman" w:hAnsi="Times New Roman" w:cs="Times New Roman"/>
          <w:color w:val="000000"/>
          <w:sz w:val="24"/>
          <w:szCs w:val="24"/>
        </w:rPr>
        <w:fldChar w:fldCharType="separate"/>
      </w:r>
      <w:r>
        <w:rPr>
          <w:rFonts w:hint="default" w:ascii="Times New Roman" w:hAnsi="Times New Roman" w:cs="Times New Roman"/>
          <w:color w:val="000000"/>
          <w:sz w:val="24"/>
          <w:szCs w:val="24"/>
        </w:rPr>
        <w:fldChar w:fldCharType="begin"/>
      </w:r>
      <w:r>
        <w:rPr>
          <w:rFonts w:hint="default" w:ascii="Times New Roman" w:hAnsi="Times New Roman" w:cs="Times New Roman"/>
          <w:sz w:val="24"/>
          <w:szCs w:val="24"/>
        </w:rPr>
        <w:instrText xml:space="preserve"> HYPERLINK \l _Toc6388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 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_Toc6388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color w:val="000000"/>
          <w:sz w:val="24"/>
          <w:szCs w:val="24"/>
        </w:rPr>
        <w:fldChar w:fldCharType="end"/>
      </w:r>
    </w:p>
    <w:p>
      <w:pPr>
        <w:pStyle w:val="22"/>
        <w:tabs>
          <w:tab w:val="right" w:leader="dot" w:pos="8306"/>
        </w:tabs>
        <w:rPr>
          <w:rFonts w:hint="default" w:ascii="Times New Roman" w:hAnsi="Times New Roman" w:cs="Times New Roman"/>
          <w:sz w:val="24"/>
          <w:szCs w:val="24"/>
        </w:rPr>
      </w:pPr>
      <w:r>
        <w:rPr>
          <w:rFonts w:hint="default" w:ascii="Times New Roman" w:hAnsi="Times New Roman" w:cs="Times New Roman"/>
          <w:color w:val="000000"/>
          <w:sz w:val="24"/>
          <w:szCs w:val="24"/>
        </w:rPr>
        <w:fldChar w:fldCharType="begin"/>
      </w:r>
      <w:r>
        <w:rPr>
          <w:rFonts w:hint="default" w:ascii="Times New Roman" w:hAnsi="Times New Roman" w:cs="Times New Roman"/>
          <w:sz w:val="24"/>
          <w:szCs w:val="24"/>
        </w:rPr>
        <w:instrText xml:space="preserve"> HYPERLINK \l _Toc18435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2.0 Research Methodology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_Toc18435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color w:val="000000"/>
          <w:sz w:val="24"/>
          <w:szCs w:val="24"/>
        </w:rPr>
        <w:fldChar w:fldCharType="end"/>
      </w:r>
    </w:p>
    <w:p>
      <w:pPr>
        <w:pStyle w:val="24"/>
        <w:tabs>
          <w:tab w:val="right" w:leader="dot" w:pos="8306"/>
        </w:tabs>
        <w:rPr>
          <w:rFonts w:hint="default" w:ascii="Times New Roman" w:hAnsi="Times New Roman" w:cs="Times New Roman"/>
          <w:sz w:val="24"/>
          <w:szCs w:val="24"/>
        </w:rPr>
      </w:pPr>
      <w:r>
        <w:rPr>
          <w:rFonts w:hint="default" w:ascii="Times New Roman" w:hAnsi="Times New Roman" w:cs="Times New Roman"/>
          <w:color w:val="000000"/>
          <w:sz w:val="24"/>
          <w:szCs w:val="24"/>
        </w:rPr>
        <w:fldChar w:fldCharType="begin"/>
      </w:r>
      <w:r>
        <w:rPr>
          <w:rFonts w:hint="default" w:ascii="Times New Roman" w:hAnsi="Times New Roman" w:cs="Times New Roman"/>
          <w:sz w:val="24"/>
          <w:szCs w:val="24"/>
        </w:rPr>
        <w:instrText xml:space="preserve"> HYPERLINK \l _Toc20960 </w:instrText>
      </w:r>
      <w:r>
        <w:rPr>
          <w:rFonts w:hint="default" w:ascii="Times New Roman" w:hAnsi="Times New Roman" w:cs="Times New Roman"/>
          <w:sz w:val="24"/>
          <w:szCs w:val="24"/>
        </w:rPr>
        <w:fldChar w:fldCharType="separate"/>
      </w:r>
      <w:r>
        <w:rPr>
          <w:rFonts w:hint="default" w:ascii="Times New Roman" w:hAnsi="Times New Roman" w:cs="Times New Roman"/>
          <w:bCs w:val="0"/>
          <w:sz w:val="24"/>
          <w:szCs w:val="24"/>
        </w:rPr>
        <w:t>2.1 Secondary Research</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_Toc20960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color w:val="000000"/>
          <w:sz w:val="24"/>
          <w:szCs w:val="24"/>
        </w:rPr>
        <w:fldChar w:fldCharType="end"/>
      </w:r>
    </w:p>
    <w:p>
      <w:pPr>
        <w:pStyle w:val="24"/>
        <w:tabs>
          <w:tab w:val="right" w:leader="dot" w:pos="8306"/>
        </w:tabs>
        <w:rPr>
          <w:rFonts w:hint="default" w:ascii="Times New Roman" w:hAnsi="Times New Roman" w:cs="Times New Roman"/>
          <w:sz w:val="24"/>
          <w:szCs w:val="24"/>
        </w:rPr>
      </w:pPr>
      <w:r>
        <w:rPr>
          <w:rFonts w:hint="default" w:ascii="Times New Roman" w:hAnsi="Times New Roman" w:cs="Times New Roman"/>
          <w:color w:val="000000"/>
          <w:sz w:val="24"/>
          <w:szCs w:val="24"/>
        </w:rPr>
        <w:fldChar w:fldCharType="begin"/>
      </w:r>
      <w:r>
        <w:rPr>
          <w:rFonts w:hint="default" w:ascii="Times New Roman" w:hAnsi="Times New Roman" w:cs="Times New Roman"/>
          <w:sz w:val="24"/>
          <w:szCs w:val="24"/>
        </w:rPr>
        <w:instrText xml:space="preserve"> HYPERLINK \l _Toc19293 </w:instrText>
      </w:r>
      <w:r>
        <w:rPr>
          <w:rFonts w:hint="default" w:ascii="Times New Roman" w:hAnsi="Times New Roman" w:cs="Times New Roman"/>
          <w:sz w:val="24"/>
          <w:szCs w:val="24"/>
        </w:rPr>
        <w:fldChar w:fldCharType="separate"/>
      </w:r>
      <w:r>
        <w:rPr>
          <w:rFonts w:hint="default" w:ascii="Times New Roman" w:hAnsi="Times New Roman" w:cs="Times New Roman"/>
          <w:bCs w:val="0"/>
          <w:sz w:val="24"/>
          <w:szCs w:val="24"/>
        </w:rPr>
        <w:t>2.2 Data Collection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_Toc19293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color w:val="000000"/>
          <w:sz w:val="24"/>
          <w:szCs w:val="24"/>
        </w:rPr>
        <w:fldChar w:fldCharType="end"/>
      </w:r>
    </w:p>
    <w:p>
      <w:pPr>
        <w:pStyle w:val="24"/>
        <w:tabs>
          <w:tab w:val="right" w:leader="dot" w:pos="8306"/>
        </w:tabs>
        <w:rPr>
          <w:rFonts w:hint="default" w:ascii="Times New Roman" w:hAnsi="Times New Roman" w:cs="Times New Roman"/>
          <w:sz w:val="24"/>
          <w:szCs w:val="24"/>
        </w:rPr>
      </w:pPr>
      <w:r>
        <w:rPr>
          <w:rFonts w:hint="default" w:ascii="Times New Roman" w:hAnsi="Times New Roman" w:cs="Times New Roman"/>
          <w:color w:val="000000"/>
          <w:sz w:val="24"/>
          <w:szCs w:val="24"/>
        </w:rPr>
        <w:fldChar w:fldCharType="begin"/>
      </w:r>
      <w:r>
        <w:rPr>
          <w:rFonts w:hint="default" w:ascii="Times New Roman" w:hAnsi="Times New Roman" w:cs="Times New Roman"/>
          <w:sz w:val="24"/>
          <w:szCs w:val="24"/>
        </w:rPr>
        <w:instrText xml:space="preserve"> HYPERLINK \l _Toc17690 </w:instrText>
      </w:r>
      <w:r>
        <w:rPr>
          <w:rFonts w:hint="default" w:ascii="Times New Roman" w:hAnsi="Times New Roman" w:cs="Times New Roman"/>
          <w:sz w:val="24"/>
          <w:szCs w:val="24"/>
        </w:rPr>
        <w:fldChar w:fldCharType="separate"/>
      </w:r>
      <w:r>
        <w:rPr>
          <w:rFonts w:hint="default" w:ascii="Times New Roman" w:hAnsi="Times New Roman" w:cs="Times New Roman"/>
          <w:bCs w:val="0"/>
          <w:sz w:val="24"/>
          <w:szCs w:val="24"/>
        </w:rPr>
        <w:t>2.3 Data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_Toc17690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color w:val="000000"/>
          <w:sz w:val="24"/>
          <w:szCs w:val="24"/>
        </w:rPr>
        <w:fldChar w:fldCharType="end"/>
      </w:r>
    </w:p>
    <w:p>
      <w:pPr>
        <w:pStyle w:val="22"/>
        <w:tabs>
          <w:tab w:val="right" w:leader="dot" w:pos="8306"/>
        </w:tabs>
        <w:rPr>
          <w:rFonts w:hint="default" w:ascii="Times New Roman" w:hAnsi="Times New Roman" w:cs="Times New Roman"/>
          <w:sz w:val="24"/>
          <w:szCs w:val="24"/>
        </w:rPr>
      </w:pPr>
      <w:r>
        <w:rPr>
          <w:rFonts w:hint="default" w:ascii="Times New Roman" w:hAnsi="Times New Roman" w:cs="Times New Roman"/>
          <w:color w:val="000000"/>
          <w:sz w:val="24"/>
          <w:szCs w:val="24"/>
        </w:rPr>
        <w:fldChar w:fldCharType="begin"/>
      </w:r>
      <w:r>
        <w:rPr>
          <w:rFonts w:hint="default" w:ascii="Times New Roman" w:hAnsi="Times New Roman" w:cs="Times New Roman"/>
          <w:sz w:val="24"/>
          <w:szCs w:val="24"/>
        </w:rPr>
        <w:instrText xml:space="preserve"> HYPERLINK \l _Toc25335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3.0 Findings and Discussions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_Toc25335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color w:val="000000"/>
          <w:sz w:val="24"/>
          <w:szCs w:val="24"/>
        </w:rPr>
        <w:fldChar w:fldCharType="end"/>
      </w:r>
    </w:p>
    <w:p>
      <w:pPr>
        <w:pStyle w:val="24"/>
        <w:tabs>
          <w:tab w:val="right" w:leader="dot" w:pos="8306"/>
        </w:tabs>
        <w:rPr>
          <w:rFonts w:hint="default" w:ascii="Times New Roman" w:hAnsi="Times New Roman" w:cs="Times New Roman"/>
          <w:sz w:val="24"/>
          <w:szCs w:val="24"/>
        </w:rPr>
      </w:pPr>
      <w:r>
        <w:rPr>
          <w:rFonts w:hint="default" w:ascii="Times New Roman" w:hAnsi="Times New Roman" w:cs="Times New Roman"/>
          <w:color w:val="000000"/>
          <w:sz w:val="24"/>
          <w:szCs w:val="24"/>
        </w:rPr>
        <w:fldChar w:fldCharType="begin"/>
      </w:r>
      <w:r>
        <w:rPr>
          <w:rFonts w:hint="default" w:ascii="Times New Roman" w:hAnsi="Times New Roman" w:cs="Times New Roman"/>
          <w:sz w:val="24"/>
          <w:szCs w:val="24"/>
        </w:rPr>
        <w:instrText xml:space="preserve"> HYPERLINK \l _Toc28434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3.1 Situational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_Toc28434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color w:val="000000"/>
          <w:sz w:val="24"/>
          <w:szCs w:val="24"/>
        </w:rPr>
        <w:fldChar w:fldCharType="end"/>
      </w:r>
    </w:p>
    <w:p>
      <w:pPr>
        <w:pStyle w:val="23"/>
        <w:tabs>
          <w:tab w:val="right" w:leader="dot" w:pos="8306"/>
        </w:tabs>
        <w:rPr>
          <w:rFonts w:hint="default" w:ascii="Times New Roman" w:hAnsi="Times New Roman" w:cs="Times New Roman"/>
          <w:sz w:val="24"/>
          <w:szCs w:val="24"/>
        </w:rPr>
      </w:pPr>
      <w:r>
        <w:rPr>
          <w:rFonts w:hint="default" w:ascii="Times New Roman" w:hAnsi="Times New Roman" w:cs="Times New Roman"/>
          <w:color w:val="000000"/>
          <w:sz w:val="24"/>
          <w:szCs w:val="24"/>
        </w:rPr>
        <w:fldChar w:fldCharType="begin"/>
      </w:r>
      <w:r>
        <w:rPr>
          <w:rFonts w:hint="default" w:ascii="Times New Roman" w:hAnsi="Times New Roman" w:cs="Times New Roman"/>
          <w:sz w:val="24"/>
          <w:szCs w:val="24"/>
        </w:rPr>
        <w:instrText xml:space="preserve"> HYPERLINK \l _Toc17630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3.1.</w:t>
      </w:r>
      <w:r>
        <w:rPr>
          <w:rFonts w:hint="default" w:ascii="Times New Roman" w:hAnsi="Times New Roman" w:cs="Times New Roman"/>
          <w:sz w:val="24"/>
          <w:szCs w:val="24"/>
          <w:lang w:val="en-US" w:eastAsia="zh-CN"/>
        </w:rPr>
        <w:t>1</w:t>
      </w:r>
      <w:r>
        <w:rPr>
          <w:rFonts w:hint="default" w:ascii="Times New Roman" w:hAnsi="Times New Roman" w:cs="Times New Roman"/>
          <w:sz w:val="24"/>
          <w:szCs w:val="24"/>
        </w:rPr>
        <w:t xml:space="preserve"> Implication of Porter’s Five Forces Analysis of Sainsbury’s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_Toc17630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color w:val="000000"/>
          <w:sz w:val="24"/>
          <w:szCs w:val="24"/>
        </w:rPr>
        <w:fldChar w:fldCharType="end"/>
      </w:r>
    </w:p>
    <w:p>
      <w:pPr>
        <w:pStyle w:val="23"/>
        <w:tabs>
          <w:tab w:val="right" w:leader="dot" w:pos="8306"/>
        </w:tabs>
        <w:rPr>
          <w:rFonts w:hint="default" w:ascii="Times New Roman" w:hAnsi="Times New Roman" w:cs="Times New Roman"/>
          <w:sz w:val="24"/>
          <w:szCs w:val="24"/>
        </w:rPr>
      </w:pPr>
      <w:r>
        <w:rPr>
          <w:rFonts w:hint="default" w:ascii="Times New Roman" w:hAnsi="Times New Roman" w:cs="Times New Roman"/>
          <w:color w:val="000000"/>
          <w:sz w:val="24"/>
          <w:szCs w:val="24"/>
        </w:rPr>
        <w:fldChar w:fldCharType="begin"/>
      </w:r>
      <w:r>
        <w:rPr>
          <w:rFonts w:hint="default" w:ascii="Times New Roman" w:hAnsi="Times New Roman" w:cs="Times New Roman"/>
          <w:sz w:val="24"/>
          <w:szCs w:val="24"/>
        </w:rPr>
        <w:instrText xml:space="preserve"> HYPERLINK \l _Toc5010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3.1.</w:t>
      </w:r>
      <w:r>
        <w:rPr>
          <w:rFonts w:hint="default" w:ascii="Times New Roman" w:hAnsi="Times New Roman" w:cs="Times New Roman"/>
          <w:sz w:val="24"/>
          <w:szCs w:val="24"/>
          <w:lang w:val="en-US" w:eastAsia="zh-CN"/>
        </w:rPr>
        <w:t>2</w:t>
      </w:r>
      <w:r>
        <w:rPr>
          <w:rFonts w:hint="default" w:ascii="Times New Roman" w:hAnsi="Times New Roman" w:cs="Times New Roman"/>
          <w:sz w:val="24"/>
          <w:szCs w:val="24"/>
        </w:rPr>
        <w:t xml:space="preserve"> Implication of SWOT Analysis of Sainsbury’s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_Toc5010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color w:val="000000"/>
          <w:sz w:val="24"/>
          <w:szCs w:val="24"/>
        </w:rPr>
        <w:fldChar w:fldCharType="end"/>
      </w:r>
    </w:p>
    <w:p>
      <w:pPr>
        <w:pStyle w:val="23"/>
        <w:tabs>
          <w:tab w:val="right" w:leader="dot" w:pos="8306"/>
        </w:tabs>
        <w:rPr>
          <w:rFonts w:hint="default" w:ascii="Times New Roman" w:hAnsi="Times New Roman" w:cs="Times New Roman"/>
          <w:sz w:val="24"/>
          <w:szCs w:val="24"/>
        </w:rPr>
      </w:pPr>
      <w:r>
        <w:rPr>
          <w:rFonts w:hint="default" w:ascii="Times New Roman" w:hAnsi="Times New Roman" w:cs="Times New Roman"/>
          <w:color w:val="000000"/>
          <w:sz w:val="24"/>
          <w:szCs w:val="24"/>
        </w:rPr>
        <w:fldChar w:fldCharType="begin"/>
      </w:r>
      <w:r>
        <w:rPr>
          <w:rFonts w:hint="default" w:ascii="Times New Roman" w:hAnsi="Times New Roman" w:cs="Times New Roman"/>
          <w:sz w:val="24"/>
          <w:szCs w:val="24"/>
        </w:rPr>
        <w:instrText xml:space="preserve"> HYPERLINK \l _Toc15322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3.1.</w:t>
      </w:r>
      <w:r>
        <w:rPr>
          <w:rFonts w:hint="default" w:ascii="Times New Roman" w:hAnsi="Times New Roman" w:cs="Times New Roman"/>
          <w:sz w:val="24"/>
          <w:szCs w:val="24"/>
          <w:lang w:val="en-US" w:eastAsia="zh-CN"/>
        </w:rPr>
        <w:t>3</w:t>
      </w:r>
      <w:r>
        <w:rPr>
          <w:rFonts w:hint="default" w:ascii="Times New Roman" w:hAnsi="Times New Roman" w:cs="Times New Roman"/>
          <w:sz w:val="24"/>
          <w:szCs w:val="24"/>
        </w:rPr>
        <w:t xml:space="preserve"> Summarization of Situational Analysis Results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_Toc15322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color w:val="000000"/>
          <w:sz w:val="24"/>
          <w:szCs w:val="24"/>
        </w:rPr>
        <w:fldChar w:fldCharType="end"/>
      </w:r>
    </w:p>
    <w:p>
      <w:pPr>
        <w:pStyle w:val="24"/>
        <w:tabs>
          <w:tab w:val="right" w:leader="dot" w:pos="8306"/>
        </w:tabs>
        <w:rPr>
          <w:rFonts w:hint="default" w:ascii="Times New Roman" w:hAnsi="Times New Roman" w:cs="Times New Roman"/>
          <w:sz w:val="24"/>
          <w:szCs w:val="24"/>
        </w:rPr>
      </w:pPr>
      <w:r>
        <w:rPr>
          <w:rFonts w:hint="default" w:ascii="Times New Roman" w:hAnsi="Times New Roman" w:cs="Times New Roman"/>
          <w:color w:val="000000"/>
          <w:sz w:val="24"/>
          <w:szCs w:val="24"/>
        </w:rPr>
        <w:fldChar w:fldCharType="begin"/>
      </w:r>
      <w:r>
        <w:rPr>
          <w:rFonts w:hint="default" w:ascii="Times New Roman" w:hAnsi="Times New Roman" w:cs="Times New Roman"/>
          <w:sz w:val="24"/>
          <w:szCs w:val="24"/>
        </w:rPr>
        <w:instrText xml:space="preserve"> HYPERLINK \l _Toc14279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rPr>
        <w:t>3.2 Customer Reviews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_Toc14279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color w:val="000000"/>
          <w:sz w:val="24"/>
          <w:szCs w:val="24"/>
        </w:rPr>
        <w:fldChar w:fldCharType="end"/>
      </w:r>
    </w:p>
    <w:p>
      <w:pPr>
        <w:pStyle w:val="23"/>
        <w:tabs>
          <w:tab w:val="right" w:leader="dot" w:pos="8306"/>
        </w:tabs>
        <w:rPr>
          <w:rFonts w:hint="default" w:ascii="Times New Roman" w:hAnsi="Times New Roman" w:cs="Times New Roman"/>
          <w:sz w:val="24"/>
          <w:szCs w:val="24"/>
        </w:rPr>
      </w:pPr>
      <w:r>
        <w:rPr>
          <w:rFonts w:hint="default" w:ascii="Times New Roman" w:hAnsi="Times New Roman" w:cs="Times New Roman"/>
          <w:color w:val="000000"/>
          <w:sz w:val="24"/>
          <w:szCs w:val="24"/>
        </w:rPr>
        <w:fldChar w:fldCharType="begin"/>
      </w:r>
      <w:r>
        <w:rPr>
          <w:rFonts w:hint="default" w:ascii="Times New Roman" w:hAnsi="Times New Roman" w:cs="Times New Roman"/>
          <w:sz w:val="24"/>
          <w:szCs w:val="24"/>
        </w:rPr>
        <w:instrText xml:space="preserve"> HYPERLINK \l _Toc4066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3.2.1 Overall Customer Rating of Sainsbury’s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_Toc4066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color w:val="000000"/>
          <w:sz w:val="24"/>
          <w:szCs w:val="24"/>
        </w:rPr>
        <w:fldChar w:fldCharType="end"/>
      </w:r>
    </w:p>
    <w:p>
      <w:pPr>
        <w:pStyle w:val="23"/>
        <w:tabs>
          <w:tab w:val="right" w:leader="dot" w:pos="8306"/>
        </w:tabs>
        <w:rPr>
          <w:rFonts w:hint="default" w:ascii="Times New Roman" w:hAnsi="Times New Roman" w:cs="Times New Roman"/>
          <w:sz w:val="24"/>
          <w:szCs w:val="24"/>
        </w:rPr>
      </w:pPr>
      <w:r>
        <w:rPr>
          <w:rFonts w:hint="default" w:ascii="Times New Roman" w:hAnsi="Times New Roman" w:cs="Times New Roman"/>
          <w:color w:val="000000"/>
          <w:sz w:val="24"/>
          <w:szCs w:val="24"/>
        </w:rPr>
        <w:fldChar w:fldCharType="begin"/>
      </w:r>
      <w:r>
        <w:rPr>
          <w:rFonts w:hint="default" w:ascii="Times New Roman" w:hAnsi="Times New Roman" w:cs="Times New Roman"/>
          <w:sz w:val="24"/>
          <w:szCs w:val="24"/>
        </w:rPr>
        <w:instrText xml:space="preserve"> HYPERLINK \l _Toc25949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3.2.2 Poor Service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_Toc25949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color w:val="000000"/>
          <w:sz w:val="24"/>
          <w:szCs w:val="24"/>
        </w:rPr>
        <w:fldChar w:fldCharType="end"/>
      </w:r>
    </w:p>
    <w:p>
      <w:pPr>
        <w:pStyle w:val="23"/>
        <w:tabs>
          <w:tab w:val="right" w:leader="dot" w:pos="8306"/>
        </w:tabs>
        <w:rPr>
          <w:rFonts w:hint="default" w:ascii="Times New Roman" w:hAnsi="Times New Roman" w:cs="Times New Roman"/>
          <w:sz w:val="24"/>
          <w:szCs w:val="24"/>
        </w:rPr>
      </w:pPr>
      <w:r>
        <w:rPr>
          <w:rFonts w:hint="default" w:ascii="Times New Roman" w:hAnsi="Times New Roman" w:cs="Times New Roman"/>
          <w:color w:val="000000"/>
          <w:sz w:val="24"/>
          <w:szCs w:val="24"/>
        </w:rPr>
        <w:fldChar w:fldCharType="begin"/>
      </w:r>
      <w:r>
        <w:rPr>
          <w:rFonts w:hint="default" w:ascii="Times New Roman" w:hAnsi="Times New Roman" w:cs="Times New Roman"/>
          <w:sz w:val="24"/>
          <w:szCs w:val="24"/>
        </w:rPr>
        <w:instrText xml:space="preserve"> HYPERLINK \l _Toc18234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3.2.3 Loosing of Loyal Customer Base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_Toc18234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12</w:t>
      </w:r>
      <w:r>
        <w:rPr>
          <w:rFonts w:hint="default" w:ascii="Times New Roman" w:hAnsi="Times New Roman" w:cs="Times New Roman"/>
          <w:sz w:val="24"/>
          <w:szCs w:val="24"/>
        </w:rPr>
        <w:fldChar w:fldCharType="end"/>
      </w:r>
      <w:r>
        <w:rPr>
          <w:rFonts w:hint="default" w:ascii="Times New Roman" w:hAnsi="Times New Roman" w:cs="Times New Roman"/>
          <w:color w:val="000000"/>
          <w:sz w:val="24"/>
          <w:szCs w:val="24"/>
        </w:rPr>
        <w:fldChar w:fldCharType="end"/>
      </w:r>
    </w:p>
    <w:p>
      <w:pPr>
        <w:pStyle w:val="23"/>
        <w:tabs>
          <w:tab w:val="right" w:leader="dot" w:pos="8306"/>
        </w:tabs>
        <w:rPr>
          <w:rFonts w:hint="default" w:ascii="Times New Roman" w:hAnsi="Times New Roman" w:cs="Times New Roman"/>
          <w:sz w:val="24"/>
          <w:szCs w:val="24"/>
        </w:rPr>
      </w:pPr>
      <w:r>
        <w:rPr>
          <w:rFonts w:hint="default" w:ascii="Times New Roman" w:hAnsi="Times New Roman" w:cs="Times New Roman"/>
          <w:color w:val="000000"/>
          <w:sz w:val="24"/>
          <w:szCs w:val="24"/>
        </w:rPr>
        <w:fldChar w:fldCharType="begin"/>
      </w:r>
      <w:r>
        <w:rPr>
          <w:rFonts w:hint="default" w:ascii="Times New Roman" w:hAnsi="Times New Roman" w:cs="Times New Roman"/>
          <w:sz w:val="24"/>
          <w:szCs w:val="24"/>
        </w:rPr>
        <w:instrText xml:space="preserve"> HYPERLINK \l _Toc18342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3.2.4 Brand Trust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_Toc18342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13</w:t>
      </w:r>
      <w:r>
        <w:rPr>
          <w:rFonts w:hint="default" w:ascii="Times New Roman" w:hAnsi="Times New Roman" w:cs="Times New Roman"/>
          <w:sz w:val="24"/>
          <w:szCs w:val="24"/>
        </w:rPr>
        <w:fldChar w:fldCharType="end"/>
      </w:r>
      <w:r>
        <w:rPr>
          <w:rFonts w:hint="default" w:ascii="Times New Roman" w:hAnsi="Times New Roman" w:cs="Times New Roman"/>
          <w:color w:val="000000"/>
          <w:sz w:val="24"/>
          <w:szCs w:val="24"/>
        </w:rPr>
        <w:fldChar w:fldCharType="end"/>
      </w:r>
    </w:p>
    <w:p>
      <w:pPr>
        <w:pStyle w:val="22"/>
        <w:tabs>
          <w:tab w:val="right" w:leader="dot" w:pos="8306"/>
        </w:tabs>
        <w:rPr>
          <w:rFonts w:hint="default" w:ascii="Times New Roman" w:hAnsi="Times New Roman" w:cs="Times New Roman"/>
          <w:sz w:val="24"/>
          <w:szCs w:val="24"/>
        </w:rPr>
      </w:pPr>
      <w:r>
        <w:rPr>
          <w:rFonts w:hint="default" w:ascii="Times New Roman" w:hAnsi="Times New Roman" w:cs="Times New Roman"/>
          <w:color w:val="000000"/>
          <w:sz w:val="24"/>
          <w:szCs w:val="24"/>
        </w:rPr>
        <w:fldChar w:fldCharType="begin"/>
      </w:r>
      <w:r>
        <w:rPr>
          <w:rFonts w:hint="default" w:ascii="Times New Roman" w:hAnsi="Times New Roman" w:cs="Times New Roman"/>
          <w:sz w:val="24"/>
          <w:szCs w:val="24"/>
        </w:rPr>
        <w:instrText xml:space="preserve"> HYPERLINK \l _Toc11654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4</w:t>
      </w:r>
      <w:r>
        <w:rPr>
          <w:rFonts w:hint="default" w:ascii="Times New Roman" w:hAnsi="Times New Roman" w:cs="Times New Roman"/>
          <w:sz w:val="24"/>
          <w:szCs w:val="24"/>
        </w:rPr>
        <w:t>.0 Conclusion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_Toc11654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14</w:t>
      </w:r>
      <w:r>
        <w:rPr>
          <w:rFonts w:hint="default" w:ascii="Times New Roman" w:hAnsi="Times New Roman" w:cs="Times New Roman"/>
          <w:sz w:val="24"/>
          <w:szCs w:val="24"/>
        </w:rPr>
        <w:fldChar w:fldCharType="end"/>
      </w:r>
      <w:r>
        <w:rPr>
          <w:rFonts w:hint="default" w:ascii="Times New Roman" w:hAnsi="Times New Roman" w:cs="Times New Roman"/>
          <w:color w:val="000000"/>
          <w:sz w:val="24"/>
          <w:szCs w:val="24"/>
        </w:rPr>
        <w:fldChar w:fldCharType="end"/>
      </w:r>
    </w:p>
    <w:p>
      <w:pPr>
        <w:pStyle w:val="22"/>
        <w:tabs>
          <w:tab w:val="right" w:leader="dot" w:pos="8306"/>
        </w:tabs>
        <w:rPr>
          <w:rFonts w:hint="default" w:ascii="Times New Roman" w:hAnsi="Times New Roman" w:cs="Times New Roman"/>
          <w:sz w:val="24"/>
          <w:szCs w:val="24"/>
        </w:rPr>
      </w:pPr>
      <w:r>
        <w:rPr>
          <w:rFonts w:hint="default" w:ascii="Times New Roman" w:hAnsi="Times New Roman" w:cs="Times New Roman"/>
          <w:color w:val="000000"/>
          <w:sz w:val="24"/>
          <w:szCs w:val="24"/>
        </w:rPr>
        <w:fldChar w:fldCharType="begin"/>
      </w:r>
      <w:r>
        <w:rPr>
          <w:rFonts w:hint="default" w:ascii="Times New Roman" w:hAnsi="Times New Roman" w:cs="Times New Roman"/>
          <w:sz w:val="24"/>
          <w:szCs w:val="24"/>
        </w:rPr>
        <w:instrText xml:space="preserve"> HYPERLINK \l _Toc14412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5</w:t>
      </w:r>
      <w:r>
        <w:rPr>
          <w:rFonts w:hint="default" w:ascii="Times New Roman" w:hAnsi="Times New Roman" w:cs="Times New Roman"/>
          <w:sz w:val="24"/>
          <w:szCs w:val="24"/>
        </w:rPr>
        <w:t>.0 Strategic Recommendations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_Toc14412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14</w:t>
      </w:r>
      <w:r>
        <w:rPr>
          <w:rFonts w:hint="default" w:ascii="Times New Roman" w:hAnsi="Times New Roman" w:cs="Times New Roman"/>
          <w:sz w:val="24"/>
          <w:szCs w:val="24"/>
        </w:rPr>
        <w:fldChar w:fldCharType="end"/>
      </w:r>
      <w:r>
        <w:rPr>
          <w:rFonts w:hint="default" w:ascii="Times New Roman" w:hAnsi="Times New Roman" w:cs="Times New Roman"/>
          <w:color w:val="000000"/>
          <w:sz w:val="24"/>
          <w:szCs w:val="24"/>
        </w:rPr>
        <w:fldChar w:fldCharType="end"/>
      </w:r>
    </w:p>
    <w:p>
      <w:pPr>
        <w:pStyle w:val="22"/>
        <w:tabs>
          <w:tab w:val="right" w:leader="dot" w:pos="8306"/>
        </w:tabs>
        <w:rPr>
          <w:rFonts w:hint="eastAsia" w:ascii="Times New Roman" w:hAnsi="Times New Roman" w:cs="Times New Roman" w:eastAsiaTheme="minorEastAsia"/>
          <w:sz w:val="24"/>
          <w:szCs w:val="24"/>
          <w:lang w:val="en-US" w:eastAsia="zh-CN"/>
        </w:rPr>
      </w:pPr>
      <w:r>
        <w:rPr>
          <w:rFonts w:hint="eastAsia" w:ascii="Times New Roman" w:hAnsi="Times New Roman" w:cs="Times New Roman"/>
          <w:color w:val="000000"/>
          <w:sz w:val="24"/>
          <w:szCs w:val="24"/>
          <w:lang w:val="en-US" w:eastAsia="zh-CN"/>
        </w:rPr>
        <w:t>6.0</w:t>
      </w:r>
      <w:r>
        <w:rPr>
          <w:rFonts w:hint="default" w:ascii="Times New Roman" w:hAnsi="Times New Roman" w:cs="Times New Roman"/>
          <w:color w:val="000000"/>
          <w:sz w:val="24"/>
          <w:szCs w:val="24"/>
        </w:rPr>
        <w:fldChar w:fldCharType="begin"/>
      </w:r>
      <w:r>
        <w:rPr>
          <w:rFonts w:hint="default" w:ascii="Times New Roman" w:hAnsi="Times New Roman" w:cs="Times New Roman"/>
          <w:sz w:val="24"/>
          <w:szCs w:val="24"/>
        </w:rPr>
        <w:instrText xml:space="preserve"> HYPERLINK \l _Toc26465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Reference</w:t>
      </w:r>
      <w:r>
        <w:rPr>
          <w:rFonts w:hint="default" w:ascii="Times New Roman" w:hAnsi="Times New Roman" w:cs="Times New Roman"/>
          <w:sz w:val="24"/>
          <w:szCs w:val="24"/>
        </w:rPr>
        <w:tab/>
      </w:r>
      <w:r>
        <w:rPr>
          <w:rFonts w:hint="eastAsia" w:ascii="Times New Roman" w:hAnsi="Times New Roman" w:cs="Times New Roman"/>
          <w:sz w:val="24"/>
          <w:szCs w:val="24"/>
          <w:lang w:val="en-US" w:eastAsia="zh-CN"/>
        </w:rPr>
        <w:t>1</w:t>
      </w:r>
      <w:r>
        <w:rPr>
          <w:rFonts w:hint="default" w:ascii="Times New Roman" w:hAnsi="Times New Roman" w:cs="Times New Roman"/>
          <w:color w:val="000000"/>
          <w:sz w:val="24"/>
          <w:szCs w:val="24"/>
        </w:rPr>
        <w:fldChar w:fldCharType="end"/>
      </w:r>
      <w:r>
        <w:rPr>
          <w:rFonts w:hint="eastAsia" w:ascii="Times New Roman" w:hAnsi="Times New Roman" w:cs="Times New Roman"/>
          <w:color w:val="000000"/>
          <w:sz w:val="24"/>
          <w:szCs w:val="24"/>
          <w:lang w:val="en-US" w:eastAsia="zh-CN"/>
        </w:rPr>
        <w:t>7</w:t>
      </w:r>
    </w:p>
    <w:p>
      <w:pPr>
        <w:pStyle w:val="22"/>
        <w:tabs>
          <w:tab w:val="right" w:leader="dot" w:pos="8306"/>
        </w:tabs>
        <w:rPr>
          <w:rFonts w:hint="default" w:ascii="Times New Roman" w:hAnsi="Times New Roman" w:cs="Times New Roman"/>
          <w:sz w:val="24"/>
          <w:szCs w:val="24"/>
        </w:rPr>
      </w:pPr>
      <w:r>
        <w:rPr>
          <w:rFonts w:hint="default" w:ascii="Times New Roman" w:hAnsi="Times New Roman" w:cs="Times New Roman"/>
          <w:color w:val="000000"/>
          <w:sz w:val="24"/>
          <w:szCs w:val="24"/>
        </w:rPr>
        <w:fldChar w:fldCharType="begin"/>
      </w:r>
      <w:r>
        <w:rPr>
          <w:rFonts w:hint="default" w:ascii="Times New Roman" w:hAnsi="Times New Roman" w:cs="Times New Roman"/>
          <w:sz w:val="24"/>
          <w:szCs w:val="24"/>
        </w:rPr>
        <w:instrText xml:space="preserve"> HYPERLINK \l _Toc23746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A</w:t>
      </w:r>
      <w:r>
        <w:rPr>
          <w:rFonts w:hint="default" w:ascii="Times New Roman" w:hAnsi="Times New Roman" w:cs="Times New Roman"/>
          <w:sz w:val="24"/>
          <w:szCs w:val="24"/>
        </w:rPr>
        <w:t>ppendix 1</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_Toc23746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20</w:t>
      </w:r>
      <w:r>
        <w:rPr>
          <w:rFonts w:hint="default" w:ascii="Times New Roman" w:hAnsi="Times New Roman" w:cs="Times New Roman"/>
          <w:sz w:val="24"/>
          <w:szCs w:val="24"/>
        </w:rPr>
        <w:fldChar w:fldCharType="end"/>
      </w:r>
      <w:r>
        <w:rPr>
          <w:rFonts w:hint="default" w:ascii="Times New Roman" w:hAnsi="Times New Roman" w:cs="Times New Roman"/>
          <w:color w:val="000000"/>
          <w:sz w:val="24"/>
          <w:szCs w:val="24"/>
        </w:rPr>
        <w:fldChar w:fldCharType="end"/>
      </w:r>
    </w:p>
    <w:p>
      <w:pPr>
        <w:pStyle w:val="22"/>
        <w:tabs>
          <w:tab w:val="right" w:leader="dot" w:pos="8306"/>
        </w:tabs>
        <w:rPr>
          <w:rFonts w:hint="default" w:ascii="Times New Roman" w:hAnsi="Times New Roman" w:cs="Times New Roman"/>
          <w:sz w:val="24"/>
          <w:szCs w:val="24"/>
        </w:rPr>
      </w:pPr>
      <w:r>
        <w:rPr>
          <w:rFonts w:hint="default" w:ascii="Times New Roman" w:hAnsi="Times New Roman" w:cs="Times New Roman"/>
          <w:color w:val="000000"/>
          <w:sz w:val="24"/>
          <w:szCs w:val="24"/>
        </w:rPr>
        <w:fldChar w:fldCharType="begin"/>
      </w:r>
      <w:r>
        <w:rPr>
          <w:rFonts w:hint="default" w:ascii="Times New Roman" w:hAnsi="Times New Roman" w:cs="Times New Roman"/>
          <w:sz w:val="24"/>
          <w:szCs w:val="24"/>
        </w:rPr>
        <w:instrText xml:space="preserve"> HYPERLINK \l _Toc3120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Appendix 2</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_Toc3120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22</w:t>
      </w:r>
      <w:r>
        <w:rPr>
          <w:rFonts w:hint="default" w:ascii="Times New Roman" w:hAnsi="Times New Roman" w:cs="Times New Roman"/>
          <w:sz w:val="24"/>
          <w:szCs w:val="24"/>
        </w:rPr>
        <w:fldChar w:fldCharType="end"/>
      </w:r>
      <w:r>
        <w:rPr>
          <w:rFonts w:hint="default" w:ascii="Times New Roman" w:hAnsi="Times New Roman" w:cs="Times New Roman"/>
          <w:color w:val="000000"/>
          <w:sz w:val="24"/>
          <w:szCs w:val="24"/>
        </w:rPr>
        <w:fldChar w:fldCharType="end"/>
      </w:r>
    </w:p>
    <w:p>
      <w:pPr>
        <w:pStyle w:val="22"/>
        <w:tabs>
          <w:tab w:val="right" w:leader="dot" w:pos="8306"/>
        </w:tabs>
        <w:rPr>
          <w:rFonts w:hint="default" w:ascii="Times New Roman" w:hAnsi="Times New Roman" w:cs="Times New Roman"/>
          <w:sz w:val="24"/>
          <w:szCs w:val="24"/>
        </w:rPr>
      </w:pPr>
      <w:r>
        <w:rPr>
          <w:rFonts w:hint="default" w:ascii="Times New Roman" w:hAnsi="Times New Roman" w:cs="Times New Roman"/>
          <w:color w:val="000000"/>
          <w:sz w:val="24"/>
          <w:szCs w:val="24"/>
        </w:rPr>
        <w:fldChar w:fldCharType="begin"/>
      </w:r>
      <w:r>
        <w:rPr>
          <w:rFonts w:hint="default" w:ascii="Times New Roman" w:hAnsi="Times New Roman" w:cs="Times New Roman"/>
          <w:sz w:val="24"/>
          <w:szCs w:val="24"/>
        </w:rPr>
        <w:instrText xml:space="preserve"> HYPERLINK \l _Toc18654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Appendix 3</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_Toc18654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23</w:t>
      </w:r>
      <w:r>
        <w:rPr>
          <w:rFonts w:hint="default" w:ascii="Times New Roman" w:hAnsi="Times New Roman" w:cs="Times New Roman"/>
          <w:sz w:val="24"/>
          <w:szCs w:val="24"/>
        </w:rPr>
        <w:fldChar w:fldCharType="end"/>
      </w:r>
      <w:r>
        <w:rPr>
          <w:rFonts w:hint="default" w:ascii="Times New Roman" w:hAnsi="Times New Roman" w:cs="Times New Roman"/>
          <w:color w:val="000000"/>
          <w:sz w:val="24"/>
          <w:szCs w:val="24"/>
        </w:rPr>
        <w:fldChar w:fldCharType="end"/>
      </w:r>
    </w:p>
    <w:p>
      <w:pPr>
        <w:rPr>
          <w:rFonts w:cs="Times New Roman"/>
          <w:color w:val="000000"/>
          <w:sz w:val="24"/>
          <w:szCs w:val="24"/>
        </w:rPr>
      </w:pPr>
      <w:r>
        <w:rPr>
          <w:rFonts w:hint="default" w:ascii="Times New Roman" w:hAnsi="Times New Roman" w:cs="Times New Roman"/>
          <w:color w:val="000000"/>
          <w:sz w:val="24"/>
          <w:szCs w:val="24"/>
        </w:rPr>
        <w:fldChar w:fldCharType="end"/>
      </w:r>
    </w:p>
    <w:p>
      <w:pPr>
        <w:rPr>
          <w:rFonts w:cs="Times New Roman"/>
          <w:color w:val="000000"/>
          <w:sz w:val="24"/>
          <w:szCs w:val="24"/>
        </w:rPr>
      </w:pPr>
    </w:p>
    <w:p>
      <w:pPr>
        <w:rPr>
          <w:rFonts w:cs="Times New Roman"/>
          <w:color w:val="000000"/>
          <w:sz w:val="24"/>
          <w:szCs w:val="24"/>
        </w:rPr>
      </w:pPr>
    </w:p>
    <w:p>
      <w:pPr>
        <w:rPr>
          <w:rFonts w:cs="Times New Roman"/>
          <w:color w:val="000000"/>
          <w:sz w:val="24"/>
          <w:szCs w:val="24"/>
        </w:rPr>
      </w:pPr>
    </w:p>
    <w:p>
      <w:pPr>
        <w:rPr>
          <w:rFonts w:cs="Times New Roman"/>
          <w:color w:val="000000"/>
          <w:sz w:val="24"/>
          <w:szCs w:val="24"/>
        </w:rPr>
      </w:pPr>
    </w:p>
    <w:p>
      <w:pPr>
        <w:rPr>
          <w:rFonts w:cs="Times New Roman"/>
          <w:color w:val="000000"/>
          <w:sz w:val="24"/>
          <w:szCs w:val="24"/>
        </w:rPr>
      </w:pPr>
    </w:p>
    <w:p>
      <w:pPr>
        <w:rPr>
          <w:rFonts w:cs="Times New Roman"/>
          <w:color w:val="000000"/>
          <w:sz w:val="24"/>
          <w:szCs w:val="24"/>
        </w:rPr>
      </w:pPr>
    </w:p>
    <w:p>
      <w:pPr>
        <w:rPr>
          <w:rFonts w:cs="Times New Roman"/>
          <w:color w:val="000000"/>
          <w:sz w:val="24"/>
          <w:szCs w:val="24"/>
        </w:rPr>
      </w:pPr>
    </w:p>
    <w:p>
      <w:pPr>
        <w:rPr>
          <w:rFonts w:cs="Times New Roman"/>
          <w:color w:val="000000"/>
          <w:sz w:val="24"/>
          <w:szCs w:val="24"/>
        </w:rPr>
      </w:pPr>
    </w:p>
    <w:p>
      <w:pPr>
        <w:pStyle w:val="2"/>
        <w:spacing w:before="0" w:after="0"/>
        <w:rPr>
          <w:rFonts w:cs="Times New Roman"/>
          <w:color w:val="000000"/>
          <w:sz w:val="24"/>
          <w:szCs w:val="24"/>
        </w:rPr>
        <w:sectPr>
          <w:footerReference r:id="rId5" w:type="default"/>
          <w:pgSz w:w="11906" w:h="16838"/>
          <w:pgMar w:top="1440" w:right="1800" w:bottom="1440" w:left="1800" w:header="851" w:footer="992" w:gutter="0"/>
          <w:cols w:space="720" w:num="1"/>
          <w:docGrid w:type="lines" w:linePitch="312" w:charSpace="0"/>
        </w:sectPr>
      </w:pPr>
      <w:bookmarkStart w:id="1" w:name="_Toc16071"/>
      <w:bookmarkStart w:id="2" w:name="_Toc6388"/>
    </w:p>
    <w:p>
      <w:pPr>
        <w:pStyle w:val="2"/>
        <w:spacing w:before="0" w:after="0"/>
        <w:outlineLvl w:val="0"/>
        <w:rPr>
          <w:rFonts w:cs="Times New Roman"/>
          <w:color w:val="000000"/>
          <w:sz w:val="24"/>
          <w:szCs w:val="24"/>
        </w:rPr>
      </w:pPr>
      <w:r>
        <w:rPr>
          <w:rFonts w:cs="Times New Roman"/>
          <w:color w:val="000000"/>
          <w:sz w:val="24"/>
          <w:szCs w:val="24"/>
        </w:rPr>
        <w:t>1.0 Introduction</w:t>
      </w:r>
      <w:bookmarkEnd w:id="0"/>
      <w:bookmarkEnd w:id="1"/>
      <w:bookmarkEnd w:id="2"/>
    </w:p>
    <w:p>
      <w:pPr>
        <w:rPr>
          <w:rFonts w:cs="Times New Roman"/>
          <w:color w:val="000000"/>
          <w:szCs w:val="24"/>
        </w:rPr>
      </w:pPr>
      <w:r>
        <w:rPr>
          <w:rFonts w:cs="Times New Roman"/>
          <w:color w:val="000000"/>
          <w:szCs w:val="24"/>
        </w:rPr>
        <w:t>Sainsbury’s is one of four largest chain supermarkets in the United Kingdom. While it dominated the supermarket sector in 1970s and 1980s, it began to decline after its leadership being taken over by Tesco in 1995 (Marketing Weeks, 1995). Market research is important when there is sign of market decline. This consultancy project aims to examine the causes for Sainsbury’s continuously declining market share market research, including examination of the market environment, industry environment, and customer opinions. This report will first introduce the research methodology of this report. Next it will present the results and discussion of organizational environment analysis, followed by results and discussions of customer reviews analysis.</w:t>
      </w:r>
      <w:r>
        <w:rPr>
          <w:rFonts w:hint="eastAsia" w:cs="Times New Roman"/>
          <w:color w:val="000000"/>
          <w:szCs w:val="24"/>
          <w:lang w:val="en-US" w:eastAsia="zh-CN"/>
        </w:rPr>
        <w:t xml:space="preserve"> The findings of this report are summarized in the conclusion part and then the recommendations will be given.</w:t>
      </w:r>
      <w:r>
        <w:rPr>
          <w:rFonts w:cs="Times New Roman"/>
          <w:color w:val="000000"/>
          <w:szCs w:val="24"/>
        </w:rPr>
        <w:t xml:space="preserve"> </w:t>
      </w:r>
    </w:p>
    <w:p>
      <w:pPr>
        <w:pStyle w:val="2"/>
        <w:spacing w:before="0" w:after="0"/>
        <w:outlineLvl w:val="0"/>
        <w:rPr>
          <w:rFonts w:cs="Times New Roman"/>
          <w:color w:val="000000"/>
          <w:sz w:val="24"/>
          <w:szCs w:val="24"/>
        </w:rPr>
      </w:pPr>
      <w:bookmarkStart w:id="3" w:name="_Toc39152443"/>
      <w:bookmarkStart w:id="4" w:name="_Toc9447"/>
      <w:bookmarkStart w:id="5" w:name="_Toc18435"/>
      <w:r>
        <w:rPr>
          <w:rFonts w:cs="Times New Roman"/>
          <w:color w:val="000000"/>
          <w:sz w:val="24"/>
          <w:szCs w:val="24"/>
        </w:rPr>
        <w:t>2.0 Research Methodology</w:t>
      </w:r>
      <w:bookmarkEnd w:id="3"/>
      <w:bookmarkEnd w:id="4"/>
      <w:bookmarkEnd w:id="5"/>
      <w:r>
        <w:rPr>
          <w:rFonts w:cs="Times New Roman"/>
          <w:color w:val="000000"/>
          <w:sz w:val="24"/>
          <w:szCs w:val="24"/>
        </w:rPr>
        <w:t xml:space="preserve"> </w:t>
      </w:r>
    </w:p>
    <w:p>
      <w:pPr>
        <w:pStyle w:val="3"/>
        <w:spacing w:before="0" w:after="0"/>
        <w:outlineLvl w:val="1"/>
        <w:rPr>
          <w:rFonts w:ascii="Times New Roman" w:hAnsi="Times New Roman" w:cs="Times New Roman"/>
          <w:bCs w:val="0"/>
          <w:color w:val="000000"/>
          <w:sz w:val="24"/>
          <w:szCs w:val="24"/>
        </w:rPr>
      </w:pPr>
      <w:bookmarkStart w:id="6" w:name="_Toc39152444"/>
      <w:bookmarkStart w:id="7" w:name="_Toc17074"/>
      <w:bookmarkStart w:id="8" w:name="_Toc20960"/>
      <w:r>
        <w:rPr>
          <w:rFonts w:ascii="Times New Roman" w:hAnsi="Times New Roman" w:cs="Times New Roman"/>
          <w:bCs w:val="0"/>
          <w:color w:val="000000"/>
          <w:sz w:val="24"/>
          <w:szCs w:val="24"/>
        </w:rPr>
        <w:t>2.1 Secondary Research</w:t>
      </w:r>
      <w:bookmarkEnd w:id="6"/>
      <w:bookmarkEnd w:id="7"/>
      <w:bookmarkEnd w:id="8"/>
    </w:p>
    <w:p>
      <w:pPr>
        <w:rPr>
          <w:rFonts w:cs="Times New Roman"/>
          <w:color w:val="000000"/>
          <w:szCs w:val="24"/>
        </w:rPr>
      </w:pPr>
      <w:r>
        <w:rPr>
          <w:rFonts w:cs="Times New Roman"/>
          <w:color w:val="000000"/>
          <w:szCs w:val="24"/>
        </w:rPr>
        <w:t xml:space="preserve">Basing the sources of the data, researches can be divided into primary and secondary researches (Walliam, 2011). Secondary research involves the usage of existing data that have been collected in other researches and for other purposes. Secondary data can increase the overall effectiveness of the research, requiring less resources such as time, money and personnel. Secondary research is suitable when accuracy and intensity of a primary study is not required (Walliam, 2011). It is especially useful for exploratory market research. This report aims to provide a preliminary view of the market to the management at Sainsbury’s, and thus secondary research is suitable. </w:t>
      </w:r>
    </w:p>
    <w:p>
      <w:pPr>
        <w:pStyle w:val="3"/>
        <w:spacing w:before="0" w:after="0"/>
        <w:outlineLvl w:val="1"/>
        <w:rPr>
          <w:rFonts w:ascii="Times New Roman" w:hAnsi="Times New Roman" w:cs="Times New Roman"/>
          <w:bCs w:val="0"/>
          <w:color w:val="000000"/>
          <w:sz w:val="24"/>
          <w:szCs w:val="24"/>
        </w:rPr>
      </w:pPr>
      <w:bookmarkStart w:id="9" w:name="_Toc39152445"/>
      <w:bookmarkStart w:id="10" w:name="_Toc19134"/>
      <w:bookmarkStart w:id="11" w:name="_Toc19293"/>
      <w:r>
        <w:rPr>
          <w:rFonts w:ascii="Times New Roman" w:hAnsi="Times New Roman" w:cs="Times New Roman"/>
          <w:bCs w:val="0"/>
          <w:color w:val="000000"/>
          <w:sz w:val="24"/>
          <w:szCs w:val="24"/>
        </w:rPr>
        <w:t>2.2 Data Collection</w:t>
      </w:r>
      <w:bookmarkEnd w:id="9"/>
      <w:bookmarkEnd w:id="10"/>
      <w:bookmarkEnd w:id="11"/>
    </w:p>
    <w:p>
      <w:pPr>
        <w:rPr>
          <w:rFonts w:cs="Times New Roman"/>
          <w:color w:val="000000"/>
          <w:szCs w:val="24"/>
        </w:rPr>
      </w:pPr>
      <w:r>
        <w:rPr>
          <w:rFonts w:cs="Times New Roman"/>
          <w:color w:val="000000"/>
          <w:szCs w:val="24"/>
        </w:rPr>
        <w:t>Data collection of this consultancy projects is divided into two parts. The first part is situational analysis, and the second part is analysis of customer reviews. For situational analysis, the author entered the terms ‘</w:t>
      </w:r>
      <w:r>
        <w:rPr>
          <w:rFonts w:cs="Times New Roman"/>
          <w:i/>
          <w:color w:val="000000"/>
          <w:szCs w:val="24"/>
        </w:rPr>
        <w:t>Supermarket Trends UK</w:t>
      </w:r>
      <w:r>
        <w:rPr>
          <w:rFonts w:cs="Times New Roman"/>
          <w:color w:val="000000"/>
          <w:szCs w:val="24"/>
        </w:rPr>
        <w:t>’, ‘</w:t>
      </w:r>
      <w:r>
        <w:rPr>
          <w:rFonts w:cs="Times New Roman"/>
          <w:i/>
          <w:color w:val="000000"/>
          <w:szCs w:val="24"/>
        </w:rPr>
        <w:t>Grocery Shopping Trends UK</w:t>
      </w:r>
      <w:r>
        <w:rPr>
          <w:rFonts w:cs="Times New Roman"/>
          <w:color w:val="000000"/>
          <w:szCs w:val="24"/>
        </w:rPr>
        <w:t>’ , ‘</w:t>
      </w:r>
      <w:r>
        <w:rPr>
          <w:rFonts w:cs="Times New Roman"/>
          <w:i/>
          <w:color w:val="000000"/>
          <w:szCs w:val="24"/>
        </w:rPr>
        <w:t>Supermarket UK outlook</w:t>
      </w:r>
      <w:r>
        <w:rPr>
          <w:rFonts w:cs="Times New Roman"/>
          <w:color w:val="000000"/>
          <w:szCs w:val="24"/>
        </w:rPr>
        <w:t xml:space="preserve">’ in the search engine of Google to gain understanding of the macro-economic environment and the industry environment of Sainsbury’s. In order to understand the internal competences of Sainsbury’s, the author searched Sainsbury’s official website, annual reports, and other reports from reliable sources. A relatively large number of results turned out for the search. The author then screened the results basing on the timeliness, relevancy and reliability of the sources. In order to gain customer insights, the author collected customer reviews on Trustpilot. Trustpilot is one of the most well-known company that focuses on customer reviews (BBC, 2019). To ensure the timeliness of the data, only reviews from the month prior the data collection date was included in the study. A total 259 reviews were collected from the website which were published between March 21 to April 21. Two reviews were irrelevant in terms of content, and thus were discarded from the study. A remaining of 257 reviews were examined in this study. </w:t>
      </w:r>
    </w:p>
    <w:p>
      <w:pPr>
        <w:pStyle w:val="3"/>
        <w:spacing w:before="0" w:after="0"/>
        <w:rPr>
          <w:rFonts w:ascii="Times New Roman" w:hAnsi="Times New Roman" w:cs="Times New Roman"/>
          <w:bCs w:val="0"/>
          <w:color w:val="000000"/>
          <w:sz w:val="24"/>
          <w:szCs w:val="24"/>
        </w:rPr>
      </w:pPr>
      <w:bookmarkStart w:id="12" w:name="_Toc39152446"/>
      <w:bookmarkStart w:id="13" w:name="_Toc22660"/>
      <w:bookmarkStart w:id="14" w:name="_Toc17690"/>
      <w:r>
        <w:rPr>
          <w:rFonts w:ascii="Times New Roman" w:hAnsi="Times New Roman" w:cs="Times New Roman"/>
          <w:bCs w:val="0"/>
          <w:color w:val="000000"/>
          <w:sz w:val="24"/>
          <w:szCs w:val="24"/>
        </w:rPr>
        <w:t>2.3 Data Analysis</w:t>
      </w:r>
      <w:bookmarkEnd w:id="12"/>
      <w:bookmarkEnd w:id="13"/>
      <w:bookmarkEnd w:id="14"/>
    </w:p>
    <w:p>
      <w:pPr>
        <w:rPr>
          <w:rFonts w:cs="Times New Roman"/>
          <w:color w:val="000000"/>
          <w:szCs w:val="24"/>
        </w:rPr>
      </w:pPr>
      <w:r>
        <w:rPr>
          <w:rFonts w:cs="Times New Roman"/>
          <w:bCs/>
          <w:color w:val="000000"/>
          <w:szCs w:val="24"/>
        </w:rPr>
        <w:t xml:space="preserve">Thematic analysis approach was used in this research for analyzing the data. Thematic analysis is a widely applied approach in analyzing qualitative data </w:t>
      </w:r>
      <w:bookmarkStart w:id="15" w:name="_Hlk39133509"/>
      <w:r>
        <w:rPr>
          <w:rFonts w:cs="Times New Roman"/>
          <w:bCs/>
          <w:color w:val="000000"/>
          <w:szCs w:val="24"/>
        </w:rPr>
        <w:t>(</w:t>
      </w:r>
      <w:r>
        <w:rPr>
          <w:rFonts w:cs="Times New Roman"/>
          <w:color w:val="000000"/>
          <w:szCs w:val="24"/>
        </w:rPr>
        <w:t>Guest, MacQueen, and Namely, 2012).</w:t>
      </w:r>
      <w:bookmarkEnd w:id="15"/>
      <w:r>
        <w:rPr>
          <w:rFonts w:cs="Times New Roman"/>
          <w:color w:val="000000"/>
          <w:szCs w:val="24"/>
        </w:rPr>
        <w:t xml:space="preserve"> Thematic analysis is suitable for finding out the views, opinions and experience of people (Walliam, 2011). This report aims to examine the causes of Sainsbury’s market decline, and customer opinion is critical to understanding the causes. Consequently, thematic analysis is suitable in this research. The first step in thematic analysis is familiarization with the data </w:t>
      </w:r>
      <w:r>
        <w:rPr>
          <w:rFonts w:cs="Times New Roman"/>
          <w:bCs/>
          <w:color w:val="000000"/>
          <w:szCs w:val="24"/>
        </w:rPr>
        <w:t>(</w:t>
      </w:r>
      <w:r>
        <w:rPr>
          <w:rFonts w:cs="Times New Roman"/>
          <w:color w:val="000000"/>
          <w:szCs w:val="24"/>
        </w:rPr>
        <w:t>Guest, MacQueen, and Namely, 2012). The author read and reread the data in order to get acquainted with the data. After the first step, the author then started the coding process by identifying the meaning units in the data. For instance, customers mentioned about ‘</w:t>
      </w:r>
      <w:r>
        <w:rPr>
          <w:rFonts w:cs="Times New Roman"/>
          <w:i/>
          <w:iCs/>
          <w:color w:val="000000"/>
          <w:szCs w:val="24"/>
        </w:rPr>
        <w:t>rudeness of employees</w:t>
      </w:r>
      <w:r>
        <w:rPr>
          <w:rFonts w:cs="Times New Roman"/>
          <w:color w:val="000000"/>
          <w:szCs w:val="24"/>
        </w:rPr>
        <w:t>’, ‘</w:t>
      </w:r>
      <w:r>
        <w:rPr>
          <w:rFonts w:cs="Times New Roman"/>
          <w:i/>
          <w:iCs/>
          <w:color w:val="000000"/>
          <w:szCs w:val="24"/>
        </w:rPr>
        <w:t>unrespectful to the elderly</w:t>
      </w:r>
      <w:r>
        <w:rPr>
          <w:rFonts w:cs="Times New Roman"/>
          <w:color w:val="000000"/>
          <w:szCs w:val="24"/>
        </w:rPr>
        <w:t>’ and ‘</w:t>
      </w:r>
      <w:r>
        <w:rPr>
          <w:rFonts w:cs="Times New Roman"/>
          <w:i/>
          <w:iCs/>
          <w:color w:val="000000"/>
          <w:szCs w:val="24"/>
        </w:rPr>
        <w:t>unresponsive to customer needs</w:t>
      </w:r>
      <w:r>
        <w:rPr>
          <w:rFonts w:cs="Times New Roman"/>
          <w:color w:val="000000"/>
          <w:szCs w:val="24"/>
        </w:rPr>
        <w:t xml:space="preserve">’ were all coded as bad employee attitudes. These meaning units then were divided into different categories according to the codes, and the author identified themes from the data, which then were linked with the research aim and objectives of this research. </w:t>
      </w:r>
    </w:p>
    <w:p>
      <w:pPr>
        <w:pStyle w:val="2"/>
        <w:spacing w:before="0" w:after="0"/>
        <w:rPr>
          <w:rFonts w:cs="Times New Roman"/>
          <w:color w:val="000000"/>
          <w:sz w:val="24"/>
          <w:szCs w:val="24"/>
        </w:rPr>
      </w:pPr>
      <w:bookmarkStart w:id="16" w:name="_Toc39152447"/>
      <w:bookmarkStart w:id="17" w:name="_Toc7909"/>
      <w:bookmarkStart w:id="18" w:name="_Toc25335"/>
      <w:r>
        <w:rPr>
          <w:rFonts w:cs="Times New Roman"/>
          <w:color w:val="000000"/>
          <w:sz w:val="24"/>
          <w:szCs w:val="24"/>
        </w:rPr>
        <w:t>3.0 Findings and Discussions</w:t>
      </w:r>
      <w:bookmarkEnd w:id="16"/>
      <w:bookmarkEnd w:id="17"/>
      <w:bookmarkEnd w:id="18"/>
    </w:p>
    <w:p>
      <w:pPr>
        <w:pStyle w:val="3"/>
        <w:spacing w:before="0" w:after="0"/>
        <w:rPr>
          <w:rFonts w:ascii="Times New Roman" w:hAnsi="Times New Roman" w:cs="Times New Roman"/>
          <w:color w:val="000000"/>
          <w:sz w:val="24"/>
          <w:szCs w:val="24"/>
        </w:rPr>
      </w:pPr>
      <w:bookmarkStart w:id="19" w:name="_Toc39152448"/>
      <w:bookmarkStart w:id="20" w:name="_Toc6233"/>
      <w:bookmarkStart w:id="21" w:name="_Toc28434"/>
      <w:r>
        <w:rPr>
          <w:rFonts w:ascii="Times New Roman" w:hAnsi="Times New Roman" w:cs="Times New Roman"/>
          <w:color w:val="000000"/>
          <w:sz w:val="24"/>
          <w:szCs w:val="24"/>
        </w:rPr>
        <w:t>3.1 Situational Analysis</w:t>
      </w:r>
      <w:bookmarkEnd w:id="19"/>
      <w:bookmarkEnd w:id="20"/>
      <w:bookmarkEnd w:id="21"/>
    </w:p>
    <w:p>
      <w:pPr>
        <w:pStyle w:val="4"/>
        <w:spacing w:before="0" w:after="0"/>
        <w:rPr>
          <w:rFonts w:cs="Times New Roman"/>
          <w:color w:val="000000"/>
          <w:sz w:val="24"/>
          <w:szCs w:val="24"/>
        </w:rPr>
      </w:pPr>
      <w:bookmarkStart w:id="22" w:name="_Toc39152450"/>
      <w:bookmarkStart w:id="23" w:name="_Toc17630"/>
      <w:r>
        <w:rPr>
          <w:rFonts w:cs="Times New Roman"/>
          <w:color w:val="000000"/>
          <w:sz w:val="24"/>
          <w:szCs w:val="24"/>
        </w:rPr>
        <w:t>3.1.</w:t>
      </w:r>
      <w:r>
        <w:rPr>
          <w:rFonts w:hint="eastAsia" w:cs="Times New Roman"/>
          <w:color w:val="000000"/>
          <w:sz w:val="24"/>
          <w:szCs w:val="24"/>
          <w:lang w:val="en-US" w:eastAsia="zh-CN"/>
        </w:rPr>
        <w:t>1</w:t>
      </w:r>
      <w:r>
        <w:rPr>
          <w:rFonts w:cs="Times New Roman"/>
          <w:color w:val="000000"/>
          <w:sz w:val="24"/>
          <w:szCs w:val="24"/>
        </w:rPr>
        <w:t xml:space="preserve"> Implication of Porter’s Five Forces Analysis of Sainsbury’s</w:t>
      </w:r>
      <w:bookmarkEnd w:id="22"/>
      <w:bookmarkEnd w:id="23"/>
    </w:p>
    <w:p>
      <w:pPr>
        <w:rPr>
          <w:rFonts w:hint="eastAsia" w:cs="Times New Roman"/>
          <w:bCs/>
          <w:color w:val="000000"/>
          <w:szCs w:val="24"/>
          <w:lang w:val="en-US" w:eastAsia="zh-CN"/>
        </w:rPr>
      </w:pPr>
      <w:r>
        <w:rPr>
          <w:rFonts w:cs="Times New Roman"/>
          <w:bCs/>
          <w:color w:val="000000"/>
          <w:szCs w:val="24"/>
        </w:rPr>
        <w:t>To determine the industry competitiveness, Porter’s Five Forces analysis is used in this study</w:t>
      </w:r>
      <w:r>
        <w:rPr>
          <w:rFonts w:hint="eastAsia" w:cs="Times New Roman"/>
          <w:bCs/>
          <w:color w:val="000000"/>
          <w:szCs w:val="24"/>
          <w:lang w:val="en-US" w:eastAsia="zh-CN"/>
        </w:rPr>
        <w:t>. Porter</w:t>
      </w:r>
      <w:r>
        <w:rPr>
          <w:rFonts w:hint="default" w:cs="Times New Roman"/>
          <w:bCs/>
          <w:color w:val="000000"/>
          <w:szCs w:val="24"/>
          <w:lang w:val="en-US" w:eastAsia="zh-CN"/>
        </w:rPr>
        <w:t>’</w:t>
      </w:r>
      <w:r>
        <w:rPr>
          <w:rFonts w:hint="eastAsia" w:cs="Times New Roman"/>
          <w:bCs/>
          <w:color w:val="000000"/>
          <w:szCs w:val="24"/>
          <w:lang w:val="en-US" w:eastAsia="zh-CN"/>
        </w:rPr>
        <w:t>s five forces model as an analytical tool can help companies understand the balance of power in a market, as well as the strengths and weaknesses of that industry (</w:t>
      </w:r>
      <w:r>
        <w:rPr>
          <w:rFonts w:cs="Times New Roman"/>
          <w:color w:val="000000"/>
          <w:szCs w:val="24"/>
          <w:lang w:val="en-US" w:eastAsia="zh-CN"/>
        </w:rPr>
        <w:t>Hubbard</w:t>
      </w:r>
      <w:r>
        <w:rPr>
          <w:rFonts w:hint="eastAsia" w:cs="Times New Roman"/>
          <w:color w:val="000000"/>
          <w:szCs w:val="24"/>
          <w:lang w:val="en-US" w:eastAsia="zh-CN"/>
        </w:rPr>
        <w:t xml:space="preserve"> and </w:t>
      </w:r>
      <w:r>
        <w:rPr>
          <w:rFonts w:cs="Times New Roman"/>
          <w:color w:val="000000"/>
          <w:szCs w:val="24"/>
          <w:lang w:val="en-US" w:eastAsia="zh-CN"/>
        </w:rPr>
        <w:t>Beamish</w:t>
      </w:r>
      <w:r>
        <w:rPr>
          <w:rFonts w:hint="eastAsia" w:cs="Times New Roman"/>
          <w:color w:val="000000"/>
          <w:szCs w:val="24"/>
          <w:lang w:val="en-US" w:eastAsia="zh-CN"/>
        </w:rPr>
        <w:t>, 2011)</w:t>
      </w:r>
      <w:r>
        <w:rPr>
          <w:rFonts w:hint="eastAsia" w:cs="Times New Roman"/>
          <w:bCs/>
          <w:color w:val="000000"/>
          <w:szCs w:val="24"/>
          <w:lang w:val="en-US" w:eastAsia="zh-CN"/>
        </w:rPr>
        <w:t>. Nonetheless, this model has several limitations. According to Belton (2017), this model focuses on the competitive environment but neglects whether the company is suited to compete in the market. Meanwhile, while the model is easy to understand, it also lacked some precision in the concepts. The results of Porter</w:t>
      </w:r>
      <w:r>
        <w:rPr>
          <w:rFonts w:hint="default" w:cs="Times New Roman"/>
          <w:bCs/>
          <w:color w:val="000000"/>
          <w:szCs w:val="24"/>
          <w:lang w:val="en-US" w:eastAsia="zh-CN"/>
        </w:rPr>
        <w:t>’</w:t>
      </w:r>
      <w:r>
        <w:rPr>
          <w:rFonts w:hint="eastAsia" w:cs="Times New Roman"/>
          <w:bCs/>
          <w:color w:val="000000"/>
          <w:szCs w:val="24"/>
          <w:lang w:val="en-US" w:eastAsia="zh-CN"/>
        </w:rPr>
        <w:t>s Five Forces is shown in Table 1 at below</w:t>
      </w:r>
    </w:p>
    <w:p>
      <w:pPr>
        <w:ind w:firstLine="1201" w:firstLineChars="500"/>
        <w:rPr>
          <w:rFonts w:hint="default" w:eastAsia="等线" w:cs="Times New Roman"/>
          <w:b/>
          <w:bCs/>
          <w:color w:val="000000"/>
          <w:szCs w:val="24"/>
          <w:lang w:val="en-US" w:eastAsia="zh-CN"/>
        </w:rPr>
      </w:pPr>
      <w:r>
        <w:rPr>
          <w:rFonts w:hint="eastAsia" w:cs="Times New Roman"/>
          <w:b/>
          <w:bCs/>
          <w:color w:val="000000"/>
          <w:szCs w:val="24"/>
          <w:lang w:val="en-US" w:eastAsia="zh-CN"/>
        </w:rPr>
        <w:t>Table 1 Results of P</w:t>
      </w:r>
      <w:r>
        <w:rPr>
          <w:rFonts w:cs="Times New Roman"/>
          <w:b/>
          <w:bCs/>
          <w:color w:val="000000"/>
          <w:szCs w:val="24"/>
        </w:rPr>
        <w:t>orter’s Five Forces Analysis</w:t>
      </w:r>
      <w:r>
        <w:rPr>
          <w:rFonts w:hint="eastAsia" w:cs="Times New Roman"/>
          <w:b/>
          <w:bCs/>
          <w:color w:val="000000"/>
          <w:szCs w:val="24"/>
          <w:lang w:val="en-US" w:eastAsia="zh-CN"/>
        </w:rPr>
        <w:t xml:space="preserve"> of Sainsbury</w:t>
      </w:r>
      <w:r>
        <w:rPr>
          <w:rFonts w:hint="default" w:cs="Times New Roman"/>
          <w:b/>
          <w:bCs/>
          <w:color w:val="000000"/>
          <w:szCs w:val="24"/>
          <w:lang w:val="en-US" w:eastAsia="zh-CN"/>
        </w:rPr>
        <w:t>’</w:t>
      </w:r>
      <w:r>
        <w:rPr>
          <w:rFonts w:hint="eastAsia" w:cs="Times New Roman"/>
          <w:b/>
          <w:bCs/>
          <w:color w:val="000000"/>
          <w:szCs w:val="24"/>
          <w:lang w:val="en-US" w:eastAsia="zh-CN"/>
        </w:rPr>
        <w:t xml:space="preserve">s </w:t>
      </w:r>
    </w:p>
    <w:tbl>
      <w:tblPr>
        <w:tblStyle w:val="1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622"/>
        <w:gridCol w:w="1913"/>
        <w:gridCol w:w="398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622" w:type="dxa"/>
            <w:noWrap w:val="0"/>
            <w:vAlign w:val="top"/>
          </w:tcPr>
          <w:p>
            <w:pPr>
              <w:widowControl w:val="0"/>
              <w:spacing w:line="240" w:lineRule="auto"/>
              <w:rPr>
                <w:rFonts w:cs="Times New Roman"/>
                <w:b/>
                <w:bCs/>
                <w:color w:val="000000"/>
                <w:szCs w:val="24"/>
              </w:rPr>
            </w:pPr>
            <w:r>
              <w:rPr>
                <w:rFonts w:cs="Times New Roman"/>
                <w:b/>
                <w:bCs/>
                <w:color w:val="000000"/>
                <w:szCs w:val="24"/>
              </w:rPr>
              <w:t>Type of Threat</w:t>
            </w:r>
          </w:p>
        </w:tc>
        <w:tc>
          <w:tcPr>
            <w:tcW w:w="1913" w:type="dxa"/>
            <w:noWrap w:val="0"/>
            <w:vAlign w:val="top"/>
          </w:tcPr>
          <w:p>
            <w:pPr>
              <w:widowControl w:val="0"/>
              <w:spacing w:line="240" w:lineRule="auto"/>
              <w:rPr>
                <w:rFonts w:cs="Times New Roman"/>
                <w:b/>
                <w:bCs/>
                <w:color w:val="000000"/>
                <w:szCs w:val="24"/>
              </w:rPr>
            </w:pPr>
            <w:r>
              <w:rPr>
                <w:rFonts w:cs="Times New Roman"/>
                <w:b/>
                <w:bCs/>
                <w:color w:val="000000"/>
                <w:szCs w:val="24"/>
              </w:rPr>
              <w:t>Level of Threat</w:t>
            </w:r>
          </w:p>
        </w:tc>
        <w:tc>
          <w:tcPr>
            <w:tcW w:w="3987" w:type="dxa"/>
            <w:noWrap w:val="0"/>
            <w:vAlign w:val="top"/>
          </w:tcPr>
          <w:p>
            <w:pPr>
              <w:widowControl w:val="0"/>
              <w:spacing w:line="240" w:lineRule="auto"/>
              <w:rPr>
                <w:rFonts w:cs="Times New Roman"/>
                <w:b/>
                <w:bCs/>
                <w:color w:val="000000"/>
                <w:szCs w:val="24"/>
              </w:rPr>
            </w:pPr>
            <w:r>
              <w:rPr>
                <w:rFonts w:cs="Times New Roman"/>
                <w:b/>
                <w:bCs/>
                <w:color w:val="000000"/>
                <w:szCs w:val="24"/>
              </w:rPr>
              <w:t>Explanation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622" w:type="dxa"/>
            <w:noWrap w:val="0"/>
            <w:vAlign w:val="top"/>
          </w:tcPr>
          <w:p>
            <w:pPr>
              <w:widowControl w:val="0"/>
              <w:spacing w:line="240" w:lineRule="auto"/>
              <w:rPr>
                <w:rFonts w:cs="Times New Roman"/>
                <w:bCs/>
                <w:color w:val="000000"/>
                <w:szCs w:val="24"/>
              </w:rPr>
            </w:pPr>
            <w:r>
              <w:rPr>
                <w:rFonts w:cs="Times New Roman"/>
                <w:bCs/>
                <w:color w:val="000000"/>
                <w:szCs w:val="24"/>
              </w:rPr>
              <w:t>Threat of New Entrants</w:t>
            </w:r>
          </w:p>
        </w:tc>
        <w:tc>
          <w:tcPr>
            <w:tcW w:w="1913" w:type="dxa"/>
            <w:noWrap w:val="0"/>
            <w:vAlign w:val="top"/>
          </w:tcPr>
          <w:p>
            <w:pPr>
              <w:widowControl w:val="0"/>
              <w:spacing w:line="240" w:lineRule="auto"/>
              <w:rPr>
                <w:rFonts w:cs="Times New Roman"/>
                <w:bCs/>
                <w:color w:val="000000"/>
                <w:szCs w:val="24"/>
              </w:rPr>
            </w:pPr>
            <w:r>
              <w:rPr>
                <w:rFonts w:cs="Times New Roman"/>
                <w:bCs/>
                <w:color w:val="000000"/>
                <w:szCs w:val="24"/>
              </w:rPr>
              <w:t>Low to Medium</w:t>
            </w:r>
          </w:p>
        </w:tc>
        <w:tc>
          <w:tcPr>
            <w:tcW w:w="3987" w:type="dxa"/>
            <w:noWrap w:val="0"/>
            <w:vAlign w:val="top"/>
          </w:tcPr>
          <w:p>
            <w:pPr>
              <w:widowControl w:val="0"/>
              <w:spacing w:line="240" w:lineRule="auto"/>
              <w:rPr>
                <w:rFonts w:hint="default" w:eastAsia="等线" w:cs="Times New Roman"/>
                <w:bCs/>
                <w:color w:val="000000"/>
                <w:szCs w:val="24"/>
                <w:lang w:val="en-US" w:eastAsia="zh-CN"/>
              </w:rPr>
            </w:pPr>
            <w:r>
              <w:rPr>
                <w:rFonts w:cs="Times New Roman"/>
                <w:bCs/>
                <w:color w:val="000000"/>
                <w:szCs w:val="24"/>
              </w:rPr>
              <w:t>Large supermarket chains require economies of scale; however, small grocery stores have low barrier to enter the industry</w:t>
            </w:r>
            <w:r>
              <w:rPr>
                <w:rFonts w:hint="eastAsia" w:cs="Times New Roman"/>
                <w:bCs/>
                <w:color w:val="000000"/>
                <w:szCs w:val="24"/>
                <w:lang w:val="en-US" w:eastAsia="zh-CN"/>
              </w:rPr>
              <w:t xml:space="preserve"> (McKinsey, 2015). The highly competitive industry also lower the threats of new entrants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622" w:type="dxa"/>
            <w:noWrap w:val="0"/>
            <w:vAlign w:val="top"/>
          </w:tcPr>
          <w:p>
            <w:pPr>
              <w:widowControl w:val="0"/>
              <w:spacing w:line="240" w:lineRule="auto"/>
              <w:rPr>
                <w:rFonts w:cs="Times New Roman"/>
                <w:bCs/>
                <w:color w:val="000000"/>
                <w:szCs w:val="24"/>
              </w:rPr>
            </w:pPr>
            <w:r>
              <w:rPr>
                <w:rFonts w:cs="Times New Roman"/>
                <w:bCs/>
                <w:color w:val="000000"/>
                <w:szCs w:val="24"/>
              </w:rPr>
              <w:t>Threat of Substitutes</w:t>
            </w:r>
          </w:p>
        </w:tc>
        <w:tc>
          <w:tcPr>
            <w:tcW w:w="1913" w:type="dxa"/>
            <w:noWrap w:val="0"/>
            <w:vAlign w:val="top"/>
          </w:tcPr>
          <w:p>
            <w:pPr>
              <w:widowControl w:val="0"/>
              <w:spacing w:line="240" w:lineRule="auto"/>
              <w:rPr>
                <w:rFonts w:cs="Times New Roman"/>
                <w:bCs/>
                <w:color w:val="000000"/>
                <w:szCs w:val="24"/>
              </w:rPr>
            </w:pPr>
            <w:r>
              <w:rPr>
                <w:rFonts w:cs="Times New Roman"/>
                <w:bCs/>
                <w:color w:val="000000"/>
                <w:szCs w:val="24"/>
              </w:rPr>
              <w:t>High</w:t>
            </w:r>
          </w:p>
        </w:tc>
        <w:tc>
          <w:tcPr>
            <w:tcW w:w="3987" w:type="dxa"/>
            <w:noWrap w:val="0"/>
            <w:vAlign w:val="top"/>
          </w:tcPr>
          <w:p>
            <w:pPr>
              <w:widowControl w:val="0"/>
              <w:spacing w:line="240" w:lineRule="auto"/>
              <w:rPr>
                <w:rFonts w:hint="eastAsia" w:eastAsia="等线" w:cs="Times New Roman"/>
                <w:bCs/>
                <w:color w:val="000000"/>
                <w:szCs w:val="24"/>
                <w:lang w:val="en-US" w:eastAsia="zh-CN"/>
              </w:rPr>
            </w:pPr>
            <w:r>
              <w:rPr>
                <w:rFonts w:cs="Times New Roman"/>
                <w:bCs/>
                <w:color w:val="000000"/>
                <w:szCs w:val="24"/>
              </w:rPr>
              <w:t>Rise of discounters, such as Aldi, and Ldil, and online only retailers</w:t>
            </w:r>
            <w:r>
              <w:rPr>
                <w:rFonts w:hint="eastAsia" w:cs="Times New Roman"/>
                <w:bCs/>
                <w:color w:val="000000"/>
                <w:szCs w:val="24"/>
                <w:lang w:val="en-US" w:eastAsia="zh-CN"/>
              </w:rPr>
              <w:t>; m</w:t>
            </w:r>
            <w:r>
              <w:rPr>
                <w:rFonts w:cs="Times New Roman"/>
                <w:bCs/>
                <w:color w:val="000000"/>
                <w:szCs w:val="24"/>
              </w:rPr>
              <w:t>arket share of Aldi and Lidl grew to 8.1% and 5.9% respectively, and Ocardo</w:t>
            </w:r>
            <w:r>
              <w:rPr>
                <w:rFonts w:hint="eastAsia" w:cs="Times New Roman"/>
                <w:bCs/>
                <w:color w:val="000000"/>
                <w:szCs w:val="24"/>
                <w:lang w:val="en-US" w:eastAsia="zh-CN"/>
              </w:rPr>
              <w:t xml:space="preserve"> online retailer is growing rapidly</w:t>
            </w:r>
            <w:r>
              <w:rPr>
                <w:rFonts w:cs="Times New Roman"/>
                <w:bCs/>
                <w:color w:val="000000"/>
                <w:szCs w:val="24"/>
              </w:rPr>
              <w:t xml:space="preserve"> (Retail Detail, 20</w:t>
            </w:r>
            <w:r>
              <w:rPr>
                <w:rFonts w:hint="eastAsia" w:cs="Times New Roman"/>
                <w:bCs/>
                <w:color w:val="000000"/>
                <w:szCs w:val="24"/>
                <w:lang w:val="en-US" w:eastAsia="zh-CN"/>
              </w:rPr>
              <w:t>20</w:t>
            </w:r>
            <w:r>
              <w:rPr>
                <w:rFonts w:cs="Times New Roman"/>
                <w:bCs/>
                <w:color w:val="000000"/>
                <w:szCs w:val="24"/>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622" w:type="dxa"/>
            <w:noWrap w:val="0"/>
            <w:vAlign w:val="top"/>
          </w:tcPr>
          <w:p>
            <w:pPr>
              <w:widowControl w:val="0"/>
              <w:spacing w:line="240" w:lineRule="auto"/>
              <w:rPr>
                <w:rFonts w:cs="Times New Roman"/>
                <w:bCs/>
                <w:color w:val="000000"/>
                <w:szCs w:val="24"/>
              </w:rPr>
            </w:pPr>
            <w:r>
              <w:rPr>
                <w:rFonts w:cs="Times New Roman"/>
                <w:bCs/>
                <w:color w:val="000000"/>
                <w:szCs w:val="24"/>
              </w:rPr>
              <w:t>Bargaining Power of Buyers</w:t>
            </w:r>
          </w:p>
        </w:tc>
        <w:tc>
          <w:tcPr>
            <w:tcW w:w="1913" w:type="dxa"/>
            <w:noWrap w:val="0"/>
            <w:vAlign w:val="top"/>
          </w:tcPr>
          <w:p>
            <w:pPr>
              <w:widowControl w:val="0"/>
              <w:spacing w:line="240" w:lineRule="auto"/>
              <w:rPr>
                <w:rFonts w:cs="Times New Roman"/>
                <w:bCs/>
                <w:color w:val="000000"/>
                <w:szCs w:val="24"/>
              </w:rPr>
            </w:pPr>
            <w:r>
              <w:rPr>
                <w:rFonts w:cs="Times New Roman"/>
                <w:bCs/>
                <w:color w:val="000000"/>
                <w:szCs w:val="24"/>
              </w:rPr>
              <w:t>High</w:t>
            </w:r>
          </w:p>
        </w:tc>
        <w:tc>
          <w:tcPr>
            <w:tcW w:w="3987" w:type="dxa"/>
            <w:noWrap w:val="0"/>
            <w:vAlign w:val="top"/>
          </w:tcPr>
          <w:p>
            <w:pPr>
              <w:widowControl w:val="0"/>
              <w:spacing w:line="240" w:lineRule="auto"/>
              <w:rPr>
                <w:rFonts w:cs="Times New Roman"/>
                <w:bCs/>
                <w:color w:val="000000"/>
                <w:szCs w:val="24"/>
              </w:rPr>
            </w:pPr>
            <w:r>
              <w:rPr>
                <w:rFonts w:cs="Times New Roman"/>
                <w:bCs/>
                <w:color w:val="000000"/>
                <w:szCs w:val="24"/>
              </w:rPr>
              <w:t>The many options in the market</w:t>
            </w:r>
            <w:r>
              <w:rPr>
                <w:rFonts w:hint="eastAsia" w:cs="Times New Roman"/>
                <w:bCs/>
                <w:color w:val="000000"/>
                <w:szCs w:val="24"/>
                <w:lang w:val="en-US" w:eastAsia="zh-CN"/>
              </w:rPr>
              <w:t>, which</w:t>
            </w:r>
            <w:r>
              <w:rPr>
                <w:rFonts w:cs="Times New Roman"/>
                <w:bCs/>
                <w:color w:val="000000"/>
                <w:szCs w:val="24"/>
              </w:rPr>
              <w:t xml:space="preserve"> increase the bargaining power of buyers.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622" w:type="dxa"/>
            <w:noWrap w:val="0"/>
            <w:vAlign w:val="top"/>
          </w:tcPr>
          <w:p>
            <w:pPr>
              <w:widowControl w:val="0"/>
              <w:spacing w:line="240" w:lineRule="auto"/>
              <w:rPr>
                <w:rFonts w:cs="Times New Roman"/>
                <w:bCs/>
                <w:color w:val="000000"/>
                <w:szCs w:val="24"/>
              </w:rPr>
            </w:pPr>
            <w:r>
              <w:rPr>
                <w:rFonts w:cs="Times New Roman"/>
                <w:bCs/>
                <w:color w:val="000000"/>
                <w:szCs w:val="24"/>
              </w:rPr>
              <w:t>Bargaining Power of Suppliers</w:t>
            </w:r>
          </w:p>
        </w:tc>
        <w:tc>
          <w:tcPr>
            <w:tcW w:w="1913" w:type="dxa"/>
            <w:noWrap w:val="0"/>
            <w:vAlign w:val="top"/>
          </w:tcPr>
          <w:p>
            <w:pPr>
              <w:widowControl w:val="0"/>
              <w:spacing w:line="240" w:lineRule="auto"/>
              <w:rPr>
                <w:rFonts w:cs="Times New Roman"/>
                <w:bCs/>
                <w:color w:val="000000"/>
                <w:szCs w:val="24"/>
              </w:rPr>
            </w:pPr>
            <w:r>
              <w:rPr>
                <w:rFonts w:cs="Times New Roman"/>
                <w:bCs/>
                <w:color w:val="000000"/>
                <w:szCs w:val="24"/>
              </w:rPr>
              <w:t>Low</w:t>
            </w:r>
          </w:p>
        </w:tc>
        <w:tc>
          <w:tcPr>
            <w:tcW w:w="3987" w:type="dxa"/>
            <w:noWrap w:val="0"/>
            <w:vAlign w:val="top"/>
          </w:tcPr>
          <w:p>
            <w:pPr>
              <w:widowControl w:val="0"/>
              <w:spacing w:line="240" w:lineRule="auto"/>
              <w:rPr>
                <w:rFonts w:hint="default" w:eastAsia="等线" w:cs="Times New Roman"/>
                <w:bCs/>
                <w:color w:val="000000"/>
                <w:szCs w:val="24"/>
                <w:lang w:val="en-US" w:eastAsia="zh-CN"/>
              </w:rPr>
            </w:pPr>
            <w:r>
              <w:rPr>
                <w:rFonts w:cs="Times New Roman"/>
                <w:bCs/>
                <w:color w:val="000000"/>
                <w:szCs w:val="24"/>
              </w:rPr>
              <w:t>Low, because there are a large number of supplier’s available in UK</w:t>
            </w:r>
            <w:r>
              <w:rPr>
                <w:rFonts w:hint="eastAsia" w:cs="Times New Roman"/>
                <w:bCs/>
                <w:color w:val="000000"/>
                <w:szCs w:val="24"/>
                <w:lang w:val="en-US" w:eastAsia="zh-CN"/>
              </w:rPr>
              <w:t xml:space="preserve"> (The Guardian, 2020).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622" w:type="dxa"/>
            <w:noWrap w:val="0"/>
            <w:vAlign w:val="top"/>
          </w:tcPr>
          <w:p>
            <w:pPr>
              <w:widowControl w:val="0"/>
              <w:spacing w:line="240" w:lineRule="auto"/>
              <w:rPr>
                <w:rFonts w:cs="Times New Roman"/>
                <w:bCs/>
                <w:color w:val="000000"/>
                <w:szCs w:val="24"/>
              </w:rPr>
            </w:pPr>
            <w:r>
              <w:rPr>
                <w:rFonts w:cs="Times New Roman"/>
                <w:bCs/>
                <w:color w:val="000000"/>
                <w:szCs w:val="24"/>
              </w:rPr>
              <w:t>Competitive Rivalry</w:t>
            </w:r>
          </w:p>
        </w:tc>
        <w:tc>
          <w:tcPr>
            <w:tcW w:w="1913" w:type="dxa"/>
            <w:noWrap w:val="0"/>
            <w:vAlign w:val="top"/>
          </w:tcPr>
          <w:p>
            <w:pPr>
              <w:widowControl w:val="0"/>
              <w:spacing w:line="240" w:lineRule="auto"/>
              <w:rPr>
                <w:rFonts w:cs="Times New Roman"/>
                <w:bCs/>
                <w:color w:val="000000"/>
                <w:szCs w:val="24"/>
              </w:rPr>
            </w:pPr>
            <w:r>
              <w:rPr>
                <w:rFonts w:cs="Times New Roman"/>
                <w:bCs/>
                <w:color w:val="000000"/>
                <w:szCs w:val="24"/>
              </w:rPr>
              <w:t>High</w:t>
            </w:r>
          </w:p>
        </w:tc>
        <w:tc>
          <w:tcPr>
            <w:tcW w:w="3987" w:type="dxa"/>
            <w:noWrap w:val="0"/>
            <w:vAlign w:val="top"/>
          </w:tcPr>
          <w:p>
            <w:pPr>
              <w:widowControl w:val="0"/>
              <w:spacing w:line="240" w:lineRule="auto"/>
              <w:rPr>
                <w:rFonts w:hint="default" w:eastAsia="等线" w:cs="Times New Roman"/>
                <w:b/>
                <w:bCs/>
                <w:color w:val="000000"/>
                <w:szCs w:val="24"/>
                <w:lang w:val="en-US" w:eastAsia="zh-CN"/>
              </w:rPr>
            </w:pPr>
            <w:r>
              <w:rPr>
                <w:rFonts w:cs="Times New Roman"/>
                <w:bCs/>
                <w:color w:val="000000"/>
                <w:szCs w:val="24"/>
              </w:rPr>
              <w:t>Competition in the chain supermarket sector is intense (PwC, 2019). They are increasingly losing market share to small retailers</w:t>
            </w:r>
            <w:r>
              <w:rPr>
                <w:rFonts w:hint="eastAsia" w:cs="Times New Roman"/>
                <w:bCs/>
                <w:color w:val="000000"/>
                <w:szCs w:val="24"/>
                <w:lang w:val="en-US" w:eastAsia="zh-CN"/>
              </w:rPr>
              <w:t xml:space="preserve"> (Retail Detail, 2020)</w:t>
            </w:r>
          </w:p>
        </w:tc>
      </w:tr>
    </w:tbl>
    <w:p>
      <w:pPr>
        <w:rPr>
          <w:rFonts w:hint="default" w:cs="Times New Roman"/>
          <w:bCs/>
          <w:color w:val="000000"/>
          <w:szCs w:val="24"/>
          <w:lang w:val="en-US" w:eastAsia="zh-CN"/>
        </w:rPr>
      </w:pPr>
    </w:p>
    <w:p>
      <w:pPr>
        <w:rPr>
          <w:rFonts w:cs="Times New Roman"/>
          <w:color w:val="000000"/>
          <w:szCs w:val="24"/>
          <w:shd w:val="clear" w:color="auto" w:fill="FFFFFF"/>
        </w:rPr>
      </w:pPr>
      <w:r>
        <w:rPr>
          <w:rFonts w:cs="Times New Roman"/>
          <w:bCs/>
          <w:color w:val="000000"/>
          <w:szCs w:val="24"/>
        </w:rPr>
        <w:t>The results show that the competition in the chain supermarket sector is extremely high</w:t>
      </w:r>
      <w:r>
        <w:rPr>
          <w:rFonts w:hint="eastAsia" w:cs="Times New Roman"/>
          <w:bCs/>
          <w:color w:val="000000"/>
          <w:szCs w:val="24"/>
          <w:lang w:val="en-US" w:eastAsia="zh-CN"/>
        </w:rPr>
        <w:t xml:space="preserve">, especially with the rise of discounters and the availability of independent retail stores </w:t>
      </w:r>
      <w:r>
        <w:rPr>
          <w:rFonts w:cs="Times New Roman"/>
          <w:bCs/>
          <w:color w:val="000000"/>
          <w:szCs w:val="24"/>
        </w:rPr>
        <w:t>(PwC, 2019).</w:t>
      </w:r>
      <w:r>
        <w:rPr>
          <w:rFonts w:hint="eastAsia" w:cs="Times New Roman"/>
          <w:bCs/>
          <w:color w:val="000000"/>
          <w:szCs w:val="24"/>
          <w:lang w:val="en-US" w:eastAsia="zh-CN"/>
        </w:rPr>
        <w:t xml:space="preserve"> High threat of industry rivalry and substitute products reduce Sainsbury</w:t>
      </w:r>
      <w:r>
        <w:rPr>
          <w:rFonts w:hint="default" w:cs="Times New Roman"/>
          <w:bCs/>
          <w:color w:val="000000"/>
          <w:szCs w:val="24"/>
          <w:lang w:val="en-US" w:eastAsia="zh-CN"/>
        </w:rPr>
        <w:t>’</w:t>
      </w:r>
      <w:r>
        <w:rPr>
          <w:rFonts w:hint="eastAsia" w:cs="Times New Roman"/>
          <w:bCs/>
          <w:color w:val="000000"/>
          <w:szCs w:val="24"/>
          <w:lang w:val="en-US" w:eastAsia="zh-CN"/>
        </w:rPr>
        <w:t>s profit margins. High level of buyer</w:t>
      </w:r>
      <w:r>
        <w:rPr>
          <w:rFonts w:hint="default" w:cs="Times New Roman"/>
          <w:bCs/>
          <w:color w:val="000000"/>
          <w:szCs w:val="24"/>
          <w:lang w:val="en-US" w:eastAsia="zh-CN"/>
        </w:rPr>
        <w:t>’</w:t>
      </w:r>
      <w:r>
        <w:rPr>
          <w:rFonts w:hint="eastAsia" w:cs="Times New Roman"/>
          <w:bCs/>
          <w:color w:val="000000"/>
          <w:szCs w:val="24"/>
          <w:lang w:val="en-US" w:eastAsia="zh-CN"/>
        </w:rPr>
        <w:t>s bargaining power means that Sainsbury</w:t>
      </w:r>
      <w:r>
        <w:rPr>
          <w:rFonts w:hint="default" w:cs="Times New Roman"/>
          <w:bCs/>
          <w:color w:val="000000"/>
          <w:szCs w:val="24"/>
          <w:lang w:val="en-US" w:eastAsia="zh-CN"/>
        </w:rPr>
        <w:t>’</w:t>
      </w:r>
      <w:r>
        <w:rPr>
          <w:rFonts w:hint="eastAsia" w:cs="Times New Roman"/>
          <w:bCs/>
          <w:color w:val="000000"/>
          <w:szCs w:val="24"/>
          <w:lang w:val="en-US" w:eastAsia="zh-CN"/>
        </w:rPr>
        <w:t>s must provide products of better quality or at cheaper prices (</w:t>
      </w:r>
      <w:r>
        <w:rPr>
          <w:rFonts w:cs="Times New Roman"/>
          <w:color w:val="000000"/>
          <w:szCs w:val="24"/>
          <w:lang w:val="en-US" w:eastAsia="zh-CN"/>
        </w:rPr>
        <w:t>Hubbard</w:t>
      </w:r>
      <w:r>
        <w:rPr>
          <w:rFonts w:hint="eastAsia" w:cs="Times New Roman"/>
          <w:color w:val="000000"/>
          <w:szCs w:val="24"/>
          <w:lang w:val="en-US" w:eastAsia="zh-CN"/>
        </w:rPr>
        <w:t xml:space="preserve"> and </w:t>
      </w:r>
      <w:r>
        <w:rPr>
          <w:rFonts w:cs="Times New Roman"/>
          <w:color w:val="000000"/>
          <w:szCs w:val="24"/>
          <w:lang w:val="en-US" w:eastAsia="zh-CN"/>
        </w:rPr>
        <w:t>Beamish</w:t>
      </w:r>
      <w:r>
        <w:rPr>
          <w:rFonts w:hint="eastAsia" w:cs="Times New Roman"/>
          <w:color w:val="000000"/>
          <w:szCs w:val="24"/>
          <w:lang w:val="en-US" w:eastAsia="zh-CN"/>
        </w:rPr>
        <w:t>, 2011)</w:t>
      </w:r>
      <w:r>
        <w:rPr>
          <w:rFonts w:hint="eastAsia" w:cs="Times New Roman"/>
          <w:bCs/>
          <w:color w:val="000000"/>
          <w:szCs w:val="24"/>
          <w:lang w:val="en-US" w:eastAsia="zh-CN"/>
        </w:rPr>
        <w:t>. I</w:t>
      </w:r>
      <w:r>
        <w:rPr>
          <w:rFonts w:cs="Times New Roman"/>
          <w:bCs/>
          <w:color w:val="000000"/>
          <w:szCs w:val="24"/>
        </w:rPr>
        <w:t xml:space="preserve">n the highly competitive supermarket sector of UK, Sainsbury’s must develop strategies that help it achieve differentiation. </w:t>
      </w:r>
      <w:r>
        <w:rPr>
          <w:rFonts w:hint="eastAsia" w:cs="Times New Roman"/>
          <w:bCs/>
          <w:color w:val="000000"/>
          <w:szCs w:val="24"/>
          <w:lang w:val="en-US" w:eastAsia="zh-CN"/>
        </w:rPr>
        <w:t xml:space="preserve">According to PwC (2019), supermarkets must ensure that they can </w:t>
      </w:r>
      <w:r>
        <w:rPr>
          <w:rFonts w:cs="Times New Roman"/>
          <w:bCs/>
          <w:color w:val="000000"/>
          <w:szCs w:val="24"/>
        </w:rPr>
        <w:t>offer something that the discounter cannot offer</w:t>
      </w:r>
      <w:r>
        <w:rPr>
          <w:rFonts w:hint="eastAsia" w:cs="Times New Roman"/>
          <w:bCs/>
          <w:color w:val="000000"/>
          <w:szCs w:val="24"/>
          <w:lang w:val="en-US" w:eastAsia="zh-CN"/>
        </w:rPr>
        <w:t>. This could be achieved through better</w:t>
      </w:r>
      <w:r>
        <w:rPr>
          <w:rFonts w:cs="Times New Roman"/>
          <w:bCs/>
          <w:color w:val="000000"/>
          <w:szCs w:val="24"/>
        </w:rPr>
        <w:t xml:space="preserve"> quality, variety, and to meet customer trends, such as healthy eating (PwC, 2019).</w:t>
      </w:r>
    </w:p>
    <w:p>
      <w:pPr>
        <w:pStyle w:val="4"/>
        <w:spacing w:before="0" w:after="0"/>
        <w:rPr>
          <w:rFonts w:cs="Times New Roman"/>
          <w:color w:val="000000"/>
          <w:sz w:val="24"/>
          <w:szCs w:val="24"/>
        </w:rPr>
      </w:pPr>
      <w:bookmarkStart w:id="24" w:name="_Toc39152451"/>
      <w:bookmarkStart w:id="25" w:name="_Toc5010"/>
      <w:r>
        <w:rPr>
          <w:rFonts w:cs="Times New Roman"/>
          <w:color w:val="000000"/>
          <w:sz w:val="24"/>
          <w:szCs w:val="24"/>
        </w:rPr>
        <w:t>3.1.</w:t>
      </w:r>
      <w:r>
        <w:rPr>
          <w:rFonts w:hint="eastAsia" w:cs="Times New Roman"/>
          <w:color w:val="000000"/>
          <w:sz w:val="24"/>
          <w:szCs w:val="24"/>
          <w:lang w:val="en-US" w:eastAsia="zh-CN"/>
        </w:rPr>
        <w:t>2</w:t>
      </w:r>
      <w:r>
        <w:rPr>
          <w:rFonts w:cs="Times New Roman"/>
          <w:color w:val="000000"/>
          <w:sz w:val="24"/>
          <w:szCs w:val="24"/>
        </w:rPr>
        <w:t xml:space="preserve"> Implication of SWOT Analysis of Sainsbury’s</w:t>
      </w:r>
      <w:bookmarkEnd w:id="24"/>
      <w:bookmarkEnd w:id="25"/>
      <w:r>
        <w:rPr>
          <w:rFonts w:cs="Times New Roman"/>
          <w:color w:val="000000"/>
          <w:sz w:val="24"/>
          <w:szCs w:val="24"/>
        </w:rPr>
        <w:t xml:space="preserve"> </w:t>
      </w:r>
    </w:p>
    <w:p>
      <w:pPr>
        <w:rPr>
          <w:rFonts w:hint="eastAsia" w:cs="Times New Roman"/>
          <w:color w:val="000000"/>
          <w:szCs w:val="24"/>
          <w:lang w:val="en-US" w:eastAsia="zh-CN"/>
        </w:rPr>
      </w:pPr>
      <w:r>
        <w:rPr>
          <w:rFonts w:cs="Times New Roman"/>
          <w:color w:val="000000"/>
          <w:szCs w:val="24"/>
        </w:rPr>
        <w:t>SWOT analysis is a widely applied tool for strategic analysis, allowing firms to identify opportunities and threats in the environment, and to leverage organizational strength to grasp opportunities and minimize threats</w:t>
      </w:r>
      <w:r>
        <w:rPr>
          <w:rFonts w:hint="eastAsia" w:cs="Times New Roman"/>
          <w:color w:val="000000"/>
          <w:szCs w:val="24"/>
          <w:lang w:val="en-US" w:eastAsia="zh-CN"/>
        </w:rPr>
        <w:t xml:space="preserve"> (</w:t>
      </w:r>
      <w:r>
        <w:rPr>
          <w:rFonts w:cs="Times New Roman"/>
          <w:color w:val="000000"/>
          <w:szCs w:val="24"/>
          <w:lang w:val="en-US" w:eastAsia="zh-CN"/>
        </w:rPr>
        <w:t>Hubbard</w:t>
      </w:r>
      <w:r>
        <w:rPr>
          <w:rFonts w:hint="eastAsia" w:cs="Times New Roman"/>
          <w:color w:val="000000"/>
          <w:szCs w:val="24"/>
          <w:lang w:val="en-US" w:eastAsia="zh-CN"/>
        </w:rPr>
        <w:t xml:space="preserve"> and </w:t>
      </w:r>
      <w:r>
        <w:rPr>
          <w:rFonts w:cs="Times New Roman"/>
          <w:color w:val="000000"/>
          <w:szCs w:val="24"/>
          <w:lang w:val="en-US" w:eastAsia="zh-CN"/>
        </w:rPr>
        <w:t>Beamish</w:t>
      </w:r>
      <w:r>
        <w:rPr>
          <w:rFonts w:hint="eastAsia" w:cs="Times New Roman"/>
          <w:color w:val="000000"/>
          <w:szCs w:val="24"/>
          <w:lang w:val="en-US" w:eastAsia="zh-CN"/>
        </w:rPr>
        <w:t>, 2011)</w:t>
      </w:r>
      <w:r>
        <w:rPr>
          <w:rFonts w:cs="Times New Roman"/>
          <w:color w:val="000000"/>
          <w:szCs w:val="24"/>
        </w:rPr>
        <w:t xml:space="preserve"> </w:t>
      </w:r>
      <w:r>
        <w:rPr>
          <w:rFonts w:hint="eastAsia" w:cs="Times New Roman"/>
          <w:color w:val="000000"/>
          <w:szCs w:val="24"/>
          <w:lang w:val="en-US" w:eastAsia="zh-CN"/>
        </w:rPr>
        <w:t>Table 2 at below shows the the results of Sainsbury</w:t>
      </w:r>
      <w:r>
        <w:rPr>
          <w:rFonts w:hint="default" w:cs="Times New Roman"/>
          <w:color w:val="000000"/>
          <w:szCs w:val="24"/>
          <w:lang w:val="en-US" w:eastAsia="zh-CN"/>
        </w:rPr>
        <w:t>’</w:t>
      </w:r>
      <w:r>
        <w:rPr>
          <w:rFonts w:hint="eastAsia" w:cs="Times New Roman"/>
          <w:color w:val="000000"/>
          <w:szCs w:val="24"/>
          <w:lang w:val="en-US" w:eastAsia="zh-CN"/>
        </w:rPr>
        <w:t xml:space="preserve">s SWOT analysis. </w:t>
      </w:r>
    </w:p>
    <w:p>
      <w:pPr>
        <w:jc w:val="center"/>
        <w:rPr>
          <w:rFonts w:hint="default" w:cs="Times New Roman"/>
          <w:b/>
          <w:bCs/>
          <w:color w:val="000000"/>
          <w:szCs w:val="24"/>
          <w:lang w:val="en-US" w:eastAsia="zh-CN"/>
        </w:rPr>
      </w:pPr>
      <w:r>
        <w:rPr>
          <w:rFonts w:hint="eastAsia" w:cs="Times New Roman"/>
          <w:b/>
          <w:bCs/>
          <w:color w:val="000000"/>
          <w:szCs w:val="24"/>
          <w:lang w:val="en-US" w:eastAsia="zh-CN"/>
        </w:rPr>
        <w:t>Table 2 SWOT Analysis of Sainsbury</w:t>
      </w:r>
      <w:r>
        <w:rPr>
          <w:rFonts w:hint="default" w:cs="Times New Roman"/>
          <w:b/>
          <w:bCs/>
          <w:color w:val="000000"/>
          <w:szCs w:val="24"/>
          <w:lang w:val="en-US" w:eastAsia="zh-CN"/>
        </w:rPr>
        <w:t>’</w:t>
      </w:r>
      <w:r>
        <w:rPr>
          <w:rFonts w:hint="eastAsia" w:cs="Times New Roman"/>
          <w:b/>
          <w:bCs/>
          <w:color w:val="000000"/>
          <w:szCs w:val="24"/>
          <w:lang w:val="en-US" w:eastAsia="zh-CN"/>
        </w:rPr>
        <w:t>s</w:t>
      </w:r>
    </w:p>
    <w:tbl>
      <w:tblPr>
        <w:tblStyle w:val="1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261"/>
        <w:gridCol w:w="426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noWrap w:val="0"/>
            <w:vAlign w:val="top"/>
          </w:tcPr>
          <w:p>
            <w:pPr>
              <w:widowControl w:val="0"/>
              <w:spacing w:line="240" w:lineRule="auto"/>
              <w:rPr>
                <w:rFonts w:cs="Times New Roman"/>
                <w:b/>
                <w:bCs/>
                <w:color w:val="000000"/>
                <w:szCs w:val="24"/>
              </w:rPr>
            </w:pPr>
            <w:r>
              <w:rPr>
                <w:rFonts w:cs="Times New Roman"/>
                <w:b/>
                <w:bCs/>
                <w:color w:val="000000"/>
                <w:szCs w:val="24"/>
              </w:rPr>
              <w:t xml:space="preserve">Strengths </w:t>
            </w:r>
          </w:p>
        </w:tc>
        <w:tc>
          <w:tcPr>
            <w:tcW w:w="4261" w:type="dxa"/>
            <w:noWrap w:val="0"/>
            <w:vAlign w:val="top"/>
          </w:tcPr>
          <w:p>
            <w:pPr>
              <w:widowControl w:val="0"/>
              <w:spacing w:line="240" w:lineRule="auto"/>
              <w:rPr>
                <w:rFonts w:cs="Times New Roman"/>
                <w:b/>
                <w:bCs/>
                <w:color w:val="000000"/>
                <w:szCs w:val="24"/>
              </w:rPr>
            </w:pPr>
            <w:r>
              <w:rPr>
                <w:rFonts w:cs="Times New Roman"/>
                <w:b/>
                <w:bCs/>
                <w:color w:val="000000"/>
                <w:szCs w:val="24"/>
              </w:rPr>
              <w:t>Weaknesses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noWrap w:val="0"/>
            <w:vAlign w:val="top"/>
          </w:tcPr>
          <w:p>
            <w:pPr>
              <w:widowControl w:val="0"/>
              <w:spacing w:line="240" w:lineRule="auto"/>
              <w:rPr>
                <w:rFonts w:cs="Times New Roman"/>
                <w:color w:val="000000"/>
                <w:szCs w:val="24"/>
              </w:rPr>
            </w:pPr>
            <w:r>
              <w:rPr>
                <w:rFonts w:cs="Times New Roman"/>
                <w:color w:val="000000"/>
                <w:szCs w:val="24"/>
              </w:rPr>
              <w:t>Being able to offer customers quality products at competitive prices (Sainsbury’s, 2019)</w:t>
            </w:r>
          </w:p>
          <w:p>
            <w:pPr>
              <w:widowControl w:val="0"/>
              <w:spacing w:line="240" w:lineRule="auto"/>
              <w:rPr>
                <w:rFonts w:cs="Times New Roman"/>
                <w:color w:val="000000"/>
                <w:szCs w:val="24"/>
              </w:rPr>
            </w:pPr>
            <w:r>
              <w:rPr>
                <w:rFonts w:cs="Times New Roman"/>
                <w:color w:val="000000"/>
                <w:szCs w:val="24"/>
              </w:rPr>
              <w:t xml:space="preserve">A focus on distinctive products and new product categories (Sainsbury’s, 2019); </w:t>
            </w:r>
          </w:p>
          <w:p>
            <w:pPr>
              <w:widowControl w:val="0"/>
              <w:spacing w:line="240" w:lineRule="auto"/>
              <w:rPr>
                <w:rFonts w:cs="Times New Roman"/>
                <w:color w:val="000000"/>
                <w:szCs w:val="24"/>
              </w:rPr>
            </w:pPr>
            <w:r>
              <w:rPr>
                <w:rFonts w:cs="Times New Roman"/>
                <w:color w:val="000000"/>
                <w:szCs w:val="24"/>
              </w:rPr>
              <w:t xml:space="preserve">A focus on making shopping convenient to customers (Sainsbury’s, 2019); </w:t>
            </w:r>
          </w:p>
          <w:p>
            <w:pPr>
              <w:widowControl w:val="0"/>
              <w:spacing w:line="240" w:lineRule="auto"/>
              <w:rPr>
                <w:rFonts w:hint="default" w:eastAsia="等线" w:cs="Times New Roman"/>
                <w:color w:val="000000"/>
                <w:szCs w:val="24"/>
                <w:lang w:val="en-US" w:eastAsia="zh-CN"/>
              </w:rPr>
            </w:pPr>
            <w:r>
              <w:rPr>
                <w:rFonts w:cs="Times New Roman"/>
                <w:color w:val="000000"/>
                <w:szCs w:val="24"/>
              </w:rPr>
              <w:t>A well-established brand with strong brand awareness among UK customers</w:t>
            </w:r>
            <w:r>
              <w:rPr>
                <w:rFonts w:hint="eastAsia" w:cs="Times New Roman"/>
                <w:color w:val="000000"/>
                <w:szCs w:val="24"/>
                <w:lang w:val="en-US" w:eastAsia="zh-CN"/>
              </w:rPr>
              <w:t xml:space="preserve"> (Sainsbury</w:t>
            </w:r>
            <w:r>
              <w:rPr>
                <w:rFonts w:hint="default" w:cs="Times New Roman"/>
                <w:color w:val="000000"/>
                <w:szCs w:val="24"/>
                <w:lang w:val="en-US" w:eastAsia="zh-CN"/>
              </w:rPr>
              <w:t>’</w:t>
            </w:r>
            <w:r>
              <w:rPr>
                <w:rFonts w:hint="eastAsia" w:cs="Times New Roman"/>
                <w:color w:val="000000"/>
                <w:szCs w:val="24"/>
                <w:lang w:val="en-US" w:eastAsia="zh-CN"/>
              </w:rPr>
              <w:t>s 2019)</w:t>
            </w:r>
          </w:p>
        </w:tc>
        <w:tc>
          <w:tcPr>
            <w:tcW w:w="4261" w:type="dxa"/>
            <w:noWrap w:val="0"/>
            <w:vAlign w:val="top"/>
          </w:tcPr>
          <w:p>
            <w:pPr>
              <w:widowControl w:val="0"/>
              <w:spacing w:line="240" w:lineRule="auto"/>
              <w:rPr>
                <w:rFonts w:cs="Times New Roman"/>
                <w:color w:val="000000"/>
                <w:szCs w:val="24"/>
              </w:rPr>
            </w:pPr>
            <w:r>
              <w:rPr>
                <w:rFonts w:cs="Times New Roman"/>
                <w:color w:val="000000"/>
                <w:szCs w:val="24"/>
              </w:rPr>
              <w:t>Weak digital capabilities</w:t>
            </w:r>
            <w:r>
              <w:rPr>
                <w:rFonts w:hint="eastAsia" w:cs="Times New Roman"/>
                <w:color w:val="000000"/>
                <w:szCs w:val="24"/>
                <w:lang w:val="en-US" w:eastAsia="zh-CN"/>
              </w:rPr>
              <w:t xml:space="preserve"> (The Guardian, 2020)</w:t>
            </w:r>
            <w:r>
              <w:rPr>
                <w:rFonts w:cs="Times New Roman"/>
                <w:color w:val="000000"/>
                <w:szCs w:val="24"/>
              </w:rPr>
              <w:t>;</w:t>
            </w:r>
          </w:p>
          <w:p>
            <w:pPr>
              <w:widowControl w:val="0"/>
              <w:spacing w:line="240" w:lineRule="auto"/>
              <w:rPr>
                <w:rFonts w:cs="Times New Roman"/>
                <w:color w:val="000000"/>
                <w:szCs w:val="24"/>
              </w:rPr>
            </w:pPr>
            <w:r>
              <w:rPr>
                <w:rFonts w:cs="Times New Roman"/>
                <w:color w:val="000000"/>
                <w:szCs w:val="24"/>
              </w:rPr>
              <w:t>Weak customer services</w:t>
            </w:r>
            <w:r>
              <w:rPr>
                <w:rFonts w:hint="eastAsia" w:cs="Times New Roman"/>
                <w:color w:val="000000"/>
                <w:szCs w:val="24"/>
                <w:lang w:val="en-US" w:eastAsia="zh-CN"/>
              </w:rPr>
              <w:t xml:space="preserve"> (TrustPilot, 2020)</w:t>
            </w:r>
            <w:r>
              <w:rPr>
                <w:rFonts w:cs="Times New Roman"/>
                <w:color w:val="000000"/>
                <w:szCs w:val="24"/>
              </w:rPr>
              <w:t>;</w:t>
            </w:r>
          </w:p>
          <w:p>
            <w:pPr>
              <w:widowControl w:val="0"/>
              <w:spacing w:line="240" w:lineRule="auto"/>
              <w:rPr>
                <w:rFonts w:cs="Times New Roman"/>
                <w:color w:val="000000"/>
                <w:szCs w:val="24"/>
              </w:rPr>
            </w:pPr>
            <w:r>
              <w:rPr>
                <w:rFonts w:cs="Times New Roman"/>
                <w:color w:val="000000"/>
                <w:szCs w:val="24"/>
              </w:rPr>
              <w:t>Ineffective human resource management</w:t>
            </w:r>
            <w:r>
              <w:rPr>
                <w:rFonts w:hint="eastAsia" w:cs="Times New Roman"/>
                <w:color w:val="000000"/>
                <w:szCs w:val="24"/>
                <w:lang w:val="en-US" w:eastAsia="zh-CN"/>
              </w:rPr>
              <w:t xml:space="preserve"> (New York Time Post, 2020)</w:t>
            </w:r>
            <w:r>
              <w:rPr>
                <w:rFonts w:cs="Times New Roman"/>
                <w:color w:val="000000"/>
                <w:szCs w:val="24"/>
              </w:rPr>
              <w:t>;</w:t>
            </w:r>
          </w:p>
          <w:p>
            <w:pPr>
              <w:widowControl w:val="0"/>
              <w:spacing w:line="240" w:lineRule="auto"/>
              <w:rPr>
                <w:rFonts w:cs="Times New Roman"/>
                <w:color w:val="000000"/>
                <w:szCs w:val="24"/>
              </w:rPr>
            </w:pPr>
            <w:r>
              <w:rPr>
                <w:rFonts w:cs="Times New Roman"/>
                <w:color w:val="000000"/>
                <w:szCs w:val="24"/>
              </w:rPr>
              <w:t>Focusing on a single market</w:t>
            </w:r>
            <w:r>
              <w:rPr>
                <w:rFonts w:hint="eastAsia" w:cs="Times New Roman"/>
                <w:color w:val="000000"/>
                <w:szCs w:val="24"/>
                <w:lang w:val="en-US" w:eastAsia="zh-CN"/>
              </w:rPr>
              <w:t xml:space="preserve"> (Sainsbury</w:t>
            </w:r>
            <w:r>
              <w:rPr>
                <w:rFonts w:hint="default" w:cs="Times New Roman"/>
                <w:color w:val="000000"/>
                <w:szCs w:val="24"/>
                <w:lang w:val="en-US" w:eastAsia="zh-CN"/>
              </w:rPr>
              <w:t>’</w:t>
            </w:r>
            <w:r>
              <w:rPr>
                <w:rFonts w:hint="eastAsia" w:cs="Times New Roman"/>
                <w:color w:val="000000"/>
                <w:szCs w:val="24"/>
                <w:lang w:val="en-US" w:eastAsia="zh-CN"/>
              </w:rPr>
              <w:t>s, 2019)</w:t>
            </w:r>
            <w:r>
              <w:rPr>
                <w:rFonts w:cs="Times New Roman"/>
                <w:color w:val="000000"/>
                <w:szCs w:val="24"/>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noWrap w:val="0"/>
            <w:vAlign w:val="top"/>
          </w:tcPr>
          <w:p>
            <w:pPr>
              <w:widowControl w:val="0"/>
              <w:spacing w:line="240" w:lineRule="auto"/>
              <w:rPr>
                <w:rFonts w:cs="Times New Roman"/>
                <w:b/>
                <w:bCs/>
                <w:color w:val="000000"/>
                <w:szCs w:val="24"/>
              </w:rPr>
            </w:pPr>
            <w:r>
              <w:rPr>
                <w:rFonts w:cs="Times New Roman"/>
                <w:b/>
                <w:bCs/>
                <w:color w:val="000000"/>
                <w:szCs w:val="24"/>
              </w:rPr>
              <w:t xml:space="preserve">Opportunities </w:t>
            </w:r>
          </w:p>
        </w:tc>
        <w:tc>
          <w:tcPr>
            <w:tcW w:w="4261" w:type="dxa"/>
            <w:noWrap w:val="0"/>
            <w:vAlign w:val="top"/>
          </w:tcPr>
          <w:p>
            <w:pPr>
              <w:widowControl w:val="0"/>
              <w:spacing w:line="240" w:lineRule="auto"/>
              <w:rPr>
                <w:rFonts w:cs="Times New Roman"/>
                <w:b/>
                <w:bCs/>
                <w:color w:val="000000"/>
                <w:szCs w:val="24"/>
              </w:rPr>
            </w:pPr>
            <w:r>
              <w:rPr>
                <w:rFonts w:cs="Times New Roman"/>
                <w:b/>
                <w:bCs/>
                <w:color w:val="000000"/>
                <w:szCs w:val="24"/>
              </w:rPr>
              <w:t>Threats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noWrap w:val="0"/>
            <w:vAlign w:val="top"/>
          </w:tcPr>
          <w:p>
            <w:pPr>
              <w:widowControl w:val="0"/>
              <w:spacing w:line="240" w:lineRule="auto"/>
              <w:rPr>
                <w:rFonts w:cs="Times New Roman"/>
                <w:color w:val="000000"/>
                <w:szCs w:val="24"/>
              </w:rPr>
            </w:pPr>
            <w:r>
              <w:rPr>
                <w:rFonts w:cs="Times New Roman"/>
                <w:color w:val="000000"/>
                <w:szCs w:val="24"/>
              </w:rPr>
              <w:t>The on-going pandemic accents the importance of grocery and supply shopping</w:t>
            </w:r>
            <w:r>
              <w:rPr>
                <w:rFonts w:hint="eastAsia" w:cs="Times New Roman"/>
                <w:color w:val="000000"/>
                <w:szCs w:val="24"/>
                <w:lang w:val="en-US" w:eastAsia="zh-CN"/>
              </w:rPr>
              <w:t xml:space="preserve"> (The Guardian, 2020)</w:t>
            </w:r>
            <w:r>
              <w:rPr>
                <w:rFonts w:cs="Times New Roman"/>
                <w:color w:val="000000"/>
                <w:szCs w:val="24"/>
              </w:rPr>
              <w:t xml:space="preserve">; </w:t>
            </w:r>
          </w:p>
          <w:p>
            <w:pPr>
              <w:widowControl w:val="0"/>
              <w:spacing w:line="240" w:lineRule="auto"/>
              <w:rPr>
                <w:rFonts w:cs="Times New Roman"/>
                <w:color w:val="000000"/>
                <w:szCs w:val="24"/>
              </w:rPr>
            </w:pPr>
            <w:r>
              <w:rPr>
                <w:rFonts w:cs="Times New Roman"/>
                <w:color w:val="000000"/>
                <w:szCs w:val="24"/>
              </w:rPr>
              <w:t>Rapidly growing market in the globe</w:t>
            </w:r>
            <w:r>
              <w:rPr>
                <w:rFonts w:hint="eastAsia" w:cs="Times New Roman"/>
                <w:color w:val="000000"/>
                <w:szCs w:val="24"/>
                <w:lang w:val="en-US" w:eastAsia="zh-CN"/>
              </w:rPr>
              <w:t xml:space="preserve"> (PwC, 2019)</w:t>
            </w:r>
            <w:r>
              <w:rPr>
                <w:rFonts w:cs="Times New Roman"/>
                <w:color w:val="000000"/>
                <w:szCs w:val="24"/>
              </w:rPr>
              <w:t xml:space="preserve">; </w:t>
            </w:r>
          </w:p>
          <w:p>
            <w:pPr>
              <w:widowControl w:val="0"/>
              <w:spacing w:line="240" w:lineRule="auto"/>
              <w:rPr>
                <w:rFonts w:cs="Times New Roman"/>
                <w:color w:val="000000"/>
                <w:szCs w:val="24"/>
              </w:rPr>
            </w:pPr>
          </w:p>
        </w:tc>
        <w:tc>
          <w:tcPr>
            <w:tcW w:w="4261" w:type="dxa"/>
            <w:noWrap w:val="0"/>
            <w:vAlign w:val="top"/>
          </w:tcPr>
          <w:p>
            <w:pPr>
              <w:widowControl w:val="0"/>
              <w:spacing w:line="240" w:lineRule="auto"/>
              <w:rPr>
                <w:rFonts w:hint="default" w:eastAsia="等线" w:cs="Times New Roman"/>
                <w:color w:val="000000"/>
                <w:szCs w:val="24"/>
                <w:lang w:val="en-US" w:eastAsia="zh-CN"/>
              </w:rPr>
            </w:pPr>
            <w:r>
              <w:rPr>
                <w:rFonts w:cs="Times New Roman"/>
                <w:color w:val="000000"/>
                <w:szCs w:val="24"/>
              </w:rPr>
              <w:t>Discounters, online-only retailors and independent retailers are competing against supermarket chains</w:t>
            </w:r>
            <w:r>
              <w:rPr>
                <w:rFonts w:hint="eastAsia" w:cs="Times New Roman"/>
                <w:color w:val="000000"/>
                <w:szCs w:val="24"/>
                <w:lang w:val="en-US" w:eastAsia="zh-CN"/>
              </w:rPr>
              <w:t xml:space="preserve"> (Retail Detail, 2020); </w:t>
            </w:r>
          </w:p>
          <w:p>
            <w:pPr>
              <w:widowControl w:val="0"/>
              <w:spacing w:line="240" w:lineRule="auto"/>
              <w:rPr>
                <w:rFonts w:cs="Times New Roman"/>
                <w:color w:val="000000"/>
                <w:szCs w:val="24"/>
              </w:rPr>
            </w:pPr>
            <w:r>
              <w:rPr>
                <w:rFonts w:cs="Times New Roman"/>
                <w:color w:val="000000"/>
                <w:szCs w:val="24"/>
              </w:rPr>
              <w:t>The COVID-19 pandemic is hurting UK’s economy and undermine customer’s spending power (Retail Detail, 2020)</w:t>
            </w:r>
          </w:p>
        </w:tc>
      </w:tr>
    </w:tbl>
    <w:p>
      <w:pPr>
        <w:rPr>
          <w:rFonts w:cs="Times New Roman"/>
          <w:color w:val="000000"/>
          <w:szCs w:val="24"/>
        </w:rPr>
      </w:pPr>
      <w:r>
        <w:rPr>
          <w:rFonts w:hint="eastAsia" w:cs="Times New Roman"/>
          <w:color w:val="000000"/>
          <w:szCs w:val="24"/>
          <w:lang w:val="en-US" w:eastAsia="zh-CN"/>
        </w:rPr>
        <w:t>The results of SWOT analysis shows that while</w:t>
      </w:r>
      <w:r>
        <w:rPr>
          <w:rFonts w:cs="Times New Roman"/>
          <w:color w:val="000000"/>
          <w:szCs w:val="24"/>
        </w:rPr>
        <w:t xml:space="preserve"> </w:t>
      </w:r>
      <w:r>
        <w:rPr>
          <w:rFonts w:hint="eastAsia" w:cs="Times New Roman"/>
          <w:color w:val="000000"/>
          <w:szCs w:val="24"/>
          <w:lang w:val="en-US" w:eastAsia="zh-CN"/>
        </w:rPr>
        <w:t>Sainsbury</w:t>
      </w:r>
      <w:r>
        <w:rPr>
          <w:rFonts w:hint="default" w:cs="Times New Roman"/>
          <w:color w:val="000000"/>
          <w:szCs w:val="24"/>
          <w:lang w:val="en-US" w:eastAsia="zh-CN"/>
        </w:rPr>
        <w:t>’</w:t>
      </w:r>
      <w:r>
        <w:rPr>
          <w:rFonts w:hint="eastAsia" w:cs="Times New Roman"/>
          <w:color w:val="000000"/>
          <w:szCs w:val="24"/>
          <w:lang w:val="en-US" w:eastAsia="zh-CN"/>
        </w:rPr>
        <w:t>s strength is to maintain</w:t>
      </w:r>
      <w:r>
        <w:rPr>
          <w:rFonts w:cs="Times New Roman"/>
          <w:color w:val="000000"/>
          <w:szCs w:val="24"/>
        </w:rPr>
        <w:t xml:space="preserve"> competitive price of their products (Sainsbury’s, 2019)</w:t>
      </w:r>
      <w:r>
        <w:rPr>
          <w:rFonts w:hint="eastAsia" w:cs="Times New Roman"/>
          <w:color w:val="000000"/>
          <w:szCs w:val="24"/>
          <w:lang w:val="en-US" w:eastAsia="zh-CN"/>
        </w:rPr>
        <w:t>, but it</w:t>
      </w:r>
      <w:r>
        <w:rPr>
          <w:rFonts w:cs="Times New Roman"/>
          <w:color w:val="000000"/>
          <w:szCs w:val="24"/>
        </w:rPr>
        <w:t xml:space="preserve"> is losing this advantage to discounters (BBC News, 2018). The slow economy in the globe and in UK (PwC, 2019) further exert pressure on Sainsbury’s cost control. Consequently, it can be argued that the cost advantage of Sainsbury’s can no long sustain its growth in UK market. </w:t>
      </w:r>
      <w:r>
        <w:rPr>
          <w:rFonts w:hint="eastAsia" w:cs="Times New Roman"/>
          <w:color w:val="000000"/>
          <w:szCs w:val="24"/>
          <w:lang w:val="en-US" w:eastAsia="zh-CN"/>
        </w:rPr>
        <w:t>Together with the results of the Porter</w:t>
      </w:r>
      <w:r>
        <w:rPr>
          <w:rFonts w:hint="default" w:cs="Times New Roman"/>
          <w:color w:val="000000"/>
          <w:szCs w:val="24"/>
          <w:lang w:val="en-US" w:eastAsia="zh-CN"/>
        </w:rPr>
        <w:t>’</w:t>
      </w:r>
      <w:r>
        <w:rPr>
          <w:rFonts w:hint="eastAsia" w:cs="Times New Roman"/>
          <w:color w:val="000000"/>
          <w:szCs w:val="24"/>
          <w:lang w:val="en-US" w:eastAsia="zh-CN"/>
        </w:rPr>
        <w:t>s Five Forces analysis, it indicates that Sainsbury</w:t>
      </w:r>
      <w:r>
        <w:rPr>
          <w:rFonts w:hint="default" w:cs="Times New Roman"/>
          <w:color w:val="000000"/>
          <w:szCs w:val="24"/>
          <w:lang w:val="en-US" w:eastAsia="zh-CN"/>
        </w:rPr>
        <w:t>’</w:t>
      </w:r>
      <w:r>
        <w:rPr>
          <w:rFonts w:hint="eastAsia" w:cs="Times New Roman"/>
          <w:color w:val="000000"/>
          <w:szCs w:val="24"/>
          <w:lang w:val="en-US" w:eastAsia="zh-CN"/>
        </w:rPr>
        <w:t xml:space="preserve">s needs to achieve differentiation through offering distinct products and services. </w:t>
      </w:r>
      <w:r>
        <w:rPr>
          <w:rFonts w:cs="Times New Roman"/>
          <w:color w:val="000000"/>
          <w:szCs w:val="24"/>
        </w:rPr>
        <w:t>Its distinctive product range can be leveraged as a competitive advantage that differentiate itself from its competitors</w:t>
      </w:r>
      <w:r>
        <w:rPr>
          <w:rFonts w:hint="eastAsia" w:cs="Times New Roman"/>
          <w:color w:val="000000"/>
          <w:szCs w:val="24"/>
          <w:lang w:val="en-US" w:eastAsia="zh-CN"/>
        </w:rPr>
        <w:t xml:space="preserve"> (Sainsbury</w:t>
      </w:r>
      <w:r>
        <w:rPr>
          <w:rFonts w:hint="default" w:cs="Times New Roman"/>
          <w:color w:val="000000"/>
          <w:szCs w:val="24"/>
          <w:lang w:val="en-US" w:eastAsia="zh-CN"/>
        </w:rPr>
        <w:t>’</w:t>
      </w:r>
      <w:r>
        <w:rPr>
          <w:rFonts w:hint="eastAsia" w:cs="Times New Roman"/>
          <w:color w:val="000000"/>
          <w:szCs w:val="24"/>
          <w:lang w:val="en-US" w:eastAsia="zh-CN"/>
        </w:rPr>
        <w:t>s 2019)</w:t>
      </w:r>
      <w:r>
        <w:rPr>
          <w:rFonts w:cs="Times New Roman"/>
          <w:color w:val="000000"/>
          <w:szCs w:val="24"/>
        </w:rPr>
        <w:t xml:space="preserve">. </w:t>
      </w:r>
      <w:r>
        <w:rPr>
          <w:rFonts w:hint="eastAsia" w:cs="Times New Roman"/>
          <w:color w:val="000000"/>
          <w:szCs w:val="24"/>
          <w:lang w:val="en-US" w:eastAsia="zh-CN"/>
        </w:rPr>
        <w:t>The international markets also present opportunities for Sainsbury</w:t>
      </w:r>
      <w:r>
        <w:rPr>
          <w:rFonts w:hint="default" w:cs="Times New Roman"/>
          <w:color w:val="000000"/>
          <w:szCs w:val="24"/>
          <w:lang w:val="en-US" w:eastAsia="zh-CN"/>
        </w:rPr>
        <w:t>’</w:t>
      </w:r>
      <w:r>
        <w:rPr>
          <w:rFonts w:hint="eastAsia" w:cs="Times New Roman"/>
          <w:color w:val="000000"/>
          <w:szCs w:val="24"/>
          <w:lang w:val="en-US" w:eastAsia="zh-CN"/>
        </w:rPr>
        <w:t>s (PwC, 2019).  In addition, SWOT analysis also indicates that</w:t>
      </w:r>
      <w:r>
        <w:rPr>
          <w:rFonts w:cs="Times New Roman"/>
          <w:color w:val="000000"/>
          <w:szCs w:val="24"/>
        </w:rPr>
        <w:t xml:space="preserve"> Sainsbury claimed a focu</w:t>
      </w:r>
      <w:r>
        <w:rPr>
          <w:rFonts w:hint="eastAsia" w:cs="Times New Roman"/>
          <w:color w:val="000000"/>
          <w:szCs w:val="24"/>
          <w:lang w:val="en-US" w:eastAsia="zh-CN"/>
        </w:rPr>
        <w:t xml:space="preserve">s on </w:t>
      </w:r>
      <w:r>
        <w:rPr>
          <w:rFonts w:cs="Times New Roman"/>
          <w:color w:val="000000"/>
          <w:szCs w:val="24"/>
        </w:rPr>
        <w:t>boosting an integrated customer experience to customers (Sainsbury’s, 2019), which meet</w:t>
      </w:r>
      <w:r>
        <w:rPr>
          <w:rFonts w:hint="eastAsia" w:cs="Times New Roman"/>
          <w:color w:val="000000"/>
          <w:szCs w:val="24"/>
          <w:lang w:val="en-US" w:eastAsia="zh-CN"/>
        </w:rPr>
        <w:t>s</w:t>
      </w:r>
      <w:r>
        <w:rPr>
          <w:rFonts w:cs="Times New Roman"/>
          <w:color w:val="000000"/>
          <w:szCs w:val="24"/>
        </w:rPr>
        <w:t xml:space="preserve"> the customer demand for convenience and growing trend of online shopping (PwC, 2019). Nonetheless, its low customer satisfaction </w:t>
      </w:r>
      <w:r>
        <w:rPr>
          <w:rFonts w:hint="eastAsia" w:cs="Times New Roman"/>
          <w:color w:val="000000"/>
          <w:szCs w:val="24"/>
          <w:lang w:val="en-US" w:eastAsia="zh-CN"/>
        </w:rPr>
        <w:t xml:space="preserve">(TrustPilot, 2020) </w:t>
      </w:r>
      <w:r>
        <w:rPr>
          <w:rFonts w:cs="Times New Roman"/>
          <w:color w:val="000000"/>
          <w:szCs w:val="24"/>
        </w:rPr>
        <w:t>and inadequate online capabilities cannot support the achievement of these strategic priorities</w:t>
      </w:r>
      <w:r>
        <w:rPr>
          <w:rFonts w:hint="eastAsia" w:cs="Times New Roman"/>
          <w:color w:val="000000"/>
          <w:szCs w:val="24"/>
          <w:lang w:val="en-US" w:eastAsia="zh-CN"/>
        </w:rPr>
        <w:t xml:space="preserve"> (The Guardian, 2020)</w:t>
      </w:r>
      <w:r>
        <w:rPr>
          <w:rFonts w:cs="Times New Roman"/>
          <w:color w:val="000000"/>
          <w:szCs w:val="24"/>
        </w:rPr>
        <w:t xml:space="preserve">.The COVID-19 pandemic present excellent opportunity for Sainsbury’s to enhance its online capability. </w:t>
      </w:r>
    </w:p>
    <w:p>
      <w:pPr>
        <w:pStyle w:val="4"/>
        <w:spacing w:before="0" w:after="0"/>
        <w:rPr>
          <w:rFonts w:cs="Times New Roman"/>
          <w:color w:val="000000"/>
          <w:sz w:val="24"/>
          <w:szCs w:val="24"/>
        </w:rPr>
      </w:pPr>
      <w:bookmarkStart w:id="26" w:name="_Toc39152452"/>
      <w:bookmarkStart w:id="27" w:name="_Toc15322"/>
      <w:r>
        <w:rPr>
          <w:rFonts w:cs="Times New Roman"/>
          <w:color w:val="000000"/>
          <w:sz w:val="24"/>
          <w:szCs w:val="24"/>
        </w:rPr>
        <w:t>3.1.</w:t>
      </w:r>
      <w:r>
        <w:rPr>
          <w:rFonts w:hint="eastAsia" w:cs="Times New Roman"/>
          <w:color w:val="000000"/>
          <w:sz w:val="24"/>
          <w:szCs w:val="24"/>
          <w:lang w:val="en-US" w:eastAsia="zh-CN"/>
        </w:rPr>
        <w:t>3</w:t>
      </w:r>
      <w:r>
        <w:rPr>
          <w:rFonts w:cs="Times New Roman"/>
          <w:color w:val="000000"/>
          <w:sz w:val="24"/>
          <w:szCs w:val="24"/>
        </w:rPr>
        <w:t xml:space="preserve"> Summarization of Situational Analysis Results</w:t>
      </w:r>
      <w:bookmarkEnd w:id="26"/>
      <w:bookmarkEnd w:id="27"/>
    </w:p>
    <w:p>
      <w:pPr>
        <w:rPr>
          <w:rFonts w:cs="Times New Roman"/>
          <w:color w:val="000000"/>
          <w:szCs w:val="24"/>
        </w:rPr>
      </w:pPr>
      <w:r>
        <w:rPr>
          <w:rFonts w:cs="Times New Roman"/>
          <w:color w:val="000000"/>
          <w:szCs w:val="24"/>
        </w:rPr>
        <w:t xml:space="preserve">Table </w:t>
      </w:r>
      <w:r>
        <w:rPr>
          <w:rFonts w:hint="eastAsia" w:cs="Times New Roman"/>
          <w:color w:val="000000"/>
          <w:szCs w:val="24"/>
          <w:lang w:val="en-US" w:eastAsia="zh-CN"/>
        </w:rPr>
        <w:t>3</w:t>
      </w:r>
      <w:r>
        <w:rPr>
          <w:rFonts w:cs="Times New Roman"/>
          <w:color w:val="000000"/>
          <w:szCs w:val="24"/>
        </w:rPr>
        <w:t xml:space="preserve"> at below summarizes the findings of situational analysis of Sainsbury’s. </w:t>
      </w:r>
    </w:p>
    <w:p>
      <w:pPr>
        <w:jc w:val="center"/>
        <w:rPr>
          <w:rFonts w:cs="Times New Roman"/>
          <w:b/>
          <w:bCs/>
          <w:color w:val="000000"/>
          <w:szCs w:val="24"/>
        </w:rPr>
      </w:pPr>
      <w:r>
        <w:rPr>
          <w:rFonts w:cs="Times New Roman"/>
          <w:b/>
          <w:bCs/>
          <w:color w:val="000000"/>
          <w:szCs w:val="24"/>
        </w:rPr>
        <w:t xml:space="preserve">Table </w:t>
      </w:r>
      <w:r>
        <w:rPr>
          <w:rFonts w:hint="eastAsia" w:cs="Times New Roman"/>
          <w:b/>
          <w:bCs/>
          <w:color w:val="000000"/>
          <w:szCs w:val="24"/>
          <w:lang w:val="en-US" w:eastAsia="zh-CN"/>
        </w:rPr>
        <w:t>3</w:t>
      </w:r>
      <w:r>
        <w:rPr>
          <w:rFonts w:cs="Times New Roman"/>
          <w:b/>
          <w:bCs/>
          <w:color w:val="000000"/>
          <w:szCs w:val="24"/>
        </w:rPr>
        <w:t xml:space="preserve"> Situational Analysis Results of Sainsbury’s</w:t>
      </w:r>
    </w:p>
    <w:tbl>
      <w:tblPr>
        <w:tblStyle w:val="1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261"/>
        <w:gridCol w:w="426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noWrap w:val="0"/>
            <w:vAlign w:val="top"/>
          </w:tcPr>
          <w:p>
            <w:pPr>
              <w:widowControl w:val="0"/>
              <w:spacing w:line="240" w:lineRule="auto"/>
              <w:jc w:val="center"/>
              <w:rPr>
                <w:rFonts w:cs="Times New Roman"/>
                <w:color w:val="000000"/>
                <w:szCs w:val="24"/>
              </w:rPr>
            </w:pPr>
            <w:bookmarkStart w:id="28" w:name="_Hlk39142540"/>
            <w:r>
              <w:rPr>
                <w:rFonts w:cs="Times New Roman"/>
                <w:color w:val="000000"/>
                <w:szCs w:val="24"/>
              </w:rPr>
              <w:t>Analytic Tools</w:t>
            </w:r>
          </w:p>
        </w:tc>
        <w:tc>
          <w:tcPr>
            <w:tcW w:w="4261" w:type="dxa"/>
            <w:noWrap w:val="0"/>
            <w:vAlign w:val="top"/>
          </w:tcPr>
          <w:p>
            <w:pPr>
              <w:widowControl w:val="0"/>
              <w:spacing w:line="240" w:lineRule="auto"/>
              <w:jc w:val="center"/>
              <w:rPr>
                <w:rFonts w:cs="Times New Roman"/>
                <w:color w:val="000000"/>
                <w:szCs w:val="24"/>
              </w:rPr>
            </w:pPr>
            <w:r>
              <w:rPr>
                <w:rFonts w:cs="Times New Roman"/>
                <w:color w:val="000000"/>
                <w:szCs w:val="24"/>
              </w:rPr>
              <w:t>Findings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noWrap w:val="0"/>
            <w:vAlign w:val="top"/>
          </w:tcPr>
          <w:p>
            <w:pPr>
              <w:widowControl w:val="0"/>
              <w:spacing w:line="240" w:lineRule="auto"/>
              <w:jc w:val="center"/>
              <w:rPr>
                <w:rFonts w:cs="Times New Roman"/>
                <w:color w:val="000000"/>
                <w:szCs w:val="24"/>
              </w:rPr>
            </w:pPr>
            <w:r>
              <w:rPr>
                <w:rFonts w:cs="Times New Roman"/>
                <w:color w:val="000000"/>
                <w:szCs w:val="24"/>
              </w:rPr>
              <w:t xml:space="preserve">Porter’s Five Forces </w:t>
            </w:r>
          </w:p>
        </w:tc>
        <w:tc>
          <w:tcPr>
            <w:tcW w:w="4261" w:type="dxa"/>
            <w:noWrap w:val="0"/>
            <w:vAlign w:val="top"/>
          </w:tcPr>
          <w:p>
            <w:pPr>
              <w:widowControl w:val="0"/>
              <w:spacing w:line="240" w:lineRule="auto"/>
              <w:rPr>
                <w:rFonts w:cs="Times New Roman"/>
                <w:color w:val="000000"/>
                <w:szCs w:val="24"/>
              </w:rPr>
            </w:pPr>
            <w:r>
              <w:rPr>
                <w:rFonts w:cs="Times New Roman"/>
                <w:color w:val="000000"/>
                <w:szCs w:val="24"/>
              </w:rPr>
              <w:t>1) High threat of buyer’s bargaining power, due to low switching costs</w:t>
            </w:r>
          </w:p>
          <w:p>
            <w:pPr>
              <w:widowControl w:val="0"/>
              <w:spacing w:line="240" w:lineRule="auto"/>
              <w:rPr>
                <w:rFonts w:cs="Times New Roman"/>
                <w:color w:val="000000"/>
                <w:szCs w:val="24"/>
              </w:rPr>
            </w:pPr>
            <w:r>
              <w:rPr>
                <w:rFonts w:cs="Times New Roman"/>
                <w:color w:val="000000"/>
                <w:szCs w:val="24"/>
              </w:rPr>
              <w:t>2) High threat of competitive rivalry among existing competitors.</w:t>
            </w:r>
          </w:p>
          <w:p>
            <w:pPr>
              <w:widowControl w:val="0"/>
              <w:spacing w:line="240" w:lineRule="auto"/>
              <w:rPr>
                <w:rFonts w:cs="Times New Roman"/>
                <w:color w:val="000000"/>
                <w:szCs w:val="24"/>
              </w:rPr>
            </w:pPr>
            <w:r>
              <w:rPr>
                <w:rFonts w:cs="Times New Roman"/>
                <w:color w:val="000000"/>
                <w:szCs w:val="24"/>
              </w:rPr>
              <w:t xml:space="preserve">3) High threat of substitutes, due to the rise of discounters, online-retailers, and independent retailers.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938" w:hRule="atLeast"/>
        </w:trPr>
        <w:tc>
          <w:tcPr>
            <w:tcW w:w="4261" w:type="dxa"/>
            <w:noWrap w:val="0"/>
            <w:vAlign w:val="top"/>
          </w:tcPr>
          <w:p>
            <w:pPr>
              <w:widowControl w:val="0"/>
              <w:spacing w:line="240" w:lineRule="auto"/>
              <w:jc w:val="center"/>
              <w:rPr>
                <w:rFonts w:cs="Times New Roman"/>
                <w:color w:val="000000"/>
                <w:szCs w:val="24"/>
              </w:rPr>
            </w:pPr>
            <w:r>
              <w:rPr>
                <w:rFonts w:cs="Times New Roman"/>
                <w:color w:val="000000"/>
                <w:szCs w:val="24"/>
              </w:rPr>
              <w:t xml:space="preserve">SWOT </w:t>
            </w:r>
          </w:p>
        </w:tc>
        <w:tc>
          <w:tcPr>
            <w:tcW w:w="4261" w:type="dxa"/>
            <w:noWrap w:val="0"/>
            <w:vAlign w:val="top"/>
          </w:tcPr>
          <w:p>
            <w:pPr>
              <w:widowControl w:val="0"/>
              <w:spacing w:line="240" w:lineRule="auto"/>
              <w:rPr>
                <w:rFonts w:cs="Times New Roman"/>
                <w:color w:val="000000"/>
                <w:szCs w:val="24"/>
              </w:rPr>
            </w:pPr>
            <w:r>
              <w:rPr>
                <w:rFonts w:cs="Times New Roman"/>
                <w:color w:val="000000"/>
                <w:szCs w:val="24"/>
              </w:rPr>
              <w:t xml:space="preserve">1) Awareness of the importance of convenience </w:t>
            </w:r>
          </w:p>
          <w:p>
            <w:pPr>
              <w:widowControl w:val="0"/>
              <w:spacing w:line="240" w:lineRule="auto"/>
              <w:rPr>
                <w:rFonts w:cs="Times New Roman"/>
                <w:color w:val="000000"/>
                <w:szCs w:val="24"/>
              </w:rPr>
            </w:pPr>
            <w:r>
              <w:rPr>
                <w:rFonts w:cs="Times New Roman"/>
                <w:color w:val="000000"/>
                <w:szCs w:val="24"/>
              </w:rPr>
              <w:t>2) Awareness of the importance of seamless customer experience</w:t>
            </w:r>
          </w:p>
          <w:p>
            <w:pPr>
              <w:widowControl w:val="0"/>
              <w:spacing w:line="240" w:lineRule="auto"/>
              <w:rPr>
                <w:rFonts w:cs="Times New Roman"/>
                <w:color w:val="000000"/>
                <w:szCs w:val="24"/>
              </w:rPr>
            </w:pPr>
            <w:r>
              <w:rPr>
                <w:rFonts w:cs="Times New Roman"/>
                <w:color w:val="000000"/>
                <w:szCs w:val="24"/>
              </w:rPr>
              <w:t xml:space="preserve">4)  Distinctive product range </w:t>
            </w:r>
          </w:p>
          <w:p>
            <w:pPr>
              <w:widowControl w:val="0"/>
              <w:spacing w:line="240" w:lineRule="auto"/>
              <w:rPr>
                <w:rFonts w:cs="Times New Roman"/>
                <w:color w:val="000000"/>
                <w:szCs w:val="24"/>
              </w:rPr>
            </w:pPr>
            <w:r>
              <w:rPr>
                <w:rFonts w:cs="Times New Roman"/>
                <w:color w:val="000000"/>
                <w:szCs w:val="24"/>
              </w:rPr>
              <w:t xml:space="preserve">5) Opportunity of utilizing COVID-19 to expand its market share. </w:t>
            </w:r>
          </w:p>
          <w:p>
            <w:pPr>
              <w:widowControl w:val="0"/>
              <w:spacing w:line="240" w:lineRule="auto"/>
              <w:rPr>
                <w:rFonts w:cs="Times New Roman"/>
                <w:color w:val="000000"/>
                <w:szCs w:val="24"/>
              </w:rPr>
            </w:pPr>
            <w:r>
              <w:rPr>
                <w:rFonts w:cs="Times New Roman"/>
                <w:color w:val="000000"/>
                <w:szCs w:val="24"/>
              </w:rPr>
              <w:t>6) Poor customer relationship management skills</w:t>
            </w:r>
          </w:p>
          <w:p>
            <w:pPr>
              <w:widowControl w:val="0"/>
              <w:spacing w:line="240" w:lineRule="auto"/>
              <w:rPr>
                <w:rFonts w:cs="Times New Roman"/>
                <w:color w:val="000000"/>
                <w:szCs w:val="24"/>
              </w:rPr>
            </w:pPr>
            <w:r>
              <w:rPr>
                <w:rFonts w:hint="eastAsia" w:cs="Times New Roman"/>
                <w:color w:val="000000"/>
                <w:szCs w:val="24"/>
                <w:lang w:val="en-US" w:eastAsia="zh-CN"/>
              </w:rPr>
              <w:t>7</w:t>
            </w:r>
            <w:r>
              <w:rPr>
                <w:rFonts w:cs="Times New Roman"/>
                <w:color w:val="000000"/>
                <w:szCs w:val="24"/>
              </w:rPr>
              <w:t>) Limited online capabilities</w:t>
            </w:r>
          </w:p>
        </w:tc>
      </w:tr>
      <w:bookmarkEnd w:id="28"/>
    </w:tbl>
    <w:p>
      <w:pPr>
        <w:jc w:val="center"/>
        <w:rPr>
          <w:rFonts w:cs="Times New Roman"/>
          <w:color w:val="000000"/>
          <w:szCs w:val="24"/>
        </w:rPr>
      </w:pPr>
    </w:p>
    <w:p>
      <w:pPr>
        <w:rPr>
          <w:rFonts w:hint="default" w:eastAsia="等线" w:cs="Times New Roman"/>
          <w:color w:val="000000"/>
          <w:szCs w:val="24"/>
          <w:lang w:val="en-US" w:eastAsia="zh-CN"/>
        </w:rPr>
      </w:pPr>
      <w:r>
        <w:rPr>
          <w:rFonts w:hint="eastAsia" w:cs="Times New Roman"/>
          <w:color w:val="000000"/>
          <w:szCs w:val="24"/>
          <w:lang w:val="en-US" w:eastAsia="zh-CN"/>
        </w:rPr>
        <w:t>Porter</w:t>
      </w:r>
      <w:r>
        <w:rPr>
          <w:rFonts w:hint="default" w:cs="Times New Roman"/>
          <w:color w:val="000000"/>
          <w:szCs w:val="24"/>
          <w:lang w:val="en-US" w:eastAsia="zh-CN"/>
        </w:rPr>
        <w:t>’</w:t>
      </w:r>
      <w:r>
        <w:rPr>
          <w:rFonts w:hint="eastAsia" w:cs="Times New Roman"/>
          <w:color w:val="000000"/>
          <w:szCs w:val="24"/>
          <w:lang w:val="en-US" w:eastAsia="zh-CN"/>
        </w:rPr>
        <w:t>s Five Forces Analysis show that competitive pressure of industry rivalry, buyer</w:t>
      </w:r>
      <w:r>
        <w:rPr>
          <w:rFonts w:hint="default" w:cs="Times New Roman"/>
          <w:color w:val="000000"/>
          <w:szCs w:val="24"/>
          <w:lang w:val="en-US" w:eastAsia="zh-CN"/>
        </w:rPr>
        <w:t>’</w:t>
      </w:r>
      <w:r>
        <w:rPr>
          <w:rFonts w:hint="eastAsia" w:cs="Times New Roman"/>
          <w:color w:val="000000"/>
          <w:szCs w:val="24"/>
          <w:lang w:val="en-US" w:eastAsia="zh-CN"/>
        </w:rPr>
        <w:t xml:space="preserve">s bargaining power, and substitute are high. Therefore it should </w:t>
      </w:r>
      <w:r>
        <w:rPr>
          <w:rFonts w:cs="Times New Roman"/>
          <w:color w:val="000000"/>
          <w:szCs w:val="24"/>
        </w:rPr>
        <w:t xml:space="preserve">making a strategic </w:t>
      </w:r>
      <w:r>
        <w:rPr>
          <w:rFonts w:hint="eastAsia" w:cs="Times New Roman"/>
          <w:color w:val="000000"/>
          <w:szCs w:val="24"/>
          <w:lang w:val="en-US" w:eastAsia="zh-CN"/>
        </w:rPr>
        <w:t>shift</w:t>
      </w:r>
      <w:r>
        <w:rPr>
          <w:rFonts w:cs="Times New Roman"/>
          <w:color w:val="000000"/>
          <w:szCs w:val="24"/>
        </w:rPr>
        <w:t xml:space="preserve"> from cost-leadership to differentiatio</w:t>
      </w:r>
      <w:r>
        <w:rPr>
          <w:rFonts w:hint="eastAsia" w:cs="Times New Roman"/>
          <w:color w:val="000000"/>
          <w:szCs w:val="24"/>
          <w:lang w:val="en-US" w:eastAsia="zh-CN"/>
        </w:rPr>
        <w:t xml:space="preserve">n, both in terms of products and services </w:t>
      </w:r>
      <w:r>
        <w:rPr>
          <w:rFonts w:hint="eastAsia" w:cs="Times New Roman"/>
          <w:bCs/>
          <w:color w:val="000000"/>
          <w:szCs w:val="24"/>
          <w:lang w:val="en-US" w:eastAsia="zh-CN"/>
        </w:rPr>
        <w:t>(</w:t>
      </w:r>
      <w:r>
        <w:rPr>
          <w:rFonts w:cs="Times New Roman"/>
          <w:color w:val="000000"/>
          <w:szCs w:val="24"/>
          <w:lang w:val="en-US" w:eastAsia="zh-CN"/>
        </w:rPr>
        <w:t>Hubbard</w:t>
      </w:r>
      <w:r>
        <w:rPr>
          <w:rFonts w:hint="eastAsia" w:cs="Times New Roman"/>
          <w:color w:val="000000"/>
          <w:szCs w:val="24"/>
          <w:lang w:val="en-US" w:eastAsia="zh-CN"/>
        </w:rPr>
        <w:t xml:space="preserve"> and </w:t>
      </w:r>
      <w:r>
        <w:rPr>
          <w:rFonts w:cs="Times New Roman"/>
          <w:color w:val="000000"/>
          <w:szCs w:val="24"/>
          <w:lang w:val="en-US" w:eastAsia="zh-CN"/>
        </w:rPr>
        <w:t>Beamish</w:t>
      </w:r>
      <w:r>
        <w:rPr>
          <w:rFonts w:hint="eastAsia" w:cs="Times New Roman"/>
          <w:color w:val="000000"/>
          <w:szCs w:val="24"/>
          <w:lang w:val="en-US" w:eastAsia="zh-CN"/>
        </w:rPr>
        <w:t>, 2011)</w:t>
      </w:r>
      <w:r>
        <w:rPr>
          <w:rFonts w:cs="Times New Roman"/>
          <w:color w:val="000000"/>
          <w:szCs w:val="24"/>
        </w:rPr>
        <w:t>.</w:t>
      </w:r>
      <w:r>
        <w:rPr>
          <w:rFonts w:hint="eastAsia" w:cs="Times New Roman"/>
          <w:color w:val="000000"/>
          <w:szCs w:val="24"/>
          <w:lang w:val="en-US" w:eastAsia="zh-CN"/>
        </w:rPr>
        <w:t xml:space="preserve"> In terms of services, SWOT analysis shows that Sainsbury</w:t>
      </w:r>
      <w:r>
        <w:rPr>
          <w:rFonts w:hint="default" w:cs="Times New Roman"/>
          <w:color w:val="000000"/>
          <w:szCs w:val="24"/>
          <w:lang w:val="en-US" w:eastAsia="zh-CN"/>
        </w:rPr>
        <w:t>’</w:t>
      </w:r>
      <w:r>
        <w:rPr>
          <w:rFonts w:hint="eastAsia" w:cs="Times New Roman"/>
          <w:color w:val="000000"/>
          <w:szCs w:val="24"/>
          <w:lang w:val="en-US" w:eastAsia="zh-CN"/>
        </w:rPr>
        <w:t>s is very weak in terms of customer satisfaction (TrustPilot, 2020). Consequently, improvement of customer services should be a primary focus of Sainsbury</w:t>
      </w:r>
      <w:r>
        <w:rPr>
          <w:rFonts w:hint="default" w:cs="Times New Roman"/>
          <w:color w:val="000000"/>
          <w:szCs w:val="24"/>
          <w:lang w:val="en-US" w:eastAsia="zh-CN"/>
        </w:rPr>
        <w:t>’</w:t>
      </w:r>
      <w:r>
        <w:rPr>
          <w:rFonts w:hint="eastAsia" w:cs="Times New Roman"/>
          <w:color w:val="000000"/>
          <w:szCs w:val="24"/>
          <w:lang w:val="en-US" w:eastAsia="zh-CN"/>
        </w:rPr>
        <w:t xml:space="preserve">s. In the aspect of product, its distinctive product range can be leveraged to achieve differentiation. </w:t>
      </w:r>
      <w:r>
        <w:rPr>
          <w:rFonts w:cs="Times New Roman"/>
          <w:color w:val="000000"/>
          <w:szCs w:val="24"/>
        </w:rPr>
        <w:t xml:space="preserve">Meanwhile, </w:t>
      </w:r>
      <w:r>
        <w:rPr>
          <w:rFonts w:hint="eastAsia" w:cs="Times New Roman"/>
          <w:color w:val="000000"/>
          <w:szCs w:val="24"/>
          <w:lang w:val="en-US" w:eastAsia="zh-CN"/>
        </w:rPr>
        <w:t xml:space="preserve">SWOT analysis also showed that </w:t>
      </w:r>
      <w:r>
        <w:rPr>
          <w:rFonts w:cs="Times New Roman"/>
          <w:color w:val="000000"/>
          <w:szCs w:val="24"/>
        </w:rPr>
        <w:t xml:space="preserve">the COVID-19 </w:t>
      </w:r>
      <w:r>
        <w:rPr>
          <w:rFonts w:hint="eastAsia" w:cs="Times New Roman"/>
          <w:color w:val="000000"/>
          <w:szCs w:val="24"/>
          <w:lang w:val="en-US" w:eastAsia="zh-CN"/>
        </w:rPr>
        <w:t>drives the</w:t>
      </w:r>
      <w:r>
        <w:rPr>
          <w:rFonts w:cs="Times New Roman"/>
          <w:color w:val="000000"/>
          <w:szCs w:val="24"/>
        </w:rPr>
        <w:t xml:space="preserve"> demand for </w:t>
      </w:r>
      <w:r>
        <w:rPr>
          <w:rFonts w:hint="eastAsia" w:cs="Times New Roman"/>
          <w:color w:val="000000"/>
          <w:szCs w:val="24"/>
          <w:lang w:eastAsia="zh-CN"/>
        </w:rPr>
        <w:t>grocery</w:t>
      </w:r>
      <w:r>
        <w:rPr>
          <w:rFonts w:cs="Times New Roman"/>
          <w:color w:val="000000"/>
          <w:szCs w:val="24"/>
        </w:rPr>
        <w:t xml:space="preserve"> and supplies</w:t>
      </w:r>
      <w:r>
        <w:rPr>
          <w:rFonts w:hint="eastAsia" w:cs="Times New Roman"/>
          <w:color w:val="000000"/>
          <w:szCs w:val="24"/>
          <w:lang w:val="en-US" w:eastAsia="zh-CN"/>
        </w:rPr>
        <w:t xml:space="preserve"> (The Guardian, 2020)</w:t>
      </w:r>
      <w:r>
        <w:rPr>
          <w:rFonts w:cs="Times New Roman"/>
          <w:color w:val="000000"/>
          <w:szCs w:val="24"/>
        </w:rPr>
        <w:t xml:space="preserve">, and can be utilized as opportunity to </w:t>
      </w:r>
      <w:r>
        <w:rPr>
          <w:rFonts w:hint="eastAsia" w:cs="Times New Roman"/>
          <w:color w:val="000000"/>
          <w:szCs w:val="24"/>
          <w:lang w:val="en-US" w:eastAsia="zh-CN"/>
        </w:rPr>
        <w:t>enhance its online capabilities</w:t>
      </w:r>
      <w:r>
        <w:rPr>
          <w:rFonts w:cs="Times New Roman"/>
          <w:color w:val="000000"/>
          <w:szCs w:val="24"/>
        </w:rPr>
        <w:t xml:space="preserve">. </w:t>
      </w:r>
      <w:bookmarkStart w:id="29" w:name="_Toc39152453"/>
      <w:r>
        <w:rPr>
          <w:rFonts w:hint="eastAsia" w:cs="Times New Roman"/>
          <w:color w:val="000000"/>
          <w:szCs w:val="24"/>
          <w:lang w:val="en-US" w:eastAsia="zh-CN"/>
        </w:rPr>
        <w:t>Amid the COVID-19 pandemic, Sainsbury</w:t>
      </w:r>
      <w:r>
        <w:rPr>
          <w:rFonts w:hint="default" w:cs="Times New Roman"/>
          <w:color w:val="000000"/>
          <w:szCs w:val="24"/>
          <w:lang w:val="en-US" w:eastAsia="zh-CN"/>
        </w:rPr>
        <w:t>’</w:t>
      </w:r>
      <w:r>
        <w:rPr>
          <w:rFonts w:hint="eastAsia" w:cs="Times New Roman"/>
          <w:color w:val="000000"/>
          <w:szCs w:val="24"/>
          <w:lang w:val="en-US" w:eastAsia="zh-CN"/>
        </w:rPr>
        <w:t xml:space="preserve">s can explore opportunities for vertical integration by working with struggling suppliers, and further expand its range of private labels. This can not only lower its supply chain costs, but also helps it achieve product differentiation (McKinsey, 2020). </w:t>
      </w:r>
    </w:p>
    <w:p>
      <w:pPr>
        <w:outlineLvl w:val="1"/>
        <w:rPr>
          <w:rFonts w:ascii="Times New Roman" w:hAnsi="Times New Roman" w:cs="Times New Roman"/>
          <w:b/>
          <w:bCs/>
          <w:color w:val="000000"/>
          <w:sz w:val="24"/>
          <w:szCs w:val="24"/>
        </w:rPr>
      </w:pPr>
      <w:bookmarkStart w:id="30" w:name="_Toc13097"/>
      <w:bookmarkStart w:id="31" w:name="_Toc14279"/>
      <w:r>
        <w:rPr>
          <w:rFonts w:ascii="Times New Roman" w:hAnsi="Times New Roman" w:cs="Times New Roman"/>
          <w:b/>
          <w:bCs/>
          <w:color w:val="000000"/>
          <w:sz w:val="24"/>
          <w:szCs w:val="24"/>
        </w:rPr>
        <w:t>3.2 Customer Reviews</w:t>
      </w:r>
      <w:bookmarkEnd w:id="29"/>
      <w:bookmarkEnd w:id="30"/>
      <w:bookmarkEnd w:id="31"/>
    </w:p>
    <w:p>
      <w:pPr>
        <w:pStyle w:val="4"/>
        <w:spacing w:before="0" w:after="0"/>
        <w:rPr>
          <w:rFonts w:cs="Times New Roman"/>
          <w:color w:val="000000"/>
          <w:sz w:val="24"/>
          <w:szCs w:val="24"/>
        </w:rPr>
      </w:pPr>
      <w:bookmarkStart w:id="32" w:name="_Toc39152454"/>
      <w:bookmarkStart w:id="33" w:name="_Toc4066"/>
      <w:r>
        <w:rPr>
          <w:rFonts w:cs="Times New Roman"/>
          <w:color w:val="000000"/>
          <w:sz w:val="24"/>
          <w:szCs w:val="24"/>
        </w:rPr>
        <w:t>3.2.1 Overall Customer Rating of Sainsbury’s</w:t>
      </w:r>
      <w:bookmarkEnd w:id="32"/>
      <w:bookmarkEnd w:id="33"/>
      <w:r>
        <w:rPr>
          <w:rFonts w:cs="Times New Roman"/>
          <w:color w:val="000000"/>
          <w:sz w:val="24"/>
          <w:szCs w:val="24"/>
        </w:rPr>
        <w:t xml:space="preserve"> </w:t>
      </w:r>
    </w:p>
    <w:p>
      <w:pPr>
        <w:rPr>
          <w:rFonts w:cs="Times New Roman"/>
          <w:bCs/>
          <w:color w:val="000000"/>
          <w:szCs w:val="24"/>
        </w:rPr>
      </w:pPr>
      <w:r>
        <w:rPr>
          <w:rFonts w:cs="Times New Roman"/>
          <w:bCs/>
          <w:color w:val="000000"/>
          <w:szCs w:val="24"/>
        </w:rPr>
        <w:t xml:space="preserve">Graph 1 </w:t>
      </w:r>
      <w:r>
        <w:rPr>
          <w:rFonts w:hint="eastAsia" w:cs="Times New Roman"/>
          <w:bCs/>
          <w:color w:val="000000"/>
          <w:szCs w:val="24"/>
          <w:lang w:val="en-US" w:eastAsia="zh-CN"/>
        </w:rPr>
        <w:t>at</w:t>
      </w:r>
      <w:r>
        <w:rPr>
          <w:rFonts w:cs="Times New Roman"/>
          <w:bCs/>
          <w:color w:val="000000"/>
          <w:szCs w:val="24"/>
        </w:rPr>
        <w:t xml:space="preserve"> below shows the ratings of Sainsbury’s, out of the 3,637 reviews, 67% of the customers rate the service of Sainsbury’s as bad, 10% as poor, 4% as average, 5% as great, and 14% as excellent. Only 19% of the customers are happy with the products and services of Sainsbury’s. </w:t>
      </w:r>
    </w:p>
    <w:p>
      <w:pPr>
        <w:jc w:val="center"/>
        <w:rPr>
          <w:rFonts w:cs="Times New Roman"/>
          <w:b/>
          <w:bCs/>
          <w:color w:val="000000"/>
          <w:szCs w:val="24"/>
        </w:rPr>
      </w:pPr>
      <w:r>
        <w:rPr>
          <w:rFonts w:cs="Times New Roman"/>
          <w:b/>
          <w:bCs/>
          <w:color w:val="000000"/>
          <w:szCs w:val="24"/>
        </w:rPr>
        <w:t>Graph 1 Customer Rating of Sainsbury’s on Trustpilot (Percentage)</w:t>
      </w:r>
    </w:p>
    <w:p>
      <w:pPr>
        <w:jc w:val="center"/>
        <w:rPr>
          <w:rFonts w:cs="Times New Roman"/>
          <w:color w:val="000000"/>
          <w:szCs w:val="24"/>
        </w:rPr>
      </w:pPr>
      <w:r>
        <w:rPr>
          <w:rFonts w:cs="Times New Roman"/>
          <w:color w:val="000000"/>
          <w:szCs w:val="24"/>
        </w:rPr>
        <w:object>
          <v:shape id="_x0000_i1025" o:spt="75" type="#_x0000_t75" style="height:158.4pt;width:321.6pt;" o:ole="t" filled="f" stroked="f" coordsize="21600,21600" o:gfxdata="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">
            <v:path/>
            <v:fill on="f" focussize="0,0"/>
            <v:stroke on="f"/>
            <v:imagedata r:id="rId10" o:title=""/>
            <o:lock v:ext="edit" aspectratio="t"/>
            <w10:wrap type="none"/>
            <w10:anchorlock/>
          </v:shape>
          <o:OLEObject Type="Embed" ProgID="excel.sheet.8" ShapeID="_x0000_i1025" DrawAspect="Content" ObjectID="_1468075725" r:id="rId9">
            <o:LockedField>false</o:LockedField>
          </o:OLEObject>
        </w:object>
      </w:r>
    </w:p>
    <w:p>
      <w:pPr>
        <w:tabs>
          <w:tab w:val="left" w:pos="5190"/>
        </w:tabs>
        <w:jc w:val="center"/>
        <w:rPr>
          <w:rFonts w:hint="default" w:eastAsia="等线" w:cs="Times New Roman"/>
          <w:color w:val="000000"/>
          <w:szCs w:val="24"/>
          <w:lang w:val="en-US" w:eastAsia="zh-CN"/>
        </w:rPr>
      </w:pPr>
      <w:r>
        <w:rPr>
          <w:rFonts w:hint="eastAsia" w:cs="Times New Roman"/>
          <w:color w:val="000000"/>
          <w:szCs w:val="24"/>
          <w:lang w:val="en-US" w:eastAsia="zh-CN"/>
        </w:rPr>
        <w:t>Source TrustPilot, 2020</w:t>
      </w:r>
    </w:p>
    <w:p>
      <w:pPr>
        <w:tabs>
          <w:tab w:val="left" w:pos="5190"/>
        </w:tabs>
        <w:rPr>
          <w:rFonts w:cs="Times New Roman"/>
          <w:color w:val="000000"/>
          <w:szCs w:val="24"/>
        </w:rPr>
      </w:pPr>
      <w:r>
        <w:rPr>
          <w:rFonts w:cs="Times New Roman"/>
          <w:color w:val="000000"/>
          <w:szCs w:val="24"/>
        </w:rPr>
        <w:t xml:space="preserve">Graph 2 at blow shows customer ratings of four leading supermarket in the United Kingdom, which are Tesco, Morrisons, Asda and Sainsbury’s. The percentage of customers who are happy with the service of the supermarket is 46% at Morrison, 36% at Tesco, and 19% at Asda and Sainsbury’s respectively. It shows that among all leading supermarkets in the United Kingdom, Sainsbury’s has the lowest level of customer satisfaction. </w:t>
      </w:r>
    </w:p>
    <w:p>
      <w:pPr>
        <w:tabs>
          <w:tab w:val="left" w:pos="5190"/>
        </w:tabs>
        <w:rPr>
          <w:rFonts w:cs="Times New Roman"/>
          <w:color w:val="000000"/>
          <w:szCs w:val="24"/>
        </w:rPr>
      </w:pPr>
      <w:r>
        <w:rPr>
          <w:rFonts w:cs="Times New Roman"/>
          <w:color w:val="000000"/>
          <w:szCs w:val="24"/>
        </w:rPr>
        <w:t>Figure 2 Percentage of Happy Customers</w:t>
      </w:r>
    </w:p>
    <w:p>
      <w:pPr>
        <w:tabs>
          <w:tab w:val="left" w:pos="5190"/>
        </w:tabs>
        <w:jc w:val="center"/>
        <w:rPr>
          <w:rFonts w:cs="Times New Roman"/>
          <w:color w:val="000000"/>
          <w:szCs w:val="24"/>
        </w:rPr>
      </w:pPr>
      <w:r>
        <w:rPr>
          <w:rFonts w:cs="Times New Roman"/>
          <w:color w:val="000000"/>
          <w:szCs w:val="24"/>
        </w:rPr>
        <w:object>
          <v:shape id="_x0000_i1026" o:spt="75" type="#_x0000_t75" style="height:160.8pt;width:264pt;" o:ole="t" filled="f" stroked="f" coordsize="21600,21600" o:gfxdata="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">
            <v:path/>
            <v:fill on="f" focussize="0,0"/>
            <v:stroke on="f"/>
            <v:imagedata r:id="rId12" o:title=""/>
            <o:lock v:ext="edit" aspectratio="t"/>
            <w10:wrap type="none"/>
            <w10:anchorlock/>
          </v:shape>
          <o:OLEObject Type="Embed" ProgID="excel.sheet.8" ShapeID="_x0000_i1026" DrawAspect="Content" ObjectID="_1468075726" r:id="rId11">
            <o:LockedField>false</o:LockedField>
          </o:OLEObject>
        </w:object>
      </w:r>
    </w:p>
    <w:p>
      <w:pPr>
        <w:jc w:val="center"/>
        <w:rPr>
          <w:rFonts w:hint="default" w:eastAsia="等线" w:cs="Times New Roman"/>
          <w:color w:val="000000"/>
          <w:szCs w:val="24"/>
          <w:lang w:val="en-US" w:eastAsia="zh-CN"/>
        </w:rPr>
      </w:pPr>
      <w:r>
        <w:rPr>
          <w:rFonts w:hint="eastAsia" w:cs="Times New Roman"/>
          <w:color w:val="000000"/>
          <w:szCs w:val="24"/>
          <w:lang w:val="en-US" w:eastAsia="zh-CN"/>
        </w:rPr>
        <w:t>Source TrustPilot 2020.</w:t>
      </w:r>
    </w:p>
    <w:p>
      <w:pPr>
        <w:rPr>
          <w:rFonts w:cs="Times New Roman"/>
          <w:color w:val="000000"/>
          <w:szCs w:val="24"/>
        </w:rPr>
      </w:pPr>
      <w:r>
        <w:rPr>
          <w:rFonts w:cs="Times New Roman"/>
          <w:color w:val="000000"/>
          <w:szCs w:val="24"/>
        </w:rPr>
        <w:t xml:space="preserve">These results are similar to a report of BBC News (2018) which stated that, according to the results of customer survey, Sainsbury’s ranked the lowest among all nine major supermarkets, with a customer satisfaction rate of 62%, 12% lower than Aldi’s 74%. </w:t>
      </w:r>
    </w:p>
    <w:p>
      <w:pPr>
        <w:pStyle w:val="4"/>
        <w:spacing w:before="0" w:after="0"/>
        <w:rPr>
          <w:rFonts w:cs="Times New Roman"/>
          <w:color w:val="000000"/>
          <w:sz w:val="24"/>
          <w:szCs w:val="24"/>
        </w:rPr>
      </w:pPr>
      <w:bookmarkStart w:id="34" w:name="_Toc25949"/>
      <w:bookmarkStart w:id="35" w:name="_Toc39152455"/>
      <w:r>
        <w:rPr>
          <w:rFonts w:cs="Times New Roman"/>
          <w:color w:val="000000"/>
          <w:sz w:val="24"/>
          <w:szCs w:val="24"/>
        </w:rPr>
        <w:t>3.2.2 Poor Service</w:t>
      </w:r>
      <w:bookmarkEnd w:id="34"/>
      <w:bookmarkEnd w:id="35"/>
    </w:p>
    <w:p>
      <w:pPr>
        <w:rPr>
          <w:rFonts w:cs="Times New Roman"/>
          <w:bCs/>
          <w:color w:val="000000"/>
          <w:szCs w:val="24"/>
        </w:rPr>
      </w:pPr>
      <w:r>
        <w:rPr>
          <w:rFonts w:cs="Times New Roman"/>
          <w:bCs/>
          <w:color w:val="000000"/>
          <w:szCs w:val="24"/>
        </w:rPr>
        <w:t xml:space="preserve">Out of the 257 reviews posted on Trustpilot from March 21 and April 21 of 2020, 138 reviews were concerned with the poor service received at Sainsbury’s. As shown in Table 1 at below, the main reasons of complaint are listed, such as bad attitudes from managers and employees (42 reviews), bad management (18 reviews), lack of respect to elderly customers (13 reviews), not letting family members shop together (8 reviews), and being over charged (5 reviews). </w:t>
      </w:r>
    </w:p>
    <w:p>
      <w:pPr>
        <w:jc w:val="center"/>
        <w:rPr>
          <w:rFonts w:cs="Times New Roman"/>
          <w:b/>
          <w:bCs/>
          <w:color w:val="000000"/>
          <w:szCs w:val="24"/>
        </w:rPr>
      </w:pPr>
      <w:r>
        <w:rPr>
          <w:rFonts w:cs="Times New Roman"/>
          <w:b/>
          <w:bCs/>
          <w:color w:val="000000"/>
          <w:szCs w:val="24"/>
        </w:rPr>
        <w:t>Table 1 Complaints of Services among All Complaints</w:t>
      </w:r>
    </w:p>
    <w:tbl>
      <w:tblPr>
        <w:tblStyle w:val="1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361"/>
        <w:gridCol w:w="2268"/>
        <w:gridCol w:w="189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361" w:type="dxa"/>
            <w:noWrap w:val="0"/>
            <w:vAlign w:val="top"/>
          </w:tcPr>
          <w:p>
            <w:pPr>
              <w:widowControl w:val="0"/>
              <w:rPr>
                <w:rFonts w:cs="Times New Roman"/>
                <w:bCs/>
                <w:color w:val="000000"/>
                <w:szCs w:val="24"/>
              </w:rPr>
            </w:pPr>
            <w:r>
              <w:rPr>
                <w:rFonts w:cs="Times New Roman"/>
                <w:bCs/>
                <w:color w:val="000000"/>
                <w:szCs w:val="24"/>
              </w:rPr>
              <w:t>Causes of Complaint</w:t>
            </w:r>
          </w:p>
        </w:tc>
        <w:tc>
          <w:tcPr>
            <w:tcW w:w="2268" w:type="dxa"/>
            <w:noWrap w:val="0"/>
            <w:vAlign w:val="top"/>
          </w:tcPr>
          <w:p>
            <w:pPr>
              <w:widowControl w:val="0"/>
              <w:rPr>
                <w:rFonts w:cs="Times New Roman"/>
                <w:bCs/>
                <w:color w:val="000000"/>
                <w:szCs w:val="24"/>
              </w:rPr>
            </w:pPr>
            <w:r>
              <w:rPr>
                <w:rFonts w:cs="Times New Roman"/>
                <w:bCs/>
                <w:color w:val="000000"/>
                <w:szCs w:val="24"/>
              </w:rPr>
              <w:t xml:space="preserve">Number of Negative Reviews </w:t>
            </w:r>
          </w:p>
        </w:tc>
        <w:tc>
          <w:tcPr>
            <w:tcW w:w="1893" w:type="dxa"/>
            <w:noWrap w:val="0"/>
            <w:vAlign w:val="top"/>
          </w:tcPr>
          <w:p>
            <w:pPr>
              <w:widowControl w:val="0"/>
              <w:rPr>
                <w:rFonts w:cs="Times New Roman"/>
                <w:bCs/>
                <w:color w:val="000000"/>
                <w:szCs w:val="24"/>
              </w:rPr>
            </w:pPr>
            <w:r>
              <w:rPr>
                <w:rFonts w:cs="Times New Roman"/>
                <w:bCs/>
                <w:color w:val="000000"/>
                <w:szCs w:val="24"/>
              </w:rPr>
              <w:t>Percentage (out of 138)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361" w:type="dxa"/>
            <w:noWrap w:val="0"/>
            <w:vAlign w:val="top"/>
          </w:tcPr>
          <w:p>
            <w:pPr>
              <w:widowControl w:val="0"/>
              <w:rPr>
                <w:rFonts w:cs="Times New Roman"/>
                <w:bCs/>
                <w:color w:val="000000"/>
                <w:szCs w:val="24"/>
              </w:rPr>
            </w:pPr>
            <w:r>
              <w:rPr>
                <w:rFonts w:cs="Times New Roman"/>
                <w:bCs/>
                <w:color w:val="000000"/>
                <w:szCs w:val="24"/>
              </w:rPr>
              <w:t>Bad Employee Attitudes</w:t>
            </w:r>
          </w:p>
        </w:tc>
        <w:tc>
          <w:tcPr>
            <w:tcW w:w="2268" w:type="dxa"/>
            <w:noWrap w:val="0"/>
            <w:vAlign w:val="top"/>
          </w:tcPr>
          <w:p>
            <w:pPr>
              <w:widowControl w:val="0"/>
              <w:rPr>
                <w:rFonts w:cs="Times New Roman"/>
                <w:bCs/>
                <w:color w:val="000000"/>
                <w:szCs w:val="24"/>
              </w:rPr>
            </w:pPr>
            <w:r>
              <w:rPr>
                <w:rFonts w:cs="Times New Roman"/>
                <w:bCs/>
                <w:color w:val="000000"/>
                <w:szCs w:val="24"/>
              </w:rPr>
              <w:t>42</w:t>
            </w:r>
          </w:p>
        </w:tc>
        <w:tc>
          <w:tcPr>
            <w:tcW w:w="1893" w:type="dxa"/>
            <w:noWrap w:val="0"/>
            <w:vAlign w:val="top"/>
          </w:tcPr>
          <w:p>
            <w:pPr>
              <w:widowControl w:val="0"/>
              <w:rPr>
                <w:rFonts w:cs="Times New Roman"/>
                <w:bCs/>
                <w:color w:val="000000"/>
                <w:szCs w:val="24"/>
              </w:rPr>
            </w:pPr>
            <w:r>
              <w:rPr>
                <w:rFonts w:cs="Times New Roman"/>
                <w:bCs/>
                <w:color w:val="000000"/>
                <w:szCs w:val="24"/>
              </w:rPr>
              <w:t>30.4%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361" w:type="dxa"/>
            <w:noWrap w:val="0"/>
            <w:vAlign w:val="top"/>
          </w:tcPr>
          <w:p>
            <w:pPr>
              <w:widowControl w:val="0"/>
              <w:rPr>
                <w:rFonts w:cs="Times New Roman"/>
                <w:bCs/>
                <w:color w:val="000000"/>
                <w:szCs w:val="24"/>
              </w:rPr>
            </w:pPr>
            <w:r>
              <w:rPr>
                <w:rFonts w:cs="Times New Roman"/>
                <w:bCs/>
                <w:color w:val="000000"/>
                <w:szCs w:val="24"/>
              </w:rPr>
              <w:t>Bad Management (Long Q</w:t>
            </w:r>
          </w:p>
        </w:tc>
        <w:tc>
          <w:tcPr>
            <w:tcW w:w="2268" w:type="dxa"/>
            <w:noWrap w:val="0"/>
            <w:vAlign w:val="top"/>
          </w:tcPr>
          <w:p>
            <w:pPr>
              <w:widowControl w:val="0"/>
              <w:rPr>
                <w:rFonts w:cs="Times New Roman"/>
                <w:bCs/>
                <w:color w:val="000000"/>
                <w:szCs w:val="24"/>
              </w:rPr>
            </w:pPr>
            <w:r>
              <w:rPr>
                <w:rFonts w:cs="Times New Roman"/>
                <w:bCs/>
                <w:color w:val="000000"/>
                <w:szCs w:val="24"/>
              </w:rPr>
              <w:t>18</w:t>
            </w:r>
          </w:p>
        </w:tc>
        <w:tc>
          <w:tcPr>
            <w:tcW w:w="1893" w:type="dxa"/>
            <w:noWrap w:val="0"/>
            <w:vAlign w:val="top"/>
          </w:tcPr>
          <w:p>
            <w:pPr>
              <w:widowControl w:val="0"/>
              <w:rPr>
                <w:rFonts w:cs="Times New Roman"/>
                <w:bCs/>
                <w:color w:val="000000"/>
                <w:szCs w:val="24"/>
              </w:rPr>
            </w:pPr>
            <w:r>
              <w:rPr>
                <w:rFonts w:cs="Times New Roman"/>
                <w:bCs/>
                <w:color w:val="000000"/>
                <w:szCs w:val="24"/>
              </w:rPr>
              <w:t>13%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361" w:type="dxa"/>
            <w:noWrap w:val="0"/>
            <w:vAlign w:val="top"/>
          </w:tcPr>
          <w:p>
            <w:pPr>
              <w:widowControl w:val="0"/>
              <w:rPr>
                <w:rFonts w:cs="Times New Roman"/>
                <w:bCs/>
                <w:color w:val="000000"/>
                <w:szCs w:val="24"/>
              </w:rPr>
            </w:pPr>
            <w:r>
              <w:rPr>
                <w:rFonts w:cs="Times New Roman"/>
                <w:bCs/>
                <w:color w:val="000000"/>
                <w:szCs w:val="24"/>
              </w:rPr>
              <w:t>Lack of Respect to the Elderly</w:t>
            </w:r>
          </w:p>
        </w:tc>
        <w:tc>
          <w:tcPr>
            <w:tcW w:w="2268" w:type="dxa"/>
            <w:noWrap w:val="0"/>
            <w:vAlign w:val="top"/>
          </w:tcPr>
          <w:p>
            <w:pPr>
              <w:widowControl w:val="0"/>
              <w:rPr>
                <w:rFonts w:cs="Times New Roman"/>
                <w:bCs/>
                <w:color w:val="000000"/>
                <w:szCs w:val="24"/>
              </w:rPr>
            </w:pPr>
            <w:r>
              <w:rPr>
                <w:rFonts w:cs="Times New Roman"/>
                <w:bCs/>
                <w:color w:val="000000"/>
                <w:szCs w:val="24"/>
              </w:rPr>
              <w:t>13</w:t>
            </w:r>
          </w:p>
        </w:tc>
        <w:tc>
          <w:tcPr>
            <w:tcW w:w="1893" w:type="dxa"/>
            <w:noWrap w:val="0"/>
            <w:vAlign w:val="top"/>
          </w:tcPr>
          <w:p>
            <w:pPr>
              <w:widowControl w:val="0"/>
              <w:rPr>
                <w:rFonts w:cs="Times New Roman"/>
                <w:bCs/>
                <w:color w:val="000000"/>
                <w:szCs w:val="24"/>
              </w:rPr>
            </w:pPr>
            <w:r>
              <w:rPr>
                <w:rFonts w:cs="Times New Roman"/>
                <w:bCs/>
                <w:color w:val="000000"/>
                <w:szCs w:val="24"/>
              </w:rPr>
              <w:t>9.4%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361" w:type="dxa"/>
            <w:noWrap w:val="0"/>
            <w:vAlign w:val="top"/>
          </w:tcPr>
          <w:p>
            <w:pPr>
              <w:widowControl w:val="0"/>
              <w:rPr>
                <w:rFonts w:cs="Times New Roman"/>
                <w:bCs/>
                <w:color w:val="000000"/>
                <w:szCs w:val="24"/>
              </w:rPr>
            </w:pPr>
            <w:r>
              <w:rPr>
                <w:rFonts w:cs="Times New Roman"/>
                <w:bCs/>
                <w:color w:val="000000"/>
                <w:szCs w:val="24"/>
              </w:rPr>
              <w:t>Not Letting Family Shop Together</w:t>
            </w:r>
          </w:p>
        </w:tc>
        <w:tc>
          <w:tcPr>
            <w:tcW w:w="2268" w:type="dxa"/>
            <w:noWrap w:val="0"/>
            <w:vAlign w:val="top"/>
          </w:tcPr>
          <w:p>
            <w:pPr>
              <w:widowControl w:val="0"/>
              <w:rPr>
                <w:rFonts w:cs="Times New Roman"/>
                <w:bCs/>
                <w:color w:val="000000"/>
                <w:szCs w:val="24"/>
              </w:rPr>
            </w:pPr>
            <w:r>
              <w:rPr>
                <w:rFonts w:cs="Times New Roman"/>
                <w:bCs/>
                <w:color w:val="000000"/>
                <w:szCs w:val="24"/>
              </w:rPr>
              <w:t>8</w:t>
            </w:r>
          </w:p>
        </w:tc>
        <w:tc>
          <w:tcPr>
            <w:tcW w:w="1893" w:type="dxa"/>
            <w:noWrap w:val="0"/>
            <w:vAlign w:val="top"/>
          </w:tcPr>
          <w:p>
            <w:pPr>
              <w:widowControl w:val="0"/>
              <w:rPr>
                <w:rFonts w:cs="Times New Roman"/>
                <w:bCs/>
                <w:color w:val="000000"/>
                <w:szCs w:val="24"/>
              </w:rPr>
            </w:pPr>
            <w:r>
              <w:rPr>
                <w:rFonts w:cs="Times New Roman"/>
                <w:bCs/>
                <w:color w:val="000000"/>
                <w:szCs w:val="24"/>
              </w:rPr>
              <w:t>5.8%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361" w:type="dxa"/>
            <w:noWrap w:val="0"/>
            <w:vAlign w:val="top"/>
          </w:tcPr>
          <w:p>
            <w:pPr>
              <w:widowControl w:val="0"/>
              <w:rPr>
                <w:rFonts w:cs="Times New Roman"/>
                <w:bCs/>
                <w:color w:val="000000"/>
                <w:szCs w:val="24"/>
              </w:rPr>
            </w:pPr>
            <w:r>
              <w:rPr>
                <w:rFonts w:cs="Times New Roman"/>
                <w:bCs/>
                <w:color w:val="000000"/>
                <w:szCs w:val="24"/>
              </w:rPr>
              <w:t xml:space="preserve">Overcharged </w:t>
            </w:r>
          </w:p>
        </w:tc>
        <w:tc>
          <w:tcPr>
            <w:tcW w:w="2268" w:type="dxa"/>
            <w:noWrap w:val="0"/>
            <w:vAlign w:val="top"/>
          </w:tcPr>
          <w:p>
            <w:pPr>
              <w:widowControl w:val="0"/>
              <w:rPr>
                <w:rFonts w:cs="Times New Roman"/>
                <w:bCs/>
                <w:color w:val="000000"/>
                <w:szCs w:val="24"/>
              </w:rPr>
            </w:pPr>
            <w:r>
              <w:rPr>
                <w:rFonts w:cs="Times New Roman"/>
                <w:bCs/>
                <w:color w:val="000000"/>
                <w:szCs w:val="24"/>
              </w:rPr>
              <w:t>5</w:t>
            </w:r>
          </w:p>
        </w:tc>
        <w:tc>
          <w:tcPr>
            <w:tcW w:w="1893" w:type="dxa"/>
            <w:noWrap w:val="0"/>
            <w:vAlign w:val="top"/>
          </w:tcPr>
          <w:p>
            <w:pPr>
              <w:widowControl w:val="0"/>
              <w:rPr>
                <w:rFonts w:cs="Times New Roman"/>
                <w:bCs/>
                <w:color w:val="000000"/>
                <w:szCs w:val="24"/>
              </w:rPr>
            </w:pPr>
            <w:r>
              <w:rPr>
                <w:rFonts w:cs="Times New Roman"/>
                <w:bCs/>
                <w:color w:val="000000"/>
                <w:szCs w:val="24"/>
              </w:rPr>
              <w:t>3.6%</w:t>
            </w:r>
          </w:p>
        </w:tc>
      </w:tr>
    </w:tbl>
    <w:p>
      <w:pPr>
        <w:jc w:val="center"/>
        <w:rPr>
          <w:rFonts w:hint="default" w:eastAsia="等线" w:cs="Times New Roman"/>
          <w:bCs/>
          <w:color w:val="000000"/>
          <w:szCs w:val="24"/>
          <w:lang w:val="en-US" w:eastAsia="zh-CN"/>
        </w:rPr>
      </w:pPr>
      <w:r>
        <w:rPr>
          <w:rFonts w:hint="eastAsia" w:cs="Times New Roman"/>
          <w:bCs/>
          <w:color w:val="000000"/>
          <w:szCs w:val="24"/>
          <w:lang w:val="en-US" w:eastAsia="zh-CN"/>
        </w:rPr>
        <w:t>Source TrustPilot, 2020</w:t>
      </w:r>
    </w:p>
    <w:p>
      <w:pPr>
        <w:rPr>
          <w:rFonts w:cs="Times New Roman"/>
          <w:bCs/>
          <w:color w:val="000000"/>
          <w:szCs w:val="24"/>
        </w:rPr>
      </w:pPr>
    </w:p>
    <w:p>
      <w:pPr>
        <w:rPr>
          <w:rFonts w:cs="Times New Roman"/>
          <w:bCs/>
          <w:color w:val="000000"/>
          <w:szCs w:val="24"/>
        </w:rPr>
      </w:pPr>
      <w:r>
        <w:rPr>
          <w:rFonts w:cs="Times New Roman"/>
          <w:bCs/>
          <w:color w:val="000000"/>
          <w:szCs w:val="24"/>
        </w:rPr>
        <w:t xml:space="preserve">Meanwhile, it should be noticed that 46 of the 138 reviews were concerned with online services of Sainsbury’s. Out of these 46 reviews (33.3%), 18 reviews concerned with getting delivery slots, 16 reviews concerned with missing items, 8 of these 16 reviews says that they did not receive refund for the missing items. </w:t>
      </w:r>
    </w:p>
    <w:p>
      <w:pPr>
        <w:jc w:val="center"/>
        <w:rPr>
          <w:rFonts w:cs="Times New Roman"/>
          <w:b/>
          <w:color w:val="000000"/>
          <w:szCs w:val="24"/>
        </w:rPr>
      </w:pPr>
      <w:r>
        <w:rPr>
          <w:rFonts w:cs="Times New Roman"/>
          <w:b/>
          <w:color w:val="000000"/>
          <w:szCs w:val="24"/>
        </w:rPr>
        <w:t>Table 2 Negative Reviews on Online Service Delivery</w:t>
      </w:r>
    </w:p>
    <w:tbl>
      <w:tblPr>
        <w:tblStyle w:val="1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085"/>
        <w:gridCol w:w="2596"/>
        <w:gridCol w:w="284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085" w:type="dxa"/>
            <w:noWrap w:val="0"/>
            <w:vAlign w:val="top"/>
          </w:tcPr>
          <w:p>
            <w:pPr>
              <w:widowControl w:val="0"/>
              <w:spacing w:line="240" w:lineRule="auto"/>
              <w:jc w:val="center"/>
              <w:rPr>
                <w:rFonts w:cs="Times New Roman"/>
                <w:bCs/>
                <w:color w:val="000000"/>
                <w:szCs w:val="24"/>
              </w:rPr>
            </w:pPr>
            <w:r>
              <w:rPr>
                <w:rFonts w:cs="Times New Roman"/>
                <w:bCs/>
                <w:color w:val="000000"/>
                <w:szCs w:val="24"/>
              </w:rPr>
              <w:t>Cause of Complaints</w:t>
            </w:r>
          </w:p>
        </w:tc>
        <w:tc>
          <w:tcPr>
            <w:tcW w:w="2596" w:type="dxa"/>
            <w:noWrap w:val="0"/>
            <w:vAlign w:val="top"/>
          </w:tcPr>
          <w:p>
            <w:pPr>
              <w:widowControl w:val="0"/>
              <w:spacing w:line="240" w:lineRule="auto"/>
              <w:jc w:val="center"/>
              <w:rPr>
                <w:rFonts w:cs="Times New Roman"/>
                <w:bCs/>
                <w:color w:val="000000"/>
                <w:szCs w:val="24"/>
              </w:rPr>
            </w:pPr>
            <w:r>
              <w:rPr>
                <w:rFonts w:cs="Times New Roman"/>
                <w:bCs/>
                <w:color w:val="000000"/>
                <w:szCs w:val="24"/>
              </w:rPr>
              <w:t xml:space="preserve">Number of Negative Reviews </w:t>
            </w:r>
          </w:p>
        </w:tc>
        <w:tc>
          <w:tcPr>
            <w:tcW w:w="2841" w:type="dxa"/>
            <w:noWrap w:val="0"/>
            <w:vAlign w:val="top"/>
          </w:tcPr>
          <w:p>
            <w:pPr>
              <w:widowControl w:val="0"/>
              <w:spacing w:line="240" w:lineRule="auto"/>
              <w:jc w:val="center"/>
              <w:rPr>
                <w:rFonts w:cs="Times New Roman"/>
                <w:bCs/>
                <w:color w:val="000000"/>
                <w:szCs w:val="24"/>
              </w:rPr>
            </w:pPr>
            <w:r>
              <w:rPr>
                <w:rFonts w:cs="Times New Roman"/>
                <w:bCs/>
                <w:color w:val="000000"/>
                <w:szCs w:val="24"/>
              </w:rPr>
              <w:t>Percentage (Out of 138)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085" w:type="dxa"/>
            <w:noWrap w:val="0"/>
            <w:vAlign w:val="top"/>
          </w:tcPr>
          <w:p>
            <w:pPr>
              <w:widowControl w:val="0"/>
              <w:spacing w:line="240" w:lineRule="auto"/>
              <w:jc w:val="center"/>
              <w:rPr>
                <w:rFonts w:cs="Times New Roman"/>
                <w:bCs/>
                <w:color w:val="000000"/>
                <w:szCs w:val="24"/>
              </w:rPr>
            </w:pPr>
            <w:r>
              <w:rPr>
                <w:rFonts w:cs="Times New Roman"/>
                <w:bCs/>
                <w:color w:val="000000"/>
                <w:szCs w:val="24"/>
              </w:rPr>
              <w:t>Difficult to Get Delivery Slots</w:t>
            </w:r>
          </w:p>
        </w:tc>
        <w:tc>
          <w:tcPr>
            <w:tcW w:w="2596" w:type="dxa"/>
            <w:noWrap w:val="0"/>
            <w:vAlign w:val="top"/>
          </w:tcPr>
          <w:p>
            <w:pPr>
              <w:widowControl w:val="0"/>
              <w:spacing w:line="240" w:lineRule="auto"/>
              <w:jc w:val="center"/>
              <w:rPr>
                <w:rFonts w:cs="Times New Roman"/>
                <w:bCs/>
                <w:color w:val="000000"/>
                <w:szCs w:val="24"/>
              </w:rPr>
            </w:pPr>
            <w:r>
              <w:rPr>
                <w:rFonts w:cs="Times New Roman"/>
                <w:bCs/>
                <w:color w:val="000000"/>
                <w:szCs w:val="24"/>
              </w:rPr>
              <w:t>18</w:t>
            </w:r>
          </w:p>
        </w:tc>
        <w:tc>
          <w:tcPr>
            <w:tcW w:w="2841" w:type="dxa"/>
            <w:noWrap w:val="0"/>
            <w:vAlign w:val="top"/>
          </w:tcPr>
          <w:p>
            <w:pPr>
              <w:widowControl w:val="0"/>
              <w:spacing w:line="240" w:lineRule="auto"/>
              <w:jc w:val="center"/>
              <w:rPr>
                <w:rFonts w:cs="Times New Roman"/>
                <w:bCs/>
                <w:color w:val="000000"/>
                <w:szCs w:val="24"/>
              </w:rPr>
            </w:pPr>
            <w:r>
              <w:rPr>
                <w:rFonts w:cs="Times New Roman"/>
                <w:bCs/>
                <w:color w:val="000000"/>
                <w:szCs w:val="24"/>
              </w:rPr>
              <w:t>13%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085" w:type="dxa"/>
            <w:noWrap w:val="0"/>
            <w:vAlign w:val="top"/>
          </w:tcPr>
          <w:p>
            <w:pPr>
              <w:widowControl w:val="0"/>
              <w:spacing w:line="240" w:lineRule="auto"/>
              <w:jc w:val="center"/>
              <w:rPr>
                <w:rFonts w:cs="Times New Roman"/>
                <w:bCs/>
                <w:color w:val="000000"/>
                <w:szCs w:val="24"/>
              </w:rPr>
            </w:pPr>
            <w:r>
              <w:rPr>
                <w:rFonts w:cs="Times New Roman"/>
                <w:bCs/>
                <w:color w:val="000000"/>
                <w:szCs w:val="24"/>
              </w:rPr>
              <w:t>Mission Items</w:t>
            </w:r>
          </w:p>
        </w:tc>
        <w:tc>
          <w:tcPr>
            <w:tcW w:w="2596" w:type="dxa"/>
            <w:noWrap w:val="0"/>
            <w:vAlign w:val="top"/>
          </w:tcPr>
          <w:p>
            <w:pPr>
              <w:widowControl w:val="0"/>
              <w:spacing w:line="240" w:lineRule="auto"/>
              <w:jc w:val="center"/>
              <w:rPr>
                <w:rFonts w:cs="Times New Roman"/>
                <w:bCs/>
                <w:color w:val="000000"/>
                <w:szCs w:val="24"/>
              </w:rPr>
            </w:pPr>
            <w:r>
              <w:rPr>
                <w:rFonts w:cs="Times New Roman"/>
                <w:bCs/>
                <w:color w:val="000000"/>
                <w:szCs w:val="24"/>
              </w:rPr>
              <w:t>16</w:t>
            </w:r>
          </w:p>
        </w:tc>
        <w:tc>
          <w:tcPr>
            <w:tcW w:w="2841" w:type="dxa"/>
            <w:noWrap w:val="0"/>
            <w:vAlign w:val="top"/>
          </w:tcPr>
          <w:p>
            <w:pPr>
              <w:widowControl w:val="0"/>
              <w:spacing w:line="240" w:lineRule="auto"/>
              <w:jc w:val="center"/>
              <w:rPr>
                <w:rFonts w:cs="Times New Roman"/>
                <w:bCs/>
                <w:color w:val="000000"/>
                <w:szCs w:val="24"/>
              </w:rPr>
            </w:pPr>
            <w:r>
              <w:rPr>
                <w:rFonts w:cs="Times New Roman"/>
                <w:bCs/>
                <w:color w:val="000000"/>
                <w:szCs w:val="24"/>
              </w:rPr>
              <w:t>11.6%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085" w:type="dxa"/>
            <w:noWrap w:val="0"/>
            <w:vAlign w:val="top"/>
          </w:tcPr>
          <w:p>
            <w:pPr>
              <w:widowControl w:val="0"/>
              <w:spacing w:line="240" w:lineRule="auto"/>
              <w:jc w:val="center"/>
              <w:rPr>
                <w:rFonts w:cs="Times New Roman"/>
                <w:bCs/>
                <w:color w:val="000000"/>
                <w:szCs w:val="24"/>
              </w:rPr>
            </w:pPr>
            <w:r>
              <w:rPr>
                <w:rFonts w:cs="Times New Roman"/>
                <w:bCs/>
                <w:color w:val="000000"/>
                <w:szCs w:val="24"/>
              </w:rPr>
              <w:t>Not Receiving Refund for the Mission Items</w:t>
            </w:r>
          </w:p>
        </w:tc>
        <w:tc>
          <w:tcPr>
            <w:tcW w:w="2596" w:type="dxa"/>
            <w:noWrap w:val="0"/>
            <w:vAlign w:val="top"/>
          </w:tcPr>
          <w:p>
            <w:pPr>
              <w:widowControl w:val="0"/>
              <w:spacing w:line="240" w:lineRule="auto"/>
              <w:jc w:val="center"/>
              <w:rPr>
                <w:rFonts w:cs="Times New Roman"/>
                <w:bCs/>
                <w:color w:val="000000"/>
                <w:szCs w:val="24"/>
              </w:rPr>
            </w:pPr>
            <w:r>
              <w:rPr>
                <w:rFonts w:cs="Times New Roman"/>
                <w:bCs/>
                <w:color w:val="000000"/>
                <w:szCs w:val="24"/>
              </w:rPr>
              <w:t>8</w:t>
            </w:r>
          </w:p>
        </w:tc>
        <w:tc>
          <w:tcPr>
            <w:tcW w:w="2841" w:type="dxa"/>
            <w:noWrap w:val="0"/>
            <w:vAlign w:val="top"/>
          </w:tcPr>
          <w:p>
            <w:pPr>
              <w:widowControl w:val="0"/>
              <w:spacing w:line="240" w:lineRule="auto"/>
              <w:jc w:val="center"/>
              <w:rPr>
                <w:rFonts w:cs="Times New Roman"/>
                <w:bCs/>
                <w:color w:val="000000"/>
                <w:szCs w:val="24"/>
              </w:rPr>
            </w:pPr>
            <w:r>
              <w:rPr>
                <w:rFonts w:cs="Times New Roman"/>
                <w:bCs/>
                <w:color w:val="000000"/>
                <w:szCs w:val="24"/>
              </w:rPr>
              <w:t>5.8%</w:t>
            </w:r>
          </w:p>
        </w:tc>
      </w:tr>
    </w:tbl>
    <w:p>
      <w:pPr>
        <w:jc w:val="center"/>
        <w:rPr>
          <w:rFonts w:hint="default" w:eastAsia="等线" w:cs="Times New Roman"/>
          <w:b/>
          <w:bCs w:val="0"/>
          <w:color w:val="000000"/>
          <w:szCs w:val="24"/>
          <w:lang w:val="en-US" w:eastAsia="zh-CN"/>
        </w:rPr>
      </w:pPr>
      <w:r>
        <w:rPr>
          <w:rFonts w:hint="eastAsia" w:cs="Times New Roman"/>
          <w:b/>
          <w:bCs w:val="0"/>
          <w:color w:val="000000"/>
          <w:szCs w:val="24"/>
          <w:lang w:val="en-US" w:eastAsia="zh-CN"/>
        </w:rPr>
        <w:t>Source TrustPilot 2020</w:t>
      </w:r>
    </w:p>
    <w:p>
      <w:pPr>
        <w:rPr>
          <w:rFonts w:cs="Times New Roman"/>
          <w:bCs/>
          <w:color w:val="000000"/>
          <w:szCs w:val="24"/>
        </w:rPr>
      </w:pPr>
      <w:r>
        <w:rPr>
          <w:rFonts w:cs="Times New Roman"/>
          <w:bCs/>
          <w:color w:val="000000"/>
          <w:szCs w:val="24"/>
        </w:rPr>
        <w:t xml:space="preserve">Sainsbury’s (2019) claimed to focus on strengthening seamless customer experience and convenience. Such claims, however, contradicts with customer reviews that complained both unsatisfaction customer experience and inadequate online capabilities of Sainsbury’s. It indicates that Sainsbury’s is not properly meeting its strategic priorities. These results confirmed PwC’s (2019) argument that service differentiation is of critical importance to UK supermarkets which operate in a highly competitive environment, and economic uncertainty. Sainsbury’s failed at service differentiation.  Meanwhile, unsatisfaction with online delivery services also confirms the Griswold’s (2020) findings that the pandemic is putting pressure on the digital capabilities of the supermarkets. The bad employee attitudes could also be a result of the pressure that spike of sales on human resources (Griswold, 2020). Dimitriu and Mitovski (2014) argued that pressure at the workplace is one of the most frequently cited causes of employee stress, which undermines their performance at work. Therefore, they further pointed out that employers should consider the stress at the workplace, and must take effective measures to prevent employee stress. </w:t>
      </w:r>
    </w:p>
    <w:p>
      <w:pPr>
        <w:pStyle w:val="4"/>
        <w:spacing w:before="0" w:after="0"/>
        <w:rPr>
          <w:rFonts w:cs="Times New Roman"/>
          <w:color w:val="000000"/>
          <w:sz w:val="24"/>
          <w:szCs w:val="24"/>
        </w:rPr>
      </w:pPr>
      <w:bookmarkStart w:id="36" w:name="_Toc18234"/>
      <w:bookmarkStart w:id="37" w:name="_Toc39152456"/>
      <w:r>
        <w:rPr>
          <w:rFonts w:cs="Times New Roman"/>
          <w:color w:val="000000"/>
          <w:sz w:val="24"/>
          <w:szCs w:val="24"/>
        </w:rPr>
        <w:t>3.2.3 Loosing of Loyal Customer Base</w:t>
      </w:r>
      <w:bookmarkEnd w:id="36"/>
      <w:bookmarkEnd w:id="37"/>
    </w:p>
    <w:p>
      <w:pPr>
        <w:rPr>
          <w:rFonts w:cs="Times New Roman"/>
          <w:bCs/>
          <w:color w:val="000000"/>
          <w:szCs w:val="24"/>
        </w:rPr>
      </w:pPr>
      <w:r>
        <w:rPr>
          <w:rFonts w:cs="Times New Roman"/>
          <w:bCs/>
          <w:color w:val="000000"/>
          <w:szCs w:val="24"/>
        </w:rPr>
        <w:t xml:space="preserve">One major theme emerged from the data is that customers of Sainsbury’s is losing its loyal customers. Especially, 56 reviews expressed that they are loyal customers of the store; however, 42 reviews explicitly expressed that they are not satisfied with the service provided by Sainsbury’s, and 21 reviews, expressed that they will stop shopping at Sainsbury’s and is now exploring other alternatives for shopping groceries. </w:t>
      </w:r>
    </w:p>
    <w:p>
      <w:pPr>
        <w:jc w:val="center"/>
        <w:rPr>
          <w:rFonts w:cs="Times New Roman"/>
          <w:b/>
          <w:color w:val="000000"/>
          <w:szCs w:val="24"/>
        </w:rPr>
      </w:pPr>
      <w:r>
        <w:rPr>
          <w:rFonts w:cs="Times New Roman"/>
          <w:b/>
          <w:color w:val="000000"/>
          <w:szCs w:val="24"/>
        </w:rPr>
        <w:t>Table 3 Loss of Loyal Customer Base</w:t>
      </w:r>
    </w:p>
    <w:tbl>
      <w:tblPr>
        <w:tblStyle w:val="1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566"/>
        <w:gridCol w:w="2919"/>
        <w:gridCol w:w="303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66" w:type="dxa"/>
            <w:noWrap w:val="0"/>
            <w:vAlign w:val="top"/>
          </w:tcPr>
          <w:p>
            <w:pPr>
              <w:widowControl w:val="0"/>
              <w:spacing w:line="240" w:lineRule="auto"/>
              <w:jc w:val="center"/>
              <w:rPr>
                <w:rFonts w:cs="Times New Roman"/>
                <w:bCs/>
                <w:color w:val="000000"/>
                <w:szCs w:val="24"/>
              </w:rPr>
            </w:pPr>
            <w:r>
              <w:rPr>
                <w:rFonts w:cs="Times New Roman"/>
                <w:bCs/>
                <w:color w:val="000000"/>
                <w:szCs w:val="24"/>
              </w:rPr>
              <w:t>Causes of Complaints</w:t>
            </w:r>
          </w:p>
        </w:tc>
        <w:tc>
          <w:tcPr>
            <w:tcW w:w="2919" w:type="dxa"/>
            <w:noWrap w:val="0"/>
            <w:vAlign w:val="top"/>
          </w:tcPr>
          <w:p>
            <w:pPr>
              <w:widowControl w:val="0"/>
              <w:spacing w:line="240" w:lineRule="auto"/>
              <w:jc w:val="center"/>
              <w:rPr>
                <w:rFonts w:cs="Times New Roman"/>
                <w:bCs/>
                <w:color w:val="000000"/>
                <w:szCs w:val="24"/>
              </w:rPr>
            </w:pPr>
            <w:r>
              <w:rPr>
                <w:rFonts w:cs="Times New Roman"/>
                <w:bCs/>
                <w:color w:val="000000"/>
                <w:szCs w:val="24"/>
              </w:rPr>
              <w:t>Number of Reviews</w:t>
            </w:r>
          </w:p>
        </w:tc>
        <w:tc>
          <w:tcPr>
            <w:tcW w:w="3037" w:type="dxa"/>
            <w:noWrap w:val="0"/>
            <w:vAlign w:val="top"/>
          </w:tcPr>
          <w:p>
            <w:pPr>
              <w:widowControl w:val="0"/>
              <w:spacing w:line="240" w:lineRule="auto"/>
              <w:jc w:val="center"/>
              <w:rPr>
                <w:rFonts w:cs="Times New Roman"/>
                <w:bCs/>
                <w:color w:val="000000"/>
                <w:szCs w:val="24"/>
              </w:rPr>
            </w:pPr>
            <w:r>
              <w:rPr>
                <w:rFonts w:cs="Times New Roman"/>
                <w:bCs/>
                <w:color w:val="000000"/>
                <w:szCs w:val="24"/>
              </w:rPr>
              <w:t>Percentage of All Reviews (out of 257)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66" w:type="dxa"/>
            <w:noWrap w:val="0"/>
            <w:vAlign w:val="top"/>
          </w:tcPr>
          <w:p>
            <w:pPr>
              <w:widowControl w:val="0"/>
              <w:spacing w:line="240" w:lineRule="auto"/>
              <w:jc w:val="center"/>
              <w:rPr>
                <w:rFonts w:cs="Times New Roman"/>
                <w:bCs/>
                <w:color w:val="000000"/>
                <w:szCs w:val="24"/>
              </w:rPr>
            </w:pPr>
            <w:r>
              <w:rPr>
                <w:rFonts w:cs="Times New Roman"/>
                <w:bCs/>
                <w:color w:val="000000"/>
                <w:szCs w:val="24"/>
              </w:rPr>
              <w:t>Complaints from Loyal Customers</w:t>
            </w:r>
          </w:p>
        </w:tc>
        <w:tc>
          <w:tcPr>
            <w:tcW w:w="2919" w:type="dxa"/>
            <w:noWrap w:val="0"/>
            <w:vAlign w:val="top"/>
          </w:tcPr>
          <w:p>
            <w:pPr>
              <w:widowControl w:val="0"/>
              <w:spacing w:line="240" w:lineRule="auto"/>
              <w:jc w:val="center"/>
              <w:rPr>
                <w:rFonts w:cs="Times New Roman"/>
                <w:bCs/>
                <w:color w:val="000000"/>
                <w:szCs w:val="24"/>
              </w:rPr>
            </w:pPr>
            <w:r>
              <w:rPr>
                <w:rFonts w:cs="Times New Roman"/>
                <w:bCs/>
                <w:color w:val="000000"/>
                <w:szCs w:val="24"/>
              </w:rPr>
              <w:t>56</w:t>
            </w:r>
          </w:p>
        </w:tc>
        <w:tc>
          <w:tcPr>
            <w:tcW w:w="3037" w:type="dxa"/>
            <w:noWrap w:val="0"/>
            <w:vAlign w:val="top"/>
          </w:tcPr>
          <w:p>
            <w:pPr>
              <w:widowControl w:val="0"/>
              <w:spacing w:line="240" w:lineRule="auto"/>
              <w:jc w:val="center"/>
              <w:rPr>
                <w:rFonts w:cs="Times New Roman"/>
                <w:bCs/>
                <w:color w:val="000000"/>
                <w:szCs w:val="24"/>
              </w:rPr>
            </w:pPr>
            <w:r>
              <w:rPr>
                <w:rFonts w:cs="Times New Roman"/>
                <w:bCs/>
                <w:color w:val="000000"/>
                <w:szCs w:val="24"/>
              </w:rPr>
              <w:t>23.6%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66" w:type="dxa"/>
            <w:noWrap w:val="0"/>
            <w:vAlign w:val="top"/>
          </w:tcPr>
          <w:p>
            <w:pPr>
              <w:widowControl w:val="0"/>
              <w:spacing w:line="240" w:lineRule="auto"/>
              <w:jc w:val="center"/>
              <w:rPr>
                <w:rFonts w:cs="Times New Roman"/>
                <w:bCs/>
                <w:color w:val="000000"/>
                <w:szCs w:val="24"/>
              </w:rPr>
            </w:pPr>
            <w:r>
              <w:rPr>
                <w:rFonts w:cs="Times New Roman"/>
                <w:bCs/>
                <w:color w:val="000000"/>
                <w:szCs w:val="24"/>
              </w:rPr>
              <w:t>Unsatisfaction with Service</w:t>
            </w:r>
          </w:p>
        </w:tc>
        <w:tc>
          <w:tcPr>
            <w:tcW w:w="2919" w:type="dxa"/>
            <w:noWrap w:val="0"/>
            <w:vAlign w:val="top"/>
          </w:tcPr>
          <w:p>
            <w:pPr>
              <w:widowControl w:val="0"/>
              <w:spacing w:line="240" w:lineRule="auto"/>
              <w:jc w:val="center"/>
              <w:rPr>
                <w:rFonts w:cs="Times New Roman"/>
                <w:bCs/>
                <w:color w:val="000000"/>
                <w:szCs w:val="24"/>
              </w:rPr>
            </w:pPr>
            <w:r>
              <w:rPr>
                <w:rFonts w:cs="Times New Roman"/>
                <w:bCs/>
                <w:color w:val="000000"/>
                <w:szCs w:val="24"/>
              </w:rPr>
              <w:t>42</w:t>
            </w:r>
          </w:p>
        </w:tc>
        <w:tc>
          <w:tcPr>
            <w:tcW w:w="3037" w:type="dxa"/>
            <w:noWrap w:val="0"/>
            <w:vAlign w:val="top"/>
          </w:tcPr>
          <w:p>
            <w:pPr>
              <w:widowControl w:val="0"/>
              <w:spacing w:line="240" w:lineRule="auto"/>
              <w:jc w:val="center"/>
              <w:rPr>
                <w:rFonts w:cs="Times New Roman"/>
                <w:bCs/>
                <w:color w:val="000000"/>
                <w:szCs w:val="24"/>
              </w:rPr>
            </w:pPr>
            <w:r>
              <w:rPr>
                <w:rFonts w:cs="Times New Roman"/>
                <w:bCs/>
                <w:color w:val="000000"/>
                <w:szCs w:val="24"/>
              </w:rPr>
              <w:t>16.3%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66" w:type="dxa"/>
            <w:noWrap w:val="0"/>
            <w:vAlign w:val="top"/>
          </w:tcPr>
          <w:p>
            <w:pPr>
              <w:widowControl w:val="0"/>
              <w:spacing w:line="240" w:lineRule="auto"/>
              <w:jc w:val="center"/>
              <w:rPr>
                <w:rFonts w:cs="Times New Roman"/>
                <w:bCs/>
                <w:color w:val="000000"/>
                <w:szCs w:val="24"/>
              </w:rPr>
            </w:pPr>
            <w:r>
              <w:rPr>
                <w:rFonts w:cs="Times New Roman"/>
                <w:bCs/>
                <w:color w:val="000000"/>
                <w:szCs w:val="24"/>
              </w:rPr>
              <w:t>Intention to Stop Shopping from Sainsbury’s</w:t>
            </w:r>
          </w:p>
        </w:tc>
        <w:tc>
          <w:tcPr>
            <w:tcW w:w="2919" w:type="dxa"/>
            <w:noWrap w:val="0"/>
            <w:vAlign w:val="top"/>
          </w:tcPr>
          <w:p>
            <w:pPr>
              <w:widowControl w:val="0"/>
              <w:spacing w:line="240" w:lineRule="auto"/>
              <w:jc w:val="center"/>
              <w:rPr>
                <w:rFonts w:cs="Times New Roman"/>
                <w:bCs/>
                <w:color w:val="000000"/>
                <w:szCs w:val="24"/>
              </w:rPr>
            </w:pPr>
            <w:r>
              <w:rPr>
                <w:rFonts w:cs="Times New Roman"/>
                <w:bCs/>
                <w:color w:val="000000"/>
                <w:szCs w:val="24"/>
              </w:rPr>
              <w:t>21</w:t>
            </w:r>
          </w:p>
        </w:tc>
        <w:tc>
          <w:tcPr>
            <w:tcW w:w="3037" w:type="dxa"/>
            <w:noWrap w:val="0"/>
            <w:vAlign w:val="top"/>
          </w:tcPr>
          <w:p>
            <w:pPr>
              <w:widowControl w:val="0"/>
              <w:spacing w:line="240" w:lineRule="auto"/>
              <w:jc w:val="center"/>
              <w:rPr>
                <w:rFonts w:cs="Times New Roman"/>
                <w:bCs/>
                <w:color w:val="000000"/>
                <w:szCs w:val="24"/>
              </w:rPr>
            </w:pPr>
            <w:r>
              <w:rPr>
                <w:rFonts w:cs="Times New Roman"/>
                <w:bCs/>
                <w:color w:val="000000"/>
                <w:szCs w:val="24"/>
              </w:rPr>
              <w:t>8.1%</w:t>
            </w:r>
          </w:p>
        </w:tc>
      </w:tr>
    </w:tbl>
    <w:p>
      <w:pPr>
        <w:jc w:val="center"/>
        <w:rPr>
          <w:rFonts w:hint="default" w:eastAsia="等线" w:cs="Times New Roman"/>
          <w:bCs/>
          <w:color w:val="000000"/>
          <w:szCs w:val="24"/>
          <w:lang w:val="en-US" w:eastAsia="zh-CN"/>
        </w:rPr>
      </w:pPr>
      <w:r>
        <w:rPr>
          <w:rFonts w:hint="eastAsia" w:cs="Times New Roman"/>
          <w:bCs/>
          <w:color w:val="000000"/>
          <w:szCs w:val="24"/>
          <w:lang w:val="en-US" w:eastAsia="zh-CN"/>
        </w:rPr>
        <w:t>Source Trust Pilot 2020</w:t>
      </w:r>
    </w:p>
    <w:p>
      <w:pPr>
        <w:rPr>
          <w:rFonts w:cs="Times New Roman"/>
          <w:bCs/>
          <w:color w:val="000000"/>
          <w:szCs w:val="24"/>
        </w:rPr>
      </w:pPr>
      <w:r>
        <w:rPr>
          <w:rFonts w:cs="Times New Roman"/>
          <w:bCs/>
          <w:color w:val="000000"/>
          <w:szCs w:val="24"/>
        </w:rPr>
        <w:t xml:space="preserve">The results showed that Sainsbury’s is at the risk of loosing its loyal market base, mainly due to its poor services, with 42 out of 56 (75%) complaints from loyal customers concerned with poor services, and 21 out of the 56 (37.5%) loyal customers expressed strong intention to stop shopping at Sainsbury’s. According to Wertz (2018) attracting new customers is five times more expensive than retaining existing customers. Meanwhile, Reichheld (2001) argued that retention rate by 5% can increase organizational profits up to 95%. Therefore, it is very important for Sainsbury’s to retain its loyal customers through improvement of its services. </w:t>
      </w:r>
    </w:p>
    <w:p>
      <w:pPr>
        <w:pStyle w:val="4"/>
        <w:spacing w:before="0" w:after="0"/>
        <w:rPr>
          <w:rFonts w:cs="Times New Roman"/>
          <w:color w:val="000000"/>
          <w:sz w:val="24"/>
          <w:szCs w:val="24"/>
        </w:rPr>
      </w:pPr>
      <w:bookmarkStart w:id="38" w:name="_Toc39152457"/>
      <w:bookmarkStart w:id="39" w:name="_Toc18342"/>
      <w:r>
        <w:rPr>
          <w:rFonts w:cs="Times New Roman"/>
          <w:color w:val="000000"/>
          <w:sz w:val="24"/>
          <w:szCs w:val="24"/>
        </w:rPr>
        <w:t>3.2.4 Brand Trust</w:t>
      </w:r>
      <w:bookmarkEnd w:id="38"/>
      <w:bookmarkEnd w:id="39"/>
    </w:p>
    <w:p>
      <w:pPr>
        <w:rPr>
          <w:rFonts w:cs="Times New Roman"/>
          <w:bCs/>
          <w:color w:val="000000"/>
          <w:szCs w:val="24"/>
        </w:rPr>
      </w:pPr>
      <w:r>
        <w:rPr>
          <w:rFonts w:cs="Times New Roman"/>
          <w:bCs/>
          <w:color w:val="000000"/>
          <w:szCs w:val="24"/>
        </w:rPr>
        <w:t xml:space="preserve">Although brand trust is a minor theme emerged from the data, as brand trust is critical, so it is regarded as worthy of discussion in this report. Number of complaints about product quality is relatively small. Out of the 257 reviews, only 34 reviews were concerned with the product quality of Sainsbury’s. Erosion of brand trust is caused by improper handle of people who are classified as vulnerable during the pandemic (14 reviews). In addition, out of the 257 reviews, 12 reviews expressed their speculation that Sainsbury’s is exploiting the pandemic for profits. </w:t>
      </w:r>
    </w:p>
    <w:p>
      <w:pPr>
        <w:rPr>
          <w:rFonts w:cs="Times New Roman"/>
          <w:bCs/>
          <w:color w:val="000000"/>
          <w:szCs w:val="24"/>
        </w:rPr>
      </w:pPr>
      <w:r>
        <w:rPr>
          <w:rFonts w:cs="Times New Roman"/>
          <w:bCs/>
          <w:color w:val="000000"/>
          <w:szCs w:val="24"/>
        </w:rPr>
        <w:t>For instance, as put by one customer:</w:t>
      </w:r>
    </w:p>
    <w:p>
      <w:pPr>
        <w:rPr>
          <w:rFonts w:hint="default" w:eastAsia="等线" w:cs="Times New Roman"/>
          <w:bCs/>
          <w:i w:val="0"/>
          <w:iCs/>
          <w:color w:val="000000"/>
          <w:szCs w:val="24"/>
          <w:lang w:val="en-US" w:eastAsia="zh-CN"/>
        </w:rPr>
      </w:pPr>
      <w:r>
        <w:rPr>
          <w:rFonts w:cs="Times New Roman"/>
          <w:bCs/>
          <w:color w:val="000000"/>
          <w:szCs w:val="24"/>
        </w:rPr>
        <w:t>‘</w:t>
      </w:r>
      <w:r>
        <w:rPr>
          <w:rFonts w:cs="Times New Roman"/>
          <w:bCs/>
          <w:i/>
          <w:color w:val="000000"/>
          <w:szCs w:val="24"/>
        </w:rPr>
        <w:t>Sainsbury's are clearly trying to exploit the Coronavirus situation to boost their profits at this time</w:t>
      </w:r>
      <w:r>
        <w:rPr>
          <w:rFonts w:cs="Times New Roman"/>
          <w:bCs/>
          <w:color w:val="000000"/>
          <w:szCs w:val="24"/>
        </w:rPr>
        <w:t>..</w:t>
      </w:r>
      <w:r>
        <w:rPr>
          <w:rFonts w:cs="Times New Roman"/>
          <w:bCs/>
          <w:i/>
          <w:color w:val="000000"/>
          <w:szCs w:val="24"/>
        </w:rPr>
        <w:t xml:space="preserve"> they…substitute items at a significantly higher cost than those I ordered’  </w:t>
      </w:r>
      <w:r>
        <w:rPr>
          <w:rFonts w:hint="eastAsia" w:cs="Times New Roman"/>
          <w:bCs/>
          <w:i w:val="0"/>
          <w:iCs/>
          <w:color w:val="000000"/>
          <w:szCs w:val="24"/>
          <w:lang w:val="en-US" w:eastAsia="zh-CN"/>
        </w:rPr>
        <w:t>(TrustPilot, 2020).</w:t>
      </w:r>
    </w:p>
    <w:p>
      <w:pPr>
        <w:rPr>
          <w:rFonts w:cs="Times New Roman"/>
          <w:bCs/>
          <w:color w:val="000000"/>
          <w:szCs w:val="24"/>
        </w:rPr>
      </w:pPr>
      <w:r>
        <w:rPr>
          <w:rFonts w:cs="Times New Roman"/>
          <w:bCs/>
          <w:color w:val="000000"/>
          <w:szCs w:val="24"/>
        </w:rPr>
        <w:t>Another customer reviewed that Sainsbury’s is taking ‘</w:t>
      </w:r>
      <w:r>
        <w:rPr>
          <w:rFonts w:cs="Times New Roman"/>
          <w:bCs/>
          <w:i/>
          <w:color w:val="000000"/>
          <w:szCs w:val="24"/>
        </w:rPr>
        <w:t>the liberties with their customers, including overcharging</w:t>
      </w:r>
      <w:r>
        <w:rPr>
          <w:rFonts w:cs="Times New Roman"/>
          <w:bCs/>
          <w:color w:val="000000"/>
          <w:szCs w:val="24"/>
        </w:rPr>
        <w:t>’ and selling goods ‘</w:t>
      </w:r>
      <w:r>
        <w:rPr>
          <w:rFonts w:cs="Times New Roman"/>
          <w:bCs/>
          <w:i/>
          <w:color w:val="000000"/>
          <w:szCs w:val="24"/>
        </w:rPr>
        <w:t>past their sell by date</w:t>
      </w:r>
      <w:r>
        <w:rPr>
          <w:rFonts w:cs="Times New Roman"/>
          <w:bCs/>
          <w:color w:val="000000"/>
          <w:szCs w:val="24"/>
        </w:rPr>
        <w:t>’</w:t>
      </w:r>
      <w:r>
        <w:rPr>
          <w:rFonts w:hint="eastAsia" w:cs="Times New Roman"/>
          <w:bCs/>
          <w:color w:val="000000"/>
          <w:szCs w:val="24"/>
          <w:lang w:val="en-US" w:eastAsia="zh-CN"/>
        </w:rPr>
        <w:t xml:space="preserve"> (TrustPilot, 2020)</w:t>
      </w:r>
      <w:r>
        <w:rPr>
          <w:rFonts w:cs="Times New Roman"/>
          <w:bCs/>
          <w:color w:val="000000"/>
          <w:szCs w:val="24"/>
        </w:rPr>
        <w:t xml:space="preserve">. Brand trust has strong impact on customer satisfaction and customer loyalty. According to Suh and Han (2003), brand trust is defined as the belief of customers that the brand will fulfill certain functions. As brand trust indicates a strong relationship between the brand and the customers, brand trust is an important determinant of brand loyalty. They identified several factors can contribute to brand trust, including adequacy, honesty and philanthropy. Consequently, it is important that Sainsbury’s cast a positive brand image among customers. </w:t>
      </w:r>
    </w:p>
    <w:p>
      <w:pPr>
        <w:pStyle w:val="2"/>
        <w:spacing w:before="0" w:after="0"/>
        <w:rPr>
          <w:rFonts w:cs="Times New Roman"/>
          <w:color w:val="000000"/>
          <w:sz w:val="24"/>
          <w:szCs w:val="24"/>
        </w:rPr>
      </w:pPr>
      <w:bookmarkStart w:id="40" w:name="_Toc39152460"/>
      <w:bookmarkStart w:id="41" w:name="_Toc18017"/>
      <w:bookmarkStart w:id="42" w:name="_Toc11654"/>
      <w:r>
        <w:rPr>
          <w:rFonts w:hint="eastAsia" w:cs="Times New Roman"/>
          <w:color w:val="000000"/>
          <w:sz w:val="24"/>
          <w:szCs w:val="24"/>
          <w:lang w:val="en-US" w:eastAsia="zh-CN"/>
        </w:rPr>
        <w:t>4</w:t>
      </w:r>
      <w:r>
        <w:rPr>
          <w:rFonts w:cs="Times New Roman"/>
          <w:color w:val="000000"/>
          <w:sz w:val="24"/>
          <w:szCs w:val="24"/>
        </w:rPr>
        <w:t>.0 Conclusion</w:t>
      </w:r>
      <w:bookmarkEnd w:id="40"/>
      <w:bookmarkEnd w:id="41"/>
      <w:bookmarkEnd w:id="42"/>
    </w:p>
    <w:p>
      <w:pPr>
        <w:pStyle w:val="4"/>
        <w:spacing w:before="0" w:after="0"/>
        <w:rPr>
          <w:rFonts w:ascii="Times New Roman" w:hAnsi="Times New Roman" w:eastAsia="等线" w:cs="Times New Roman"/>
          <w:b w:val="0"/>
          <w:bCs/>
          <w:color w:val="000000"/>
          <w:kern w:val="2"/>
          <w:sz w:val="24"/>
          <w:szCs w:val="24"/>
          <w:lang w:val="en-US" w:eastAsia="zh-CN" w:bidi="ar-SA"/>
        </w:rPr>
      </w:pPr>
      <w:bookmarkStart w:id="43" w:name="_Toc31470"/>
      <w:r>
        <w:rPr>
          <w:rFonts w:ascii="Times New Roman" w:hAnsi="Times New Roman" w:eastAsia="等线" w:cs="Times New Roman"/>
          <w:b w:val="0"/>
          <w:bCs/>
          <w:color w:val="000000"/>
          <w:kern w:val="2"/>
          <w:sz w:val="24"/>
          <w:szCs w:val="24"/>
          <w:lang w:val="en-US" w:eastAsia="zh-CN" w:bidi="ar-SA"/>
        </w:rPr>
        <w:t>This consultancy report examined the causes of market decline of Sainsbury’s through market research, and developed recommendations on the basis of the findings. Results of situational analysis shows that Sainsbury’s has lost its cost leadership in the supermarket sector, has poor customer relationship management skills, and is slow at responding to changes in the market. It has a distinct product range which can be leveraged to achieve market differentiation. The COVID-19 pandemic also presents opportunities for to rebuild its brand. Analysis of customer review show that Sainsbury’s has the lowest score in terms of customer satisfaction among all four large supermarket chains. Although situational analysis shows that loss of cost leadership is a major cause of Sainsbury’s market share decline, this has not been confirmed by analysis of customer reviews. Instead, the main reason for customer dissatisfaction is the poor services. Especially, during the COVID-19, the customers were dissatisfied with the online-ordering and delivery services of Sainsbury’s. The results also show that Sainsbury’s is quickly losing its loyal customer base, and customers also has problems of brand trust. Consequently, from the perspective of customers, poor services, including online ordering services, is a major cause of customer erosion, which leads to market share decline.</w:t>
      </w:r>
      <w:bookmarkEnd w:id="43"/>
    </w:p>
    <w:p>
      <w:pPr>
        <w:pStyle w:val="2"/>
        <w:spacing w:before="0" w:after="0"/>
        <w:rPr>
          <w:rFonts w:cs="Times New Roman"/>
          <w:color w:val="000000"/>
          <w:sz w:val="24"/>
          <w:szCs w:val="24"/>
        </w:rPr>
      </w:pPr>
      <w:bookmarkStart w:id="44" w:name="_Toc39152459"/>
      <w:bookmarkStart w:id="45" w:name="_Toc14412"/>
      <w:bookmarkStart w:id="46" w:name="_Toc13866"/>
      <w:r>
        <w:rPr>
          <w:rFonts w:hint="eastAsia" w:cs="Times New Roman"/>
          <w:color w:val="000000"/>
          <w:sz w:val="24"/>
          <w:szCs w:val="24"/>
          <w:lang w:val="en-US" w:eastAsia="zh-CN"/>
        </w:rPr>
        <w:t>5</w:t>
      </w:r>
      <w:r>
        <w:rPr>
          <w:rFonts w:cs="Times New Roman"/>
          <w:color w:val="000000"/>
          <w:sz w:val="24"/>
          <w:szCs w:val="24"/>
        </w:rPr>
        <w:t>.0 Strategic Recommendations</w:t>
      </w:r>
      <w:bookmarkEnd w:id="44"/>
      <w:bookmarkEnd w:id="45"/>
      <w:bookmarkEnd w:id="46"/>
    </w:p>
    <w:p>
      <w:pPr>
        <w:rPr>
          <w:rFonts w:cs="Times New Roman"/>
          <w:bCs/>
          <w:color w:val="000000"/>
          <w:szCs w:val="24"/>
        </w:rPr>
      </w:pPr>
      <w:r>
        <w:rPr>
          <w:rFonts w:cs="Times New Roman"/>
          <w:bCs/>
          <w:color w:val="000000"/>
          <w:szCs w:val="24"/>
        </w:rPr>
        <w:t xml:space="preserve">Because of the intense competition in the supermarket sector, economic uncertainty, and demand from customers, it is recommended that Sainsbury’s should pursue a differentiation strategy. To achieve this strategy, Sainsbury’s is recommended to take the following measures. </w:t>
      </w:r>
    </w:p>
    <w:p>
      <w:pPr>
        <w:rPr>
          <w:rFonts w:cs="Times New Roman"/>
          <w:bCs/>
          <w:color w:val="000000"/>
          <w:szCs w:val="24"/>
        </w:rPr>
      </w:pPr>
      <w:r>
        <w:rPr>
          <w:rFonts w:cs="Times New Roman"/>
          <w:bCs/>
          <w:color w:val="000000"/>
          <w:szCs w:val="24"/>
        </w:rPr>
        <w:t xml:space="preserve">First, it needs to strengthen its human resource management. Poor service is major cause of customer dissatisfaction, which leads to loss of customer base and thus of market share. Sainsbury’s needs to provide proper trainings to employees and to instill a customer-centric mindset among the employees. A customer central approach can effectively improve customer satisfaction and experience. Meanwhile, it needs also to establish an incentive scheme which reward behaviors related to positive customer service. Additionally, it also needs to ensure that the employees are not overwhelmed by the workloads, and implement strong stress management strategies for employees. Second, it needs to take proactive moves to align their products to consumer needs, such as healthy food varieties, and convenience. For instance, according to Deloitte (2018), supermarkets and grocers have transition from mere provider of goods to purveyors of solutions and services through food, health and wellness. Some retails stores have dietitians and health specialists who can provide added value to store customers. In order to understand the needs and demands of customers, market research of a larger scale is needed. </w:t>
      </w:r>
    </w:p>
    <w:p>
      <w:pPr>
        <w:rPr>
          <w:rFonts w:cs="Times New Roman"/>
          <w:bCs/>
          <w:color w:val="000000"/>
          <w:szCs w:val="24"/>
        </w:rPr>
      </w:pPr>
      <w:r>
        <w:rPr>
          <w:rFonts w:cs="Times New Roman"/>
          <w:bCs/>
          <w:color w:val="000000"/>
          <w:szCs w:val="24"/>
        </w:rPr>
        <w:t xml:space="preserve">Third, Sainsbury’s needs to enhance its digital capabilities. The customer reviews analysis results show that the inadequate online capabilities of Sainsbury’s are a major cause of customer dissatisfaction. Improved online capability will increase its capacity to handle the surging customer demand for online ordering and delivery services during the COVID-19 pandemic. Meanwhile, strong digital capability is also essential to meet the demand of a growing customer trend for shopping food and supplies online. Fourth, it should sharpen its competitive edge in terms of product range. One of the strengths of Sainsbury is its product range, and it could form the core of the future differentiation strategy of Sainsbury’s. Through the provision of distinctive product range, Sainsbury’s can offer something that are not available in other stores. According to Deloitte (2018) building the brand through offering of private label is an effective strategy for supermarkets to compete in the market. </w:t>
      </w:r>
    </w:p>
    <w:p>
      <w:pPr>
        <w:rPr>
          <w:rFonts w:hint="eastAsia" w:cs="Times New Roman"/>
          <w:color w:val="000000"/>
          <w:szCs w:val="24"/>
          <w:lang w:val="en-US" w:eastAsia="zh-CN"/>
        </w:rPr>
      </w:pPr>
      <w:r>
        <w:rPr>
          <w:rFonts w:cs="Times New Roman"/>
          <w:bCs/>
          <w:color w:val="000000"/>
          <w:szCs w:val="24"/>
        </w:rPr>
        <w:t xml:space="preserve">Fifth, low brand trust is a cause of customer dissatisfaction. Therefore, Sainsbury’s needs to improve brand trust among customers. Consensus has not been reached regarding the factors that can positively affect brand trust. However, researchers agreed that brand reputation is closely associated with brand trust (Creed and Miles; panda et al., 2014). Creed and Miles (1996) argued that brand reputation can lead to positive customer attitudes which will increase brand trust and purchase intention. Panda et al. (2014) also observed that brand reputation is an important determinant of brand trust. Promotions, such as advertising and public relations can help build a positive reputation. Thus, aggressive marketing is required. Sixth, due to increasing level of competitiveness in domestic market in the United Kingdom, Sainsbury’s can explore new opportunities in oversea markets, especially emerging markets which are experiencing power growth in the supermarket sector. According to IGD Research (2018), the markets with the highest cumulative average growth rate between 2018 to 2023 are Turkey (13.5%), Bangladesh (11.3%), India (11.2%), and Nigeria (10.4%). These are the emerging markets that Sainsbury’s can consider when decide to go overseas. </w:t>
      </w:r>
      <w:r>
        <w:rPr>
          <w:rFonts w:hint="eastAsia" w:cs="Times New Roman"/>
          <w:color w:val="000000"/>
          <w:szCs w:val="24"/>
          <w:lang w:val="en-US" w:eastAsia="zh-CN"/>
        </w:rPr>
        <w:t>Nonetheless, Sainsbury</w:t>
      </w:r>
      <w:r>
        <w:rPr>
          <w:rFonts w:hint="default" w:cs="Times New Roman"/>
          <w:color w:val="000000"/>
          <w:szCs w:val="24"/>
          <w:lang w:val="en-US" w:eastAsia="zh-CN"/>
        </w:rPr>
        <w:t>’</w:t>
      </w:r>
      <w:r>
        <w:rPr>
          <w:rFonts w:hint="eastAsia" w:cs="Times New Roman"/>
          <w:color w:val="000000"/>
          <w:szCs w:val="24"/>
          <w:lang w:val="en-US" w:eastAsia="zh-CN"/>
        </w:rPr>
        <w:t>s should be cautious with decisions of going abroad, especially in emerging markets which lacked conditions supporting the success of hypermarkets, such as a large middle class, and sufficient space for storing large bulk grocery (McKinsey, 2020).</w:t>
      </w:r>
    </w:p>
    <w:p>
      <w:pPr>
        <w:rPr>
          <w:rFonts w:hint="eastAsia" w:cs="Times New Roman"/>
          <w:color w:val="000000"/>
          <w:szCs w:val="24"/>
          <w:lang w:val="en-US" w:eastAsia="zh-CN"/>
        </w:rPr>
      </w:pPr>
    </w:p>
    <w:p>
      <w:pPr>
        <w:rPr>
          <w:rFonts w:hint="eastAsia" w:cs="Times New Roman"/>
          <w:color w:val="000000"/>
          <w:szCs w:val="24"/>
          <w:lang w:val="en-US" w:eastAsia="zh-CN"/>
        </w:rPr>
      </w:pPr>
    </w:p>
    <w:p>
      <w:pPr>
        <w:rPr>
          <w:rFonts w:hint="eastAsia" w:cs="Times New Roman"/>
          <w:color w:val="000000"/>
          <w:szCs w:val="24"/>
          <w:lang w:val="en-US" w:eastAsia="zh-CN"/>
        </w:rPr>
      </w:pPr>
    </w:p>
    <w:p>
      <w:pPr>
        <w:rPr>
          <w:rFonts w:hint="eastAsia" w:cs="Times New Roman"/>
          <w:color w:val="000000"/>
          <w:szCs w:val="24"/>
          <w:lang w:val="en-US" w:eastAsia="zh-CN"/>
        </w:rPr>
      </w:pPr>
    </w:p>
    <w:p>
      <w:pPr>
        <w:rPr>
          <w:rFonts w:hint="eastAsia" w:cs="Times New Roman"/>
          <w:color w:val="000000"/>
          <w:szCs w:val="24"/>
          <w:lang w:val="en-US" w:eastAsia="zh-CN"/>
        </w:rPr>
      </w:pPr>
    </w:p>
    <w:p>
      <w:pPr>
        <w:rPr>
          <w:rFonts w:hint="eastAsia" w:cs="Times New Roman"/>
          <w:color w:val="000000"/>
          <w:szCs w:val="24"/>
          <w:lang w:val="en-US" w:eastAsia="zh-CN"/>
        </w:rPr>
      </w:pPr>
    </w:p>
    <w:p>
      <w:pPr>
        <w:rPr>
          <w:rFonts w:hint="default" w:cs="Times New Roman"/>
          <w:color w:val="000000"/>
          <w:szCs w:val="24"/>
          <w:lang w:val="en-US" w:eastAsia="zh-CN"/>
        </w:rPr>
      </w:pPr>
    </w:p>
    <w:p>
      <w:pPr>
        <w:pStyle w:val="2"/>
        <w:rPr>
          <w:rFonts w:cs="Times New Roman"/>
          <w:sz w:val="24"/>
          <w:szCs w:val="24"/>
        </w:rPr>
      </w:pPr>
      <w:bookmarkStart w:id="47" w:name="_Toc26465"/>
      <w:bookmarkStart w:id="48" w:name="_Toc11564"/>
      <w:r>
        <w:rPr>
          <w:rFonts w:hint="eastAsia" w:cs="Times New Roman"/>
          <w:sz w:val="24"/>
          <w:szCs w:val="24"/>
          <w:lang w:val="en-US" w:eastAsia="zh-CN"/>
        </w:rPr>
        <w:t xml:space="preserve">6.0 </w:t>
      </w:r>
      <w:r>
        <w:rPr>
          <w:rFonts w:cs="Times New Roman"/>
          <w:sz w:val="24"/>
          <w:szCs w:val="24"/>
        </w:rPr>
        <w:t>Reference</w:t>
      </w:r>
      <w:bookmarkEnd w:id="47"/>
      <w:bookmarkEnd w:id="48"/>
    </w:p>
    <w:p>
      <w:pPr>
        <w:spacing w:before="100" w:beforeAutospacing="1" w:after="100" w:afterAutospacing="1" w:line="240" w:lineRule="auto"/>
        <w:rPr>
          <w:rFonts w:cs="Times New Roman"/>
          <w:szCs w:val="24"/>
        </w:rPr>
      </w:pPr>
      <w:r>
        <w:rPr>
          <w:rFonts w:cs="Times New Roman"/>
          <w:szCs w:val="24"/>
        </w:rPr>
        <w:t xml:space="preserve">BBC News. 2018. Aldi tops supermarket satisfaction survey. [Online]. Available at </w:t>
      </w:r>
      <w:r>
        <w:fldChar w:fldCharType="begin"/>
      </w:r>
      <w:r>
        <w:instrText xml:space="preserve"> HYPERLINK "https://www.bbc.com/news/business-43026318" </w:instrText>
      </w:r>
      <w:r>
        <w:fldChar w:fldCharType="separate"/>
      </w:r>
      <w:r>
        <w:rPr>
          <w:rStyle w:val="19"/>
          <w:rFonts w:cs="Times New Roman"/>
          <w:szCs w:val="24"/>
        </w:rPr>
        <w:t>https://www.bbc.com/news/business-43026318</w:t>
      </w:r>
      <w:r>
        <w:rPr>
          <w:rFonts w:cs="Times New Roman"/>
          <w:szCs w:val="24"/>
        </w:rPr>
        <w:fldChar w:fldCharType="end"/>
      </w:r>
    </w:p>
    <w:p>
      <w:pPr>
        <w:spacing w:before="100" w:beforeAutospacing="1" w:after="100" w:afterAutospacing="1" w:line="240" w:lineRule="auto"/>
        <w:rPr>
          <w:rFonts w:cs="Times New Roman"/>
          <w:szCs w:val="24"/>
        </w:rPr>
      </w:pPr>
      <w:r>
        <w:rPr>
          <w:rFonts w:cs="Times New Roman"/>
          <w:szCs w:val="24"/>
        </w:rPr>
        <w:t xml:space="preserve">BBC News. 2019. Trustpilot. [Online]. Available at </w:t>
      </w:r>
      <w:r>
        <w:fldChar w:fldCharType="begin"/>
      </w:r>
      <w:r>
        <w:instrText xml:space="preserve"> HYPERLINK "https://www.bbc.co.uk/programmes/articles/3SkLXs4RK24Lzx0sPYXVRpg/trustpilot" </w:instrText>
      </w:r>
      <w:r>
        <w:fldChar w:fldCharType="separate"/>
      </w:r>
      <w:r>
        <w:rPr>
          <w:rStyle w:val="19"/>
          <w:rFonts w:cs="Times New Roman"/>
          <w:szCs w:val="24"/>
        </w:rPr>
        <w:t>https://www.bbc.co.uk/programmes/articles/3SkLXs4RK24Lzx0sPYXVRpg/trustpilot</w:t>
      </w:r>
      <w:r>
        <w:rPr>
          <w:rFonts w:cs="Times New Roman"/>
          <w:szCs w:val="24"/>
        </w:rPr>
        <w:fldChar w:fldCharType="end"/>
      </w:r>
    </w:p>
    <w:p>
      <w:pPr>
        <w:spacing w:before="100" w:beforeAutospacing="1" w:after="100" w:afterAutospacing="1" w:line="240" w:lineRule="auto"/>
        <w:rPr>
          <w:rFonts w:eastAsia="宋体" w:cs="Times New Roman"/>
          <w:szCs w:val="24"/>
        </w:rPr>
      </w:pPr>
      <w:r>
        <w:rPr>
          <w:rFonts w:cs="Times New Roman"/>
          <w:szCs w:val="24"/>
        </w:rPr>
        <w:t xml:space="preserve">BBC News. 2020. Coronavirus: World faces worst recession since Great Depression.  [Online]. Available at </w:t>
      </w:r>
      <w:r>
        <w:fldChar w:fldCharType="begin"/>
      </w:r>
      <w:r>
        <w:instrText xml:space="preserve"> HYPERLINK "https://www.bbc.com/news/business-52273988" </w:instrText>
      </w:r>
      <w:r>
        <w:fldChar w:fldCharType="separate"/>
      </w:r>
      <w:r>
        <w:rPr>
          <w:rStyle w:val="19"/>
          <w:rFonts w:cs="Times New Roman"/>
          <w:szCs w:val="24"/>
        </w:rPr>
        <w:t>https://www.bbc.com/news/business-52273988</w:t>
      </w:r>
      <w:r>
        <w:rPr>
          <w:rFonts w:cs="Times New Roman"/>
          <w:szCs w:val="24"/>
        </w:rPr>
        <w:fldChar w:fldCharType="end"/>
      </w:r>
    </w:p>
    <w:p>
      <w:pPr>
        <w:spacing w:before="100" w:beforeAutospacing="1" w:after="100" w:afterAutospacing="1" w:line="240" w:lineRule="auto"/>
        <w:rPr>
          <w:rFonts w:cs="Times New Roman"/>
          <w:szCs w:val="24"/>
        </w:rPr>
      </w:pPr>
      <w:r>
        <w:rPr>
          <w:rFonts w:cs="Times New Roman"/>
          <w:szCs w:val="24"/>
        </w:rPr>
        <w:t xml:space="preserve">Creed, W.E.D. and Miles, R. E. 1996. Trust in organizations: A conceptual framework linking organizational forms, managerial philosophies, and the opportunity cost of controls. In Kramer, R. and Tyles, T. (eds). </w:t>
      </w:r>
      <w:r>
        <w:rPr>
          <w:rFonts w:cs="Times New Roman"/>
          <w:i/>
          <w:iCs/>
          <w:szCs w:val="24"/>
        </w:rPr>
        <w:t>Trust and organizations: Frontiers of theory and research</w:t>
      </w:r>
      <w:r>
        <w:rPr>
          <w:rFonts w:cs="Times New Roman"/>
          <w:szCs w:val="24"/>
        </w:rPr>
        <w:t xml:space="preserve"> (pp. 16-38). Thousand Oaks: SAGE Publications. </w:t>
      </w:r>
    </w:p>
    <w:p>
      <w:pPr>
        <w:spacing w:before="100" w:beforeAutospacing="1" w:after="100" w:afterAutospacing="1" w:line="240" w:lineRule="auto"/>
        <w:rPr>
          <w:rFonts w:cs="Times New Roman"/>
          <w:color w:val="0000FF"/>
          <w:szCs w:val="24"/>
          <w:u w:val="single"/>
        </w:rPr>
      </w:pPr>
      <w:r>
        <w:rPr>
          <w:rFonts w:cs="Times New Roman"/>
          <w:szCs w:val="24"/>
        </w:rPr>
        <w:t xml:space="preserve">Deloitte. 2018. Global powers of retailing. [Online]. Available at </w:t>
      </w:r>
      <w:r>
        <w:fldChar w:fldCharType="begin"/>
      </w:r>
      <w:r>
        <w:instrText xml:space="preserve"> HYPERLINK "https://www2.deloitte.com/content/dam/Deloitte/at/Documents/about-deloitte/global-powers-of-retailing-2018.pdf" </w:instrText>
      </w:r>
      <w:r>
        <w:fldChar w:fldCharType="separate"/>
      </w:r>
      <w:r>
        <w:rPr>
          <w:rStyle w:val="19"/>
          <w:rFonts w:cs="Times New Roman"/>
          <w:szCs w:val="24"/>
        </w:rPr>
        <w:t>https://www2.deloitte.com/content/dam/Deloitte/at/Documents/about-deloitte/global-powers-of-retailing-2018.pdf</w:t>
      </w:r>
      <w:r>
        <w:rPr>
          <w:rFonts w:cs="Times New Roman"/>
          <w:szCs w:val="24"/>
        </w:rPr>
        <w:fldChar w:fldCharType="end"/>
      </w:r>
    </w:p>
    <w:p>
      <w:pPr>
        <w:spacing w:before="100" w:beforeAutospacing="1" w:after="100" w:afterAutospacing="1" w:line="240" w:lineRule="auto"/>
        <w:rPr>
          <w:rFonts w:cs="Times New Roman"/>
          <w:szCs w:val="24"/>
        </w:rPr>
      </w:pPr>
      <w:r>
        <w:rPr>
          <w:rFonts w:cs="Times New Roman"/>
          <w:szCs w:val="24"/>
        </w:rPr>
        <w:t xml:space="preserve">Dimitriu, M.C. and Mitovski, A. 2014. Motivation of employees and organizational stress management. </w:t>
      </w:r>
    </w:p>
    <w:p>
      <w:pPr>
        <w:spacing w:before="100" w:beforeAutospacing="1" w:after="100" w:afterAutospacing="1" w:line="240" w:lineRule="auto"/>
        <w:rPr>
          <w:rFonts w:cs="Times New Roman"/>
          <w:szCs w:val="24"/>
        </w:rPr>
      </w:pPr>
      <w:r>
        <w:rPr>
          <w:rFonts w:cs="Times New Roman"/>
          <w:szCs w:val="24"/>
        </w:rPr>
        <w:t xml:space="preserve">Griswold, A. 2020. The UK led the world in online grocery delivery- Until coronavirus happened. [Online]. Available at </w:t>
      </w:r>
      <w:r>
        <w:fldChar w:fldCharType="begin"/>
      </w:r>
      <w:r>
        <w:instrText xml:space="preserve"> HYPERLINK "https://qz.com/1819855/coronavirus-overwhelms-ocado-uk-online-grocery-delivery/" </w:instrText>
      </w:r>
      <w:r>
        <w:fldChar w:fldCharType="separate"/>
      </w:r>
      <w:r>
        <w:rPr>
          <w:rStyle w:val="19"/>
          <w:rFonts w:cs="Times New Roman"/>
          <w:szCs w:val="24"/>
        </w:rPr>
        <w:t>https://qz.com/1819855/coronavirus-overwhelms-ocado-uk-online-grocery-delivery/</w:t>
      </w:r>
      <w:r>
        <w:rPr>
          <w:rFonts w:cs="Times New Roman"/>
          <w:szCs w:val="24"/>
        </w:rPr>
        <w:fldChar w:fldCharType="end"/>
      </w:r>
    </w:p>
    <w:p>
      <w:pPr>
        <w:spacing w:before="100" w:beforeAutospacing="1" w:after="100" w:afterAutospacing="1" w:line="240" w:lineRule="auto"/>
        <w:rPr>
          <w:rFonts w:cs="Times New Roman"/>
          <w:szCs w:val="24"/>
        </w:rPr>
      </w:pPr>
      <w:bookmarkStart w:id="49" w:name="_Hlk39133369"/>
      <w:r>
        <w:rPr>
          <w:rFonts w:cs="Times New Roman"/>
          <w:szCs w:val="24"/>
        </w:rPr>
        <w:t>Guest, G., MacQueen, K.M., and Namely</w:t>
      </w:r>
      <w:bookmarkEnd w:id="49"/>
      <w:r>
        <w:rPr>
          <w:rFonts w:cs="Times New Roman"/>
          <w:szCs w:val="24"/>
        </w:rPr>
        <w:t xml:space="preserve">, E.E. 2012. Applied thematic analysis. Thousand Oks: SAGE Publications. </w:t>
      </w:r>
    </w:p>
    <w:p>
      <w:pPr>
        <w:spacing w:before="100" w:beforeAutospacing="1" w:after="100" w:afterAutospacing="1" w:line="240" w:lineRule="auto"/>
        <w:rPr>
          <w:rFonts w:cs="Times New Roman"/>
          <w:szCs w:val="24"/>
        </w:rPr>
      </w:pPr>
      <w:r>
        <w:rPr>
          <w:rFonts w:cs="Times New Roman"/>
          <w:szCs w:val="24"/>
          <w:lang w:val="en-US" w:eastAsia="zh-CN"/>
        </w:rPr>
        <w:t>Hubbard, G.</w:t>
      </w:r>
      <w:r>
        <w:rPr>
          <w:rFonts w:hint="eastAsia" w:cs="Times New Roman"/>
          <w:szCs w:val="24"/>
          <w:lang w:val="en-US" w:eastAsia="zh-CN"/>
        </w:rPr>
        <w:t xml:space="preserve"> and </w:t>
      </w:r>
      <w:r>
        <w:rPr>
          <w:rFonts w:cs="Times New Roman"/>
          <w:szCs w:val="24"/>
          <w:lang w:val="en-US" w:eastAsia="zh-CN"/>
        </w:rPr>
        <w:t>Beamish, P. (2011). Strategic management: Thinking, analysis,</w:t>
      </w:r>
      <w:r>
        <w:rPr>
          <w:rFonts w:hint="eastAsia" w:cs="Times New Roman"/>
          <w:szCs w:val="24"/>
          <w:lang w:val="en-US" w:eastAsia="zh-CN"/>
        </w:rPr>
        <w:t xml:space="preserve"> </w:t>
      </w:r>
      <w:r>
        <w:rPr>
          <w:rFonts w:hint="default" w:cs="Times New Roman"/>
          <w:szCs w:val="24"/>
          <w:lang w:val="en-US" w:eastAsia="zh-CN"/>
        </w:rPr>
        <w:t>action. 4th Ed. Frenchs Forest : Pearson Education Australia</w:t>
      </w:r>
    </w:p>
    <w:p>
      <w:pPr>
        <w:spacing w:before="100" w:beforeAutospacing="1" w:after="100" w:afterAutospacing="1" w:line="240" w:lineRule="auto"/>
        <w:rPr>
          <w:rFonts w:cs="Times New Roman"/>
          <w:szCs w:val="24"/>
        </w:rPr>
      </w:pPr>
      <w:r>
        <w:rPr>
          <w:rFonts w:cs="Times New Roman"/>
          <w:szCs w:val="24"/>
        </w:rPr>
        <w:t>IGD. 2020</w:t>
      </w:r>
      <w:r>
        <w:rPr>
          <w:rFonts w:hint="eastAsia" w:cs="Times New Roman"/>
          <w:szCs w:val="24"/>
          <w:lang w:val="en-US" w:eastAsia="zh-CN"/>
        </w:rPr>
        <w:t>.</w:t>
      </w:r>
      <w:r>
        <w:rPr>
          <w:rFonts w:cs="Times New Roman"/>
          <w:szCs w:val="24"/>
        </w:rPr>
        <w:t xml:space="preserve"> Global grocery market forecast. [Online]. Available at </w:t>
      </w:r>
      <w:r>
        <w:fldChar w:fldCharType="begin"/>
      </w:r>
      <w:r>
        <w:instrText xml:space="preserve"> HYPERLINK "https://www.igd.com/articles/article-viewer/t/global-grocery-markets-forecast-to-create-19-trillion-opportunity-by-2023/i/20842" </w:instrText>
      </w:r>
      <w:r>
        <w:fldChar w:fldCharType="separate"/>
      </w:r>
      <w:r>
        <w:rPr>
          <w:rStyle w:val="19"/>
          <w:rFonts w:cs="Times New Roman"/>
          <w:szCs w:val="24"/>
        </w:rPr>
        <w:t>https://www.igd.com/articles/article-viewer/t/global-grocery-markets-forecast-to-create-19-trillion-opportunity-by-2023/i/20842</w:t>
      </w:r>
      <w:r>
        <w:rPr>
          <w:rFonts w:cs="Times New Roman"/>
          <w:szCs w:val="24"/>
        </w:rPr>
        <w:fldChar w:fldCharType="end"/>
      </w:r>
    </w:p>
    <w:p>
      <w:pPr>
        <w:spacing w:before="100" w:beforeAutospacing="1" w:after="100" w:afterAutospacing="1" w:line="240" w:lineRule="auto"/>
        <w:rPr>
          <w:rFonts w:cs="Times New Roman"/>
          <w:szCs w:val="24"/>
        </w:rPr>
      </w:pPr>
      <w:r>
        <w:rPr>
          <w:rFonts w:cs="Times New Roman"/>
          <w:szCs w:val="24"/>
        </w:rPr>
        <w:t>Panda, R., Swar, B.N. and Mukerjee, K. 2014. Factors affecting brand trust: An exploratory investigation among Indian retail consumers.</w:t>
      </w:r>
      <w:r>
        <w:rPr>
          <w:rFonts w:cs="Times New Roman"/>
          <w:i/>
          <w:iCs/>
          <w:szCs w:val="24"/>
        </w:rPr>
        <w:t xml:space="preserve"> Indian Journal of Marketing</w:t>
      </w:r>
      <w:r>
        <w:rPr>
          <w:rFonts w:cs="Times New Roman"/>
          <w:szCs w:val="24"/>
        </w:rPr>
        <w:t>, 44(7): 331-342</w:t>
      </w:r>
    </w:p>
    <w:p>
      <w:pPr>
        <w:spacing w:before="100" w:beforeAutospacing="1" w:after="100" w:afterAutospacing="1" w:line="240" w:lineRule="auto"/>
        <w:rPr>
          <w:rFonts w:eastAsia="宋体" w:cs="Times New Roman"/>
          <w:szCs w:val="24"/>
        </w:rPr>
      </w:pPr>
      <w:r>
        <w:rPr>
          <w:rFonts w:cs="Times New Roman"/>
          <w:szCs w:val="24"/>
        </w:rPr>
        <w:t xml:space="preserve">PwC. 2019. Store wars: The supermarket strikes back. [Online]. Available at </w:t>
      </w:r>
      <w:r>
        <w:fldChar w:fldCharType="begin"/>
      </w:r>
      <w:r>
        <w:instrText xml:space="preserve"> HYPERLINK "https://www.pwc.co.uk/industries/retail-consumer/insights/the-consumer-global-m-and-a-trends-in-the-consumer-sector/store-wars-the-supermarket-strikes-back.html" </w:instrText>
      </w:r>
      <w:r>
        <w:fldChar w:fldCharType="separate"/>
      </w:r>
      <w:r>
        <w:rPr>
          <w:rStyle w:val="19"/>
          <w:rFonts w:cs="Times New Roman"/>
          <w:szCs w:val="24"/>
        </w:rPr>
        <w:t>https://www.pwc.co.uk/industries/retail-consumer/insights/the-consumer-global-m-and-a-trends-in-the-consumer-sector/store-wars-the-supermarket-strikes-back.html</w:t>
      </w:r>
      <w:r>
        <w:rPr>
          <w:rFonts w:cs="Times New Roman"/>
          <w:szCs w:val="24"/>
        </w:rPr>
        <w:fldChar w:fldCharType="end"/>
      </w:r>
    </w:p>
    <w:p>
      <w:pPr>
        <w:spacing w:before="100" w:beforeAutospacing="1" w:after="100" w:afterAutospacing="1" w:line="240" w:lineRule="auto"/>
        <w:rPr>
          <w:rFonts w:eastAsia="宋体" w:cs="Times New Roman"/>
          <w:szCs w:val="24"/>
        </w:rPr>
      </w:pPr>
      <w:r>
        <w:rPr>
          <w:rFonts w:cs="Times New Roman"/>
          <w:szCs w:val="24"/>
        </w:rPr>
        <w:t xml:space="preserve">Rasmi, A. 2020. Tesco’s sales are soaring, but so are its coronavirus related costs. Quartz. [Online]. Available at </w:t>
      </w:r>
      <w:r>
        <w:fldChar w:fldCharType="begin"/>
      </w:r>
      <w:r>
        <w:instrText xml:space="preserve"> HYPERLINK "https://qz.com/1834850/tescos-sales-are-soaring-but-so-are-its-coronavirus-related-costs/" </w:instrText>
      </w:r>
      <w:r>
        <w:fldChar w:fldCharType="separate"/>
      </w:r>
      <w:r>
        <w:rPr>
          <w:rStyle w:val="19"/>
          <w:rFonts w:cs="Times New Roman"/>
          <w:szCs w:val="24"/>
        </w:rPr>
        <w:t>https://qz.com/1834850/tescos-sales-are-soaring-but-so-are-its-coronavirus-related-costs/</w:t>
      </w:r>
      <w:r>
        <w:rPr>
          <w:rFonts w:cs="Times New Roman"/>
          <w:szCs w:val="24"/>
        </w:rPr>
        <w:fldChar w:fldCharType="end"/>
      </w:r>
    </w:p>
    <w:p>
      <w:pPr>
        <w:spacing w:before="100" w:beforeAutospacing="1" w:after="100" w:afterAutospacing="1" w:line="240" w:lineRule="auto"/>
        <w:rPr>
          <w:rFonts w:cs="Times New Roman"/>
          <w:szCs w:val="24"/>
        </w:rPr>
      </w:pPr>
      <w:r>
        <w:rPr>
          <w:rFonts w:cs="Times New Roman"/>
          <w:szCs w:val="24"/>
        </w:rPr>
        <w:t xml:space="preserve">Reichheild, F. 2001. Prescription for cutting costs. [Online]. Available at </w:t>
      </w:r>
      <w:r>
        <w:fldChar w:fldCharType="begin"/>
      </w:r>
      <w:r>
        <w:instrText xml:space="preserve"> HYPERLINK "http://www2.bain.com/Images/BB_Prescription_cutting_costs.pdf" </w:instrText>
      </w:r>
      <w:r>
        <w:fldChar w:fldCharType="separate"/>
      </w:r>
      <w:r>
        <w:rPr>
          <w:rStyle w:val="19"/>
          <w:rFonts w:cs="Times New Roman"/>
          <w:szCs w:val="24"/>
        </w:rPr>
        <w:t>http://www2.bain.com/Images/BB_Prescription_cutting_costs.pdf</w:t>
      </w:r>
      <w:r>
        <w:rPr>
          <w:rFonts w:cs="Times New Roman"/>
          <w:szCs w:val="24"/>
        </w:rPr>
        <w:fldChar w:fldCharType="end"/>
      </w:r>
    </w:p>
    <w:p>
      <w:pPr>
        <w:spacing w:before="100" w:beforeAutospacing="1" w:after="100" w:afterAutospacing="1" w:line="240" w:lineRule="auto"/>
        <w:rPr>
          <w:rFonts w:cs="Times New Roman"/>
          <w:szCs w:val="24"/>
        </w:rPr>
      </w:pPr>
      <w:r>
        <w:rPr>
          <w:rFonts w:cs="Times New Roman"/>
          <w:szCs w:val="24"/>
        </w:rPr>
        <w:t xml:space="preserve">Retail Detail. 2020. Discounters keep eating away British supermarkets market share. [Online]. Available at </w:t>
      </w:r>
      <w:r>
        <w:fldChar w:fldCharType="begin"/>
      </w:r>
      <w:r>
        <w:instrText xml:space="preserve"> HYPERLINK "https://www.retaildetail.eu/en/news/food/discounters-keep-eating-away-british-supermarkets-market-share" </w:instrText>
      </w:r>
      <w:r>
        <w:fldChar w:fldCharType="separate"/>
      </w:r>
      <w:r>
        <w:rPr>
          <w:rStyle w:val="19"/>
          <w:rFonts w:cs="Times New Roman"/>
          <w:szCs w:val="24"/>
        </w:rPr>
        <w:t>https://www.retaildetail.eu/en/news/food/discounters-keep-eating-away-british-supermarkets-market-share</w:t>
      </w:r>
      <w:r>
        <w:rPr>
          <w:rFonts w:cs="Times New Roman"/>
          <w:szCs w:val="24"/>
        </w:rPr>
        <w:fldChar w:fldCharType="end"/>
      </w:r>
    </w:p>
    <w:p>
      <w:pPr>
        <w:spacing w:before="100" w:beforeAutospacing="1" w:after="100" w:afterAutospacing="1" w:line="240" w:lineRule="auto"/>
        <w:rPr>
          <w:rFonts w:hint="eastAsia" w:cs="Times New Roman"/>
          <w:szCs w:val="24"/>
          <w:lang w:val="en-US" w:eastAsia="zh-CN"/>
        </w:rPr>
      </w:pPr>
      <w:r>
        <w:rPr>
          <w:rFonts w:hint="eastAsia" w:cs="Times New Roman"/>
          <w:szCs w:val="24"/>
          <w:lang w:val="en-US" w:eastAsia="zh-CN"/>
        </w:rPr>
        <w:t xml:space="preserve">McKinsey. 2020. What food retailers should do during the coronavirus crisis. [Online]. Available at </w:t>
      </w:r>
      <w:r>
        <w:rPr>
          <w:rFonts w:hint="eastAsia" w:cs="Times New Roman"/>
          <w:szCs w:val="24"/>
          <w:lang w:val="en-US" w:eastAsia="zh-CN"/>
        </w:rPr>
        <w:fldChar w:fldCharType="begin"/>
      </w:r>
      <w:r>
        <w:rPr>
          <w:rFonts w:hint="eastAsia" w:cs="Times New Roman"/>
          <w:szCs w:val="24"/>
          <w:lang w:val="en-US" w:eastAsia="zh-CN"/>
        </w:rPr>
        <w:instrText xml:space="preserve"> HYPERLINK "https://www.mckinsey.com/industries/retail/our-insights/what-food-retailers-should-do-during-the-coronavirus-crisis" </w:instrText>
      </w:r>
      <w:r>
        <w:rPr>
          <w:rFonts w:hint="eastAsia" w:cs="Times New Roman"/>
          <w:szCs w:val="24"/>
          <w:lang w:val="en-US" w:eastAsia="zh-CN"/>
        </w:rPr>
        <w:fldChar w:fldCharType="separate"/>
      </w:r>
      <w:r>
        <w:rPr>
          <w:rFonts w:hint="eastAsia" w:cs="Times New Roman"/>
          <w:szCs w:val="24"/>
          <w:lang w:val="en-US" w:eastAsia="zh-CN"/>
        </w:rPr>
        <w:t>https://www.mckinsey.com/industries/retail/our-insights/what-food-retailers-should-do-during-the-coronavirus-crisis</w:t>
      </w:r>
      <w:r>
        <w:rPr>
          <w:rFonts w:hint="eastAsia" w:cs="Times New Roman"/>
          <w:szCs w:val="24"/>
          <w:lang w:val="en-US" w:eastAsia="zh-CN"/>
        </w:rPr>
        <w:fldChar w:fldCharType="end"/>
      </w:r>
    </w:p>
    <w:p>
      <w:pPr>
        <w:spacing w:before="100" w:beforeAutospacing="1" w:after="100" w:afterAutospacing="1" w:line="240" w:lineRule="auto"/>
        <w:rPr>
          <w:rFonts w:hint="default" w:eastAsia="宋体" w:cs="Times New Roman"/>
          <w:szCs w:val="24"/>
          <w:lang w:val="en-US" w:eastAsia="zh-CN"/>
        </w:rPr>
      </w:pPr>
      <w:r>
        <w:rPr>
          <w:rFonts w:hint="eastAsia" w:cs="Times New Roman"/>
          <w:szCs w:val="24"/>
          <w:lang w:val="en-US" w:eastAsia="zh-CN"/>
        </w:rPr>
        <w:t>New York Time Post. 2020. Vulnerabl people in 12 week isolation struggle to get Sainsbury</w:t>
      </w:r>
      <w:r>
        <w:rPr>
          <w:rFonts w:hint="default" w:cs="Times New Roman"/>
          <w:szCs w:val="24"/>
          <w:lang w:val="en-US" w:eastAsia="zh-CN"/>
        </w:rPr>
        <w:t>’</w:t>
      </w:r>
      <w:r>
        <w:rPr>
          <w:rFonts w:hint="eastAsia" w:cs="Times New Roman"/>
          <w:szCs w:val="24"/>
          <w:lang w:val="en-US" w:eastAsia="zh-CN"/>
        </w:rPr>
        <w:t xml:space="preserve">s delivered. PLEASE HELP. [Online]. Available at </w:t>
      </w:r>
      <w:r>
        <w:rPr>
          <w:rFonts w:ascii="宋体" w:hAnsi="宋体" w:eastAsia="宋体" w:cs="宋体"/>
          <w:sz w:val="24"/>
          <w:szCs w:val="24"/>
        </w:rPr>
        <w:fldChar w:fldCharType="begin"/>
      </w:r>
      <w:r>
        <w:rPr>
          <w:rFonts w:ascii="宋体" w:hAnsi="宋体" w:eastAsia="宋体" w:cs="宋体"/>
          <w:sz w:val="24"/>
          <w:szCs w:val="24"/>
        </w:rPr>
        <w:instrText xml:space="preserve"> HYPERLINK "https://nytimespost.com/vulnerable-people-in-12-week-isolation-struggle-to-get-sainsburys-delivered-please-help/" </w:instrText>
      </w:r>
      <w:r>
        <w:rPr>
          <w:rFonts w:ascii="宋体" w:hAnsi="宋体" w:eastAsia="宋体" w:cs="宋体"/>
          <w:sz w:val="24"/>
          <w:szCs w:val="24"/>
        </w:rPr>
        <w:fldChar w:fldCharType="separate"/>
      </w:r>
      <w:r>
        <w:rPr>
          <w:rStyle w:val="19"/>
          <w:rFonts w:ascii="宋体" w:hAnsi="宋体" w:eastAsia="宋体" w:cs="宋体"/>
          <w:sz w:val="24"/>
          <w:szCs w:val="24"/>
        </w:rPr>
        <w:t>https://nytimespost.com/vulnerable-people-in-12-week-isolation-struggle-to-get-sainsburys-delivered-please-help/</w:t>
      </w:r>
      <w:r>
        <w:rPr>
          <w:rFonts w:ascii="宋体" w:hAnsi="宋体" w:eastAsia="宋体" w:cs="宋体"/>
          <w:sz w:val="24"/>
          <w:szCs w:val="24"/>
        </w:rPr>
        <w:fldChar w:fldCharType="end"/>
      </w:r>
    </w:p>
    <w:p>
      <w:pPr>
        <w:spacing w:before="100" w:beforeAutospacing="1" w:after="100" w:afterAutospacing="1" w:line="240" w:lineRule="auto"/>
        <w:rPr>
          <w:rFonts w:eastAsia="宋体" w:cs="Times New Roman"/>
          <w:szCs w:val="24"/>
        </w:rPr>
      </w:pPr>
      <w:r>
        <w:rPr>
          <w:rFonts w:cs="Times New Roman"/>
          <w:szCs w:val="24"/>
        </w:rPr>
        <w:t xml:space="preserve">Trustpilot. 2020. Sainsbury’s. [Online]. Available at </w:t>
      </w:r>
      <w:r>
        <w:rPr>
          <w:rFonts w:cs="Times New Roman"/>
          <w:szCs w:val="24"/>
        </w:rPr>
        <w:fldChar w:fldCharType="begin"/>
      </w:r>
      <w:r>
        <w:rPr>
          <w:rFonts w:cs="Times New Roman"/>
          <w:szCs w:val="24"/>
        </w:rPr>
        <w:instrText xml:space="preserve"> HYPERLINK "https://uk.trustpilot.com/review/www.sainsburys.co.uk?page=8" </w:instrText>
      </w:r>
      <w:r>
        <w:rPr>
          <w:rFonts w:cs="Times New Roman"/>
          <w:szCs w:val="24"/>
        </w:rPr>
        <w:fldChar w:fldCharType="separate"/>
      </w:r>
      <w:r>
        <w:rPr>
          <w:rStyle w:val="19"/>
          <w:rFonts w:cs="Times New Roman"/>
          <w:szCs w:val="24"/>
        </w:rPr>
        <w:t>https://uk.trustpilot.com/review/www.sainsburys.co.uk?page=8</w:t>
      </w:r>
      <w:r>
        <w:rPr>
          <w:rFonts w:cs="Times New Roman"/>
          <w:szCs w:val="24"/>
        </w:rPr>
        <w:fldChar w:fldCharType="end"/>
      </w:r>
    </w:p>
    <w:p>
      <w:pPr>
        <w:spacing w:before="100" w:beforeAutospacing="1" w:after="100" w:afterAutospacing="1" w:line="240" w:lineRule="auto"/>
        <w:rPr>
          <w:rFonts w:eastAsia="宋体" w:cs="Times New Roman"/>
          <w:szCs w:val="24"/>
        </w:rPr>
      </w:pPr>
      <w:r>
        <w:rPr>
          <w:rFonts w:cs="Times New Roman"/>
          <w:szCs w:val="24"/>
        </w:rPr>
        <w:t xml:space="preserve">Trustpilot. 2020. Tesco. </w:t>
      </w:r>
      <w:bookmarkStart w:id="50" w:name="_Hlk39151686"/>
      <w:r>
        <w:rPr>
          <w:rFonts w:cs="Times New Roman"/>
          <w:szCs w:val="24"/>
        </w:rPr>
        <w:t xml:space="preserve">[Online]. Available at </w:t>
      </w:r>
      <w:bookmarkEnd w:id="50"/>
      <w:r>
        <w:rPr>
          <w:rFonts w:eastAsia="宋体" w:cs="Times New Roman"/>
          <w:szCs w:val="24"/>
        </w:rPr>
        <w:fldChar w:fldCharType="begin"/>
      </w:r>
      <w:r>
        <w:rPr>
          <w:rFonts w:eastAsia="宋体" w:cs="Times New Roman"/>
          <w:szCs w:val="24"/>
        </w:rPr>
        <w:instrText xml:space="preserve"> HYPERLINK "https://uk.trustpilot.com/review/www.tesco.com" </w:instrText>
      </w:r>
      <w:r>
        <w:rPr>
          <w:rFonts w:eastAsia="宋体" w:cs="Times New Roman"/>
          <w:szCs w:val="24"/>
        </w:rPr>
        <w:fldChar w:fldCharType="separate"/>
      </w:r>
      <w:r>
        <w:rPr>
          <w:rStyle w:val="19"/>
          <w:rFonts w:eastAsia="宋体" w:cs="Times New Roman"/>
          <w:szCs w:val="24"/>
        </w:rPr>
        <w:t>https://uk.trustpilot.com/review/www.tesco.com</w:t>
      </w:r>
      <w:r>
        <w:rPr>
          <w:rFonts w:eastAsia="宋体" w:cs="Times New Roman"/>
          <w:szCs w:val="24"/>
        </w:rPr>
        <w:fldChar w:fldCharType="end"/>
      </w:r>
    </w:p>
    <w:p>
      <w:pPr>
        <w:spacing w:before="100" w:beforeAutospacing="1" w:after="100" w:afterAutospacing="1" w:line="240" w:lineRule="auto"/>
        <w:rPr>
          <w:rFonts w:eastAsia="宋体" w:cs="Times New Roman"/>
          <w:szCs w:val="24"/>
        </w:rPr>
      </w:pPr>
      <w:r>
        <w:rPr>
          <w:rFonts w:cs="Times New Roman"/>
          <w:szCs w:val="24"/>
        </w:rPr>
        <w:t xml:space="preserve">Trustpilot. 2020. Asda. [Online]. Available at </w:t>
      </w:r>
      <w:r>
        <w:fldChar w:fldCharType="begin"/>
      </w:r>
      <w:r>
        <w:instrText xml:space="preserve"> HYPERLINK "https://www.trustpilot.com/review/www.asda.com" </w:instrText>
      </w:r>
      <w:r>
        <w:fldChar w:fldCharType="separate"/>
      </w:r>
      <w:r>
        <w:rPr>
          <w:rStyle w:val="19"/>
          <w:rFonts w:eastAsia="宋体" w:cs="Times New Roman"/>
          <w:szCs w:val="24"/>
        </w:rPr>
        <w:t>https://www.trustpilot.com/review/www.asda.com</w:t>
      </w:r>
      <w:r>
        <w:rPr>
          <w:rFonts w:eastAsia="宋体" w:cs="Times New Roman"/>
          <w:szCs w:val="24"/>
        </w:rPr>
        <w:fldChar w:fldCharType="end"/>
      </w:r>
    </w:p>
    <w:p>
      <w:pPr>
        <w:spacing w:before="100" w:beforeAutospacing="1" w:after="100" w:afterAutospacing="1" w:line="240" w:lineRule="auto"/>
        <w:rPr>
          <w:rFonts w:eastAsia="宋体" w:cs="Times New Roman"/>
          <w:szCs w:val="24"/>
        </w:rPr>
      </w:pPr>
      <w:r>
        <w:rPr>
          <w:rFonts w:cs="Times New Roman"/>
          <w:szCs w:val="24"/>
        </w:rPr>
        <w:t xml:space="preserve">Trustpilot. 2020. Morrisons. [Online]. Available at </w:t>
      </w:r>
      <w:r>
        <w:fldChar w:fldCharType="begin"/>
      </w:r>
      <w:r>
        <w:instrText xml:space="preserve"> HYPERLINK "https://www.trustpilot.com/review/morrisons.com" </w:instrText>
      </w:r>
      <w:r>
        <w:fldChar w:fldCharType="separate"/>
      </w:r>
      <w:r>
        <w:rPr>
          <w:rStyle w:val="19"/>
          <w:rFonts w:eastAsia="宋体" w:cs="Times New Roman"/>
          <w:szCs w:val="24"/>
        </w:rPr>
        <w:t>https://www.trustpilot.com/review/morrisons.com</w:t>
      </w:r>
      <w:r>
        <w:rPr>
          <w:rFonts w:eastAsia="宋体" w:cs="Times New Roman"/>
          <w:szCs w:val="24"/>
        </w:rPr>
        <w:fldChar w:fldCharType="end"/>
      </w:r>
    </w:p>
    <w:p>
      <w:pPr>
        <w:spacing w:before="100" w:beforeAutospacing="1" w:after="100" w:afterAutospacing="1" w:line="240" w:lineRule="auto"/>
        <w:rPr>
          <w:rFonts w:cs="Times New Roman"/>
          <w:szCs w:val="24"/>
        </w:rPr>
      </w:pPr>
      <w:r>
        <w:rPr>
          <w:rFonts w:cs="Times New Roman"/>
          <w:szCs w:val="24"/>
        </w:rPr>
        <w:t xml:space="preserve">Sainsbury. 2018. Sustainability report. [Online]. Available at </w:t>
      </w:r>
      <w:r>
        <w:fldChar w:fldCharType="begin"/>
      </w:r>
      <w:r>
        <w:instrText xml:space="preserve"> HYPERLINK "https://www.about.sainsburys.co.uk/~/media/Files/S/Sainsburys/documents/making-a-difference/Sustainability_Update_2018.pdf" </w:instrText>
      </w:r>
      <w:r>
        <w:fldChar w:fldCharType="separate"/>
      </w:r>
      <w:r>
        <w:rPr>
          <w:rStyle w:val="19"/>
          <w:rFonts w:cs="Times New Roman"/>
          <w:szCs w:val="24"/>
        </w:rPr>
        <w:t>https://www.about.sainsburys.co.uk/~/media/Files/S/Sainsburys/documents/making-a-difference/Sustainability_Update_2018.pdf</w:t>
      </w:r>
      <w:r>
        <w:rPr>
          <w:rFonts w:cs="Times New Roman"/>
          <w:szCs w:val="24"/>
        </w:rPr>
        <w:fldChar w:fldCharType="end"/>
      </w:r>
    </w:p>
    <w:p>
      <w:pPr>
        <w:spacing w:before="100" w:beforeAutospacing="1" w:after="100" w:afterAutospacing="1" w:line="240" w:lineRule="auto"/>
        <w:rPr>
          <w:rFonts w:cs="Times New Roman"/>
          <w:szCs w:val="24"/>
        </w:rPr>
      </w:pPr>
      <w:r>
        <w:rPr>
          <w:rFonts w:cs="Times New Roman"/>
          <w:szCs w:val="24"/>
        </w:rPr>
        <w:t xml:space="preserve">Sainsbury’s. 2019. Interim report. [Online]. Available at </w:t>
      </w:r>
      <w:r>
        <w:fldChar w:fldCharType="begin"/>
      </w:r>
      <w:r>
        <w:instrText xml:space="preserve"> HYPERLINK "https://www.about.sainsburys.co.uk/~/media/Files/S/Sainsburys/documents/reports-and-presentations/2019/Interims%201920%20RNS.pdf" </w:instrText>
      </w:r>
      <w:r>
        <w:fldChar w:fldCharType="separate"/>
      </w:r>
      <w:r>
        <w:rPr>
          <w:rStyle w:val="19"/>
          <w:rFonts w:cs="Times New Roman"/>
          <w:szCs w:val="24"/>
        </w:rPr>
        <w:t>https://www.about.sainsburys.co.uk/~/media/Files/S/Sainsburys/documents/reports-and-presentations/2019/Interims%201920%20RNS.pdf</w:t>
      </w:r>
      <w:r>
        <w:rPr>
          <w:rFonts w:cs="Times New Roman"/>
          <w:szCs w:val="24"/>
        </w:rPr>
        <w:fldChar w:fldCharType="end"/>
      </w:r>
    </w:p>
    <w:p>
      <w:pPr>
        <w:spacing w:before="100" w:beforeAutospacing="1" w:after="100" w:afterAutospacing="1" w:line="240" w:lineRule="auto"/>
        <w:rPr>
          <w:rFonts w:cs="Times New Roman"/>
          <w:szCs w:val="24"/>
        </w:rPr>
      </w:pPr>
      <w:r>
        <w:rPr>
          <w:rFonts w:cs="Times New Roman"/>
          <w:szCs w:val="24"/>
        </w:rPr>
        <w:t>Suh, B. and Han, I. 2003. The impact of customer trust and perception of security onthe acceptance of electronic commerce, International Journal of Electronic Commerce, 7 (3), 135-161</w:t>
      </w:r>
    </w:p>
    <w:p>
      <w:pPr>
        <w:spacing w:before="100" w:beforeAutospacing="1" w:after="100" w:afterAutospacing="1" w:line="240" w:lineRule="auto"/>
        <w:rPr>
          <w:rFonts w:cs="Times New Roman"/>
          <w:szCs w:val="24"/>
        </w:rPr>
      </w:pPr>
      <w:r>
        <w:rPr>
          <w:rFonts w:hint="eastAsia" w:cs="Times New Roman"/>
          <w:szCs w:val="24"/>
          <w:lang w:val="en-US" w:eastAsia="zh-CN"/>
        </w:rPr>
        <w:t xml:space="preserve">The Guardian. 2020. Supper markets struggle to keep up with surge of online orders. [Online]. Available at </w:t>
      </w:r>
      <w:r>
        <w:rPr>
          <w:rFonts w:cs="Times New Roman"/>
          <w:szCs w:val="24"/>
        </w:rPr>
        <w:fldChar w:fldCharType="begin"/>
      </w:r>
      <w:r>
        <w:rPr>
          <w:rFonts w:cs="Times New Roman"/>
          <w:szCs w:val="24"/>
        </w:rPr>
        <w:instrText xml:space="preserve"> HYPERLINK "https://www.theguardian.com/business/2020/mar/13/morrisons-speeds-up-payments-to-small-suppliers-because-of-coronavirus" </w:instrText>
      </w:r>
      <w:r>
        <w:rPr>
          <w:rFonts w:cs="Times New Roman"/>
          <w:szCs w:val="24"/>
        </w:rPr>
        <w:fldChar w:fldCharType="separate"/>
      </w:r>
      <w:r>
        <w:rPr>
          <w:rFonts w:cs="Times New Roman"/>
          <w:szCs w:val="24"/>
        </w:rPr>
        <w:t>https://www.theguardian.com/business/2020/mar/13/morrisons-speeds-up-payments-to-small-suppliers-because-of-coronavirus</w:t>
      </w:r>
      <w:r>
        <w:rPr>
          <w:rFonts w:cs="Times New Roman"/>
          <w:szCs w:val="24"/>
        </w:rPr>
        <w:fldChar w:fldCharType="end"/>
      </w:r>
    </w:p>
    <w:p>
      <w:pPr>
        <w:widowControl w:val="0"/>
        <w:spacing w:before="100" w:beforeAutospacing="1" w:after="100" w:afterAutospacing="1"/>
        <w:rPr>
          <w:rFonts w:cs="Times New Roman"/>
        </w:rPr>
      </w:pPr>
      <w:r>
        <w:rPr>
          <w:rFonts w:hint="eastAsia" w:cs="Times New Roman"/>
        </w:rPr>
        <w:t>Walliman, N. 2011. </w:t>
      </w:r>
      <w:r>
        <w:rPr>
          <w:rFonts w:hint="eastAsia" w:cs="Times New Roman"/>
          <w:i/>
          <w:iCs/>
        </w:rPr>
        <w:t>Research methods</w:t>
      </w:r>
      <w:r>
        <w:rPr>
          <w:rFonts w:hint="eastAsia" w:cs="Times New Roman"/>
        </w:rPr>
        <w:t>. London: Routledge.</w:t>
      </w:r>
    </w:p>
    <w:p>
      <w:pPr>
        <w:spacing w:before="100" w:beforeAutospacing="1" w:after="100" w:afterAutospacing="1" w:line="240" w:lineRule="auto"/>
        <w:rPr>
          <w:rFonts w:cs="Times New Roman"/>
          <w:szCs w:val="24"/>
        </w:rPr>
      </w:pPr>
      <w:r>
        <w:rPr>
          <w:rFonts w:cs="Times New Roman"/>
          <w:szCs w:val="24"/>
        </w:rPr>
        <w:t xml:space="preserve">Wertz, J. 2018. Don’t spend 5 times more attracting new customers, nurture the existing ones. [Online]. Available at </w:t>
      </w:r>
      <w:r>
        <w:fldChar w:fldCharType="begin"/>
      </w:r>
      <w:r>
        <w:instrText xml:space="preserve"> HYPERLINK "https://www.forbes.com/sites/jiawertz/2018/09/12/dont-spend-5-times-more-attracting-new-customers-nurture-the-existing-ones/#7429dd835a8e" </w:instrText>
      </w:r>
      <w:r>
        <w:fldChar w:fldCharType="separate"/>
      </w:r>
      <w:r>
        <w:rPr>
          <w:rStyle w:val="19"/>
          <w:rFonts w:cs="Times New Roman"/>
          <w:szCs w:val="24"/>
        </w:rPr>
        <w:t>https://www.forbes.com/sites/jiawertz/2018/09/12/dont-spend-5-times-more-attracting-new-customers-nurture-the-existing-ones/#7429dd835a8e</w:t>
      </w:r>
      <w:r>
        <w:rPr>
          <w:rFonts w:cs="Times New Roman"/>
          <w:szCs w:val="24"/>
        </w:rPr>
        <w:fldChar w:fldCharType="end"/>
      </w:r>
    </w:p>
    <w:p>
      <w:pPr>
        <w:spacing w:line="240" w:lineRule="auto"/>
        <w:rPr>
          <w:rFonts w:cs="Times New Roman"/>
          <w:szCs w:val="24"/>
        </w:rPr>
      </w:pPr>
      <w:r>
        <w:rPr>
          <w:rFonts w:cs="Times New Roman"/>
          <w:szCs w:val="24"/>
        </w:rPr>
        <w:t xml:space="preserve">Zanoni, A.B. 2011. Strategic analysis: Processes and tools. London: Routledge. </w:t>
      </w:r>
    </w:p>
    <w:p>
      <w:pPr>
        <w:rPr>
          <w:rFonts w:cs="Times New Roman"/>
          <w:bCs/>
          <w:color w:val="000000"/>
          <w:szCs w:val="24"/>
        </w:rPr>
      </w:pPr>
    </w:p>
    <w:p>
      <w:pPr>
        <w:rPr>
          <w:rFonts w:cs="Times New Roman"/>
          <w:bCs/>
          <w:color w:val="000000"/>
          <w:szCs w:val="24"/>
        </w:rPr>
      </w:pPr>
    </w:p>
    <w:p>
      <w:pPr>
        <w:rPr>
          <w:rFonts w:cs="Times New Roman"/>
          <w:bCs/>
          <w:color w:val="000000"/>
          <w:szCs w:val="24"/>
        </w:rPr>
      </w:pPr>
    </w:p>
    <w:p>
      <w:pPr>
        <w:rPr>
          <w:rFonts w:cs="Times New Roman"/>
          <w:bCs/>
          <w:color w:val="000000"/>
          <w:szCs w:val="24"/>
        </w:rPr>
      </w:pPr>
    </w:p>
    <w:p>
      <w:pPr>
        <w:rPr>
          <w:rFonts w:cs="Times New Roman"/>
          <w:bCs/>
          <w:color w:val="000000"/>
          <w:szCs w:val="24"/>
        </w:rPr>
      </w:pPr>
    </w:p>
    <w:p>
      <w:pPr>
        <w:rPr>
          <w:rFonts w:cs="Times New Roman"/>
          <w:bCs/>
          <w:color w:val="000000"/>
          <w:szCs w:val="24"/>
        </w:rPr>
      </w:pPr>
    </w:p>
    <w:p>
      <w:pPr>
        <w:rPr>
          <w:rFonts w:cs="Times New Roman"/>
          <w:bCs/>
          <w:color w:val="000000"/>
          <w:szCs w:val="24"/>
        </w:rPr>
      </w:pPr>
    </w:p>
    <w:p>
      <w:pPr>
        <w:rPr>
          <w:rFonts w:cs="Times New Roman"/>
          <w:bCs/>
          <w:color w:val="000000"/>
          <w:szCs w:val="24"/>
        </w:rPr>
      </w:pPr>
    </w:p>
    <w:p>
      <w:pPr>
        <w:rPr>
          <w:rFonts w:cs="Times New Roman"/>
          <w:bCs/>
          <w:color w:val="000000"/>
          <w:szCs w:val="24"/>
        </w:rPr>
      </w:pPr>
    </w:p>
    <w:p>
      <w:pPr>
        <w:rPr>
          <w:rFonts w:cs="Times New Roman"/>
          <w:bCs/>
          <w:color w:val="000000"/>
          <w:szCs w:val="24"/>
        </w:rPr>
      </w:pPr>
    </w:p>
    <w:p>
      <w:pPr>
        <w:pStyle w:val="2"/>
        <w:rPr>
          <w:rFonts w:cs="Times New Roman"/>
          <w:sz w:val="24"/>
          <w:szCs w:val="24"/>
        </w:rPr>
      </w:pPr>
      <w:bookmarkStart w:id="51" w:name="_Toc27903"/>
      <w:bookmarkStart w:id="52" w:name="_Toc23746"/>
      <w:r>
        <w:rPr>
          <w:rFonts w:hint="eastAsia" w:cs="Times New Roman"/>
          <w:sz w:val="24"/>
          <w:szCs w:val="24"/>
          <w:lang w:val="en-US" w:eastAsia="zh-CN"/>
        </w:rPr>
        <w:t>A</w:t>
      </w:r>
      <w:r>
        <w:rPr>
          <w:rFonts w:cs="Times New Roman"/>
          <w:sz w:val="24"/>
          <w:szCs w:val="24"/>
        </w:rPr>
        <w:t>ppendix 1</w:t>
      </w:r>
      <w:bookmarkEnd w:id="51"/>
      <w:bookmarkEnd w:id="52"/>
    </w:p>
    <w:p>
      <w:pPr>
        <w:widowControl w:val="0"/>
        <w:spacing w:line="240" w:lineRule="auto"/>
        <w:jc w:val="center"/>
        <w:rPr>
          <w:rFonts w:cs="Times New Roman"/>
          <w:b/>
          <w:bCs/>
          <w:szCs w:val="24"/>
        </w:rPr>
      </w:pPr>
      <w:r>
        <w:rPr>
          <w:rFonts w:cs="Times New Roman"/>
          <w:b/>
          <w:bCs/>
          <w:szCs w:val="24"/>
        </w:rPr>
        <w:t>PESTEL Analysis of Sainsbury</w:t>
      </w:r>
    </w:p>
    <w:tbl>
      <w:tblPr>
        <w:tblStyle w:val="35"/>
        <w:tblpPr w:leftFromText="180" w:rightFromText="180" w:vertAnchor="text" w:horzAnchor="page" w:tblpX="750" w:tblpY="455"/>
        <w:tblOverlap w:val="never"/>
        <w:tblW w:w="10524"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056"/>
        <w:gridCol w:w="4232"/>
        <w:gridCol w:w="323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3056" w:type="dxa"/>
            <w:noWrap w:val="0"/>
            <w:vAlign w:val="top"/>
          </w:tcPr>
          <w:p>
            <w:pPr>
              <w:widowControl w:val="0"/>
              <w:spacing w:line="240" w:lineRule="auto"/>
              <w:jc w:val="left"/>
              <w:rPr>
                <w:rFonts w:cs="Times New Roman"/>
                <w:b/>
                <w:bCs/>
                <w:szCs w:val="24"/>
              </w:rPr>
            </w:pPr>
            <w:r>
              <w:rPr>
                <w:rFonts w:cs="Times New Roman"/>
                <w:b/>
                <w:bCs/>
                <w:szCs w:val="24"/>
              </w:rPr>
              <w:t>Environmental Factors</w:t>
            </w:r>
          </w:p>
        </w:tc>
        <w:tc>
          <w:tcPr>
            <w:tcW w:w="4232" w:type="dxa"/>
            <w:noWrap w:val="0"/>
            <w:vAlign w:val="top"/>
          </w:tcPr>
          <w:p>
            <w:pPr>
              <w:widowControl w:val="0"/>
              <w:spacing w:line="240" w:lineRule="auto"/>
              <w:jc w:val="center"/>
              <w:rPr>
                <w:rFonts w:cs="Times New Roman"/>
                <w:b/>
                <w:bCs/>
                <w:szCs w:val="24"/>
              </w:rPr>
            </w:pPr>
            <w:r>
              <w:rPr>
                <w:rFonts w:cs="Times New Roman"/>
                <w:b/>
                <w:bCs/>
                <w:szCs w:val="24"/>
              </w:rPr>
              <w:t>Threats</w:t>
            </w:r>
          </w:p>
        </w:tc>
        <w:tc>
          <w:tcPr>
            <w:tcW w:w="3236" w:type="dxa"/>
            <w:noWrap w:val="0"/>
            <w:vAlign w:val="top"/>
          </w:tcPr>
          <w:p>
            <w:pPr>
              <w:widowControl w:val="0"/>
              <w:spacing w:line="240" w:lineRule="auto"/>
              <w:jc w:val="center"/>
              <w:rPr>
                <w:rFonts w:cs="Times New Roman"/>
                <w:b/>
                <w:bCs/>
                <w:szCs w:val="24"/>
              </w:rPr>
            </w:pPr>
            <w:r>
              <w:rPr>
                <w:rFonts w:cs="Times New Roman"/>
                <w:b/>
                <w:bCs/>
                <w:szCs w:val="24"/>
              </w:rPr>
              <w:t>Opportunities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3056" w:type="dxa"/>
            <w:noWrap w:val="0"/>
            <w:vAlign w:val="top"/>
          </w:tcPr>
          <w:p>
            <w:pPr>
              <w:widowControl w:val="0"/>
              <w:spacing w:line="240" w:lineRule="auto"/>
              <w:jc w:val="left"/>
              <w:rPr>
                <w:rFonts w:cs="Times New Roman"/>
                <w:b/>
                <w:bCs/>
                <w:szCs w:val="24"/>
              </w:rPr>
            </w:pPr>
            <w:r>
              <w:rPr>
                <w:rFonts w:cs="Times New Roman"/>
                <w:b/>
                <w:bCs/>
                <w:szCs w:val="24"/>
              </w:rPr>
              <w:t>Political Environment</w:t>
            </w:r>
          </w:p>
        </w:tc>
        <w:tc>
          <w:tcPr>
            <w:tcW w:w="4232" w:type="dxa"/>
            <w:noWrap w:val="0"/>
            <w:vAlign w:val="top"/>
          </w:tcPr>
          <w:p>
            <w:pPr>
              <w:widowControl w:val="0"/>
              <w:spacing w:line="240" w:lineRule="auto"/>
              <w:rPr>
                <w:rFonts w:cs="Times New Roman"/>
                <w:b/>
                <w:bCs/>
                <w:szCs w:val="24"/>
              </w:rPr>
            </w:pPr>
            <w:r>
              <w:rPr>
                <w:rFonts w:cs="Times New Roman"/>
                <w:szCs w:val="24"/>
              </w:rPr>
              <w:t xml:space="preserve">An orderly Brexit, with a transition period that will continue to the end of 2020, still negatively affects consumer confidence (NY Post, 2020). </w:t>
            </w:r>
          </w:p>
        </w:tc>
        <w:tc>
          <w:tcPr>
            <w:tcW w:w="3236" w:type="dxa"/>
            <w:noWrap w:val="0"/>
            <w:vAlign w:val="top"/>
          </w:tcPr>
          <w:p>
            <w:pPr>
              <w:widowControl w:val="0"/>
              <w:spacing w:line="240" w:lineRule="auto"/>
              <w:rPr>
                <w:rFonts w:cs="Times New Roman"/>
                <w:b/>
                <w:bCs/>
                <w:szCs w:val="24"/>
              </w:rPr>
            </w:pPr>
            <w:r>
              <w:rPr>
                <w:rFonts w:cs="Times New Roman"/>
                <w:b/>
                <w:bCs/>
                <w:szCs w:val="24"/>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056" w:type="dxa"/>
            <w:noWrap w:val="0"/>
            <w:vAlign w:val="top"/>
          </w:tcPr>
          <w:p>
            <w:pPr>
              <w:widowControl w:val="0"/>
              <w:spacing w:line="240" w:lineRule="auto"/>
              <w:jc w:val="left"/>
              <w:rPr>
                <w:rFonts w:cs="Times New Roman"/>
                <w:b/>
                <w:bCs/>
                <w:szCs w:val="24"/>
              </w:rPr>
            </w:pPr>
            <w:r>
              <w:rPr>
                <w:rFonts w:cs="Times New Roman"/>
                <w:b/>
                <w:bCs/>
                <w:szCs w:val="24"/>
              </w:rPr>
              <w:t>Economic Environment</w:t>
            </w:r>
          </w:p>
        </w:tc>
        <w:tc>
          <w:tcPr>
            <w:tcW w:w="4232" w:type="dxa"/>
            <w:noWrap w:val="0"/>
            <w:vAlign w:val="top"/>
          </w:tcPr>
          <w:p>
            <w:pPr>
              <w:widowControl w:val="0"/>
              <w:spacing w:line="240" w:lineRule="auto"/>
              <w:rPr>
                <w:rFonts w:cs="Times New Roman"/>
                <w:b/>
                <w:bCs/>
                <w:szCs w:val="24"/>
              </w:rPr>
            </w:pPr>
            <w:r>
              <w:rPr>
                <w:rFonts w:cs="Times New Roman"/>
                <w:szCs w:val="24"/>
              </w:rPr>
              <w:t>The economy in the United Kingdom is slow, and is only expected to slightly improve in 2021 (PwC, 2019). Nonetheless, the COVID Pandemic sent global economy into recession (Rasmi, 2020)</w:t>
            </w:r>
          </w:p>
        </w:tc>
        <w:tc>
          <w:tcPr>
            <w:tcW w:w="3236" w:type="dxa"/>
            <w:noWrap w:val="0"/>
            <w:vAlign w:val="top"/>
          </w:tcPr>
          <w:p>
            <w:pPr>
              <w:widowControl w:val="0"/>
              <w:spacing w:line="240" w:lineRule="auto"/>
              <w:rPr>
                <w:rFonts w:cs="Times New Roman"/>
                <w:szCs w:val="24"/>
              </w:rPr>
            </w:pPr>
            <w:r>
              <w:rPr>
                <w:rFonts w:cs="Times New Roman"/>
                <w:szCs w:val="24"/>
              </w:rPr>
              <w:t>Economy in the United Kingdom slightly eased in 2019, due recued inflation and growth in average weekly earnings (Sainsbury’s, 2019).</w:t>
            </w:r>
          </w:p>
          <w:p>
            <w:pPr>
              <w:widowControl w:val="0"/>
              <w:spacing w:line="240" w:lineRule="auto"/>
              <w:rPr>
                <w:rFonts w:cs="Times New Roman"/>
                <w:szCs w:val="24"/>
              </w:rPr>
            </w:pPr>
            <w:r>
              <w:rPr>
                <w:rFonts w:cs="Times New Roman"/>
                <w:szCs w:val="24"/>
              </w:rPr>
              <w:t xml:space="preserve">Supermarkets and grocery stores became the safe havens during the on-going COVID-19 pandemic (Rasmi, 2020).  </w:t>
            </w:r>
          </w:p>
          <w:p>
            <w:pPr>
              <w:widowControl w:val="0"/>
              <w:spacing w:line="240" w:lineRule="auto"/>
              <w:rPr>
                <w:rFonts w:cs="Times New Roman"/>
                <w:b/>
                <w:bCs/>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056" w:type="dxa"/>
            <w:noWrap w:val="0"/>
            <w:vAlign w:val="top"/>
          </w:tcPr>
          <w:p>
            <w:pPr>
              <w:widowControl w:val="0"/>
              <w:spacing w:line="240" w:lineRule="auto"/>
              <w:jc w:val="left"/>
              <w:rPr>
                <w:rFonts w:cs="Times New Roman"/>
                <w:b/>
                <w:bCs/>
                <w:szCs w:val="24"/>
              </w:rPr>
            </w:pPr>
            <w:r>
              <w:rPr>
                <w:rFonts w:cs="Times New Roman"/>
                <w:b/>
                <w:bCs/>
                <w:szCs w:val="24"/>
              </w:rPr>
              <w:t>Sociocultural Environment</w:t>
            </w:r>
          </w:p>
        </w:tc>
        <w:tc>
          <w:tcPr>
            <w:tcW w:w="4232" w:type="dxa"/>
            <w:noWrap w:val="0"/>
            <w:vAlign w:val="top"/>
          </w:tcPr>
          <w:p>
            <w:pPr>
              <w:widowControl w:val="0"/>
              <w:spacing w:line="240" w:lineRule="auto"/>
              <w:rPr>
                <w:rFonts w:cs="Times New Roman"/>
                <w:b/>
                <w:bCs/>
                <w:szCs w:val="24"/>
              </w:rPr>
            </w:pPr>
            <w:r>
              <w:rPr>
                <w:rFonts w:cs="Times New Roman"/>
                <w:szCs w:val="24"/>
              </w:rPr>
              <w:t>There is growing trend of eating out, which affects the grocery shopping (Sainsbury’s, 2019)</w:t>
            </w:r>
          </w:p>
        </w:tc>
        <w:tc>
          <w:tcPr>
            <w:tcW w:w="3236" w:type="dxa"/>
            <w:noWrap w:val="0"/>
            <w:vAlign w:val="top"/>
          </w:tcPr>
          <w:p>
            <w:pPr>
              <w:widowControl w:val="0"/>
              <w:spacing w:line="240" w:lineRule="auto"/>
              <w:rPr>
                <w:rFonts w:cs="Times New Roman"/>
                <w:szCs w:val="24"/>
              </w:rPr>
            </w:pPr>
            <w:r>
              <w:rPr>
                <w:rFonts w:cs="Times New Roman"/>
                <w:szCs w:val="24"/>
              </w:rPr>
              <w:t>Demands for online shopping for groceries is growing (Sainsbury’s, 2019).</w:t>
            </w:r>
          </w:p>
          <w:p>
            <w:pPr>
              <w:widowControl w:val="0"/>
              <w:spacing w:line="240" w:lineRule="auto"/>
              <w:rPr>
                <w:rFonts w:cs="Times New Roman"/>
                <w:szCs w:val="24"/>
              </w:rPr>
            </w:pPr>
            <w:r>
              <w:rPr>
                <w:rFonts w:cs="Times New Roman"/>
                <w:szCs w:val="24"/>
              </w:rPr>
              <w:t xml:space="preserve">Consumers are increasing demand for convenience and speed while shopping online (Statista, 2019). </w:t>
            </w:r>
          </w:p>
          <w:p>
            <w:pPr>
              <w:widowControl w:val="0"/>
              <w:spacing w:line="240" w:lineRule="auto"/>
              <w:rPr>
                <w:rFonts w:cs="Times New Roman"/>
                <w:b/>
                <w:bCs/>
                <w:szCs w:val="24"/>
              </w:rPr>
            </w:pPr>
            <w:r>
              <w:rPr>
                <w:rFonts w:cs="Times New Roman"/>
                <w:szCs w:val="24"/>
              </w:rPr>
              <w:t>Non-food retailers are adopting experiential shopping to tackle the rise of online shopping (IBIS World, 2019).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056" w:type="dxa"/>
            <w:noWrap w:val="0"/>
            <w:vAlign w:val="top"/>
          </w:tcPr>
          <w:p>
            <w:pPr>
              <w:widowControl w:val="0"/>
              <w:spacing w:line="240" w:lineRule="auto"/>
              <w:jc w:val="left"/>
              <w:rPr>
                <w:rFonts w:cs="Times New Roman"/>
                <w:b/>
                <w:bCs/>
                <w:szCs w:val="24"/>
              </w:rPr>
            </w:pPr>
            <w:r>
              <w:rPr>
                <w:rFonts w:cs="Times New Roman"/>
                <w:b/>
                <w:bCs/>
                <w:szCs w:val="24"/>
              </w:rPr>
              <w:t>Technological Environment</w:t>
            </w:r>
          </w:p>
        </w:tc>
        <w:tc>
          <w:tcPr>
            <w:tcW w:w="4232" w:type="dxa"/>
            <w:noWrap w:val="0"/>
            <w:vAlign w:val="top"/>
          </w:tcPr>
          <w:p>
            <w:pPr>
              <w:widowControl w:val="0"/>
              <w:spacing w:line="240" w:lineRule="auto"/>
              <w:rPr>
                <w:rFonts w:cs="Times New Roman"/>
                <w:szCs w:val="24"/>
              </w:rPr>
            </w:pPr>
            <w:r>
              <w:rPr>
                <w:rFonts w:cs="Times New Roman"/>
                <w:szCs w:val="24"/>
              </w:rPr>
              <w:t>The increased channels for food, clothing and general merchandise reduced barriers for new entrants into the retail sector, further increasing the competitive pressure of Sainsbury’s (Sainsbury’s, 2019).</w:t>
            </w:r>
          </w:p>
          <w:p>
            <w:pPr>
              <w:widowControl w:val="0"/>
              <w:spacing w:line="240" w:lineRule="auto"/>
              <w:rPr>
                <w:rFonts w:cs="Times New Roman"/>
                <w:b/>
                <w:bCs/>
                <w:szCs w:val="24"/>
              </w:rPr>
            </w:pPr>
            <w:r>
              <w:rPr>
                <w:rFonts w:cs="Times New Roman"/>
                <w:szCs w:val="24"/>
              </w:rPr>
              <w:t xml:space="preserve">Growth of food delivery services, including Just Eat, Deliveroo, negatively impacts on grocery shopping (Cochoy, 2018). </w:t>
            </w:r>
          </w:p>
        </w:tc>
        <w:tc>
          <w:tcPr>
            <w:tcW w:w="3236" w:type="dxa"/>
            <w:noWrap w:val="0"/>
            <w:vAlign w:val="top"/>
          </w:tcPr>
          <w:p>
            <w:pPr>
              <w:widowControl w:val="0"/>
              <w:spacing w:line="240" w:lineRule="auto"/>
              <w:rPr>
                <w:rFonts w:cs="Times New Roman"/>
                <w:b/>
                <w:bCs/>
                <w:szCs w:val="24"/>
              </w:rPr>
            </w:pPr>
            <w:r>
              <w:rPr>
                <w:rFonts w:cs="Times New Roman"/>
                <w:szCs w:val="24"/>
              </w:rPr>
              <w:t>Online shopping expands the reach of supermarkets (IBIS World, 2019)</w:t>
            </w:r>
            <w:r>
              <w:rPr>
                <w:rFonts w:cs="Times New Roman"/>
                <w:b/>
                <w:bCs/>
                <w:szCs w:val="24"/>
              </w:rPr>
              <w:t>.</w:t>
            </w:r>
          </w:p>
          <w:p>
            <w:pPr>
              <w:widowControl w:val="0"/>
              <w:spacing w:line="240" w:lineRule="auto"/>
              <w:rPr>
                <w:rFonts w:cs="Times New Roman"/>
                <w:b/>
                <w:bCs/>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056" w:type="dxa"/>
            <w:noWrap w:val="0"/>
            <w:vAlign w:val="top"/>
          </w:tcPr>
          <w:p>
            <w:pPr>
              <w:widowControl w:val="0"/>
              <w:spacing w:line="240" w:lineRule="auto"/>
              <w:jc w:val="left"/>
              <w:rPr>
                <w:rFonts w:cs="Times New Roman"/>
                <w:b/>
                <w:bCs/>
                <w:szCs w:val="24"/>
              </w:rPr>
            </w:pPr>
            <w:r>
              <w:rPr>
                <w:rFonts w:cs="Times New Roman"/>
                <w:b/>
                <w:bCs/>
                <w:szCs w:val="24"/>
              </w:rPr>
              <w:t>Ecological Environment</w:t>
            </w:r>
          </w:p>
        </w:tc>
        <w:tc>
          <w:tcPr>
            <w:tcW w:w="4232" w:type="dxa"/>
            <w:noWrap w:val="0"/>
            <w:vAlign w:val="top"/>
          </w:tcPr>
          <w:p>
            <w:pPr>
              <w:widowControl w:val="0"/>
              <w:spacing w:line="240" w:lineRule="auto"/>
              <w:rPr>
                <w:rFonts w:cs="Times New Roman"/>
                <w:szCs w:val="24"/>
              </w:rPr>
            </w:pPr>
            <w:r>
              <w:rPr>
                <w:rFonts w:cs="Times New Roman"/>
                <w:szCs w:val="24"/>
              </w:rPr>
              <w:t>Drastic climate change may disrupt  operations of supermarkets.</w:t>
            </w:r>
          </w:p>
          <w:p>
            <w:pPr>
              <w:widowControl w:val="0"/>
              <w:spacing w:line="240" w:lineRule="auto"/>
              <w:rPr>
                <w:rFonts w:cs="Times New Roman"/>
                <w:szCs w:val="24"/>
              </w:rPr>
            </w:pPr>
            <w:r>
              <w:rPr>
                <w:rFonts w:cs="Times New Roman"/>
                <w:szCs w:val="24"/>
              </w:rPr>
              <w:t xml:space="preserve">The cronoavirus endemic in China is affect the food imports and exports between UK and China (Institute of Export and International Trade, 2020). </w:t>
            </w:r>
          </w:p>
        </w:tc>
        <w:tc>
          <w:tcPr>
            <w:tcW w:w="3236" w:type="dxa"/>
            <w:noWrap w:val="0"/>
            <w:vAlign w:val="top"/>
          </w:tcPr>
          <w:p>
            <w:pPr>
              <w:widowControl w:val="0"/>
              <w:spacing w:line="240" w:lineRule="auto"/>
              <w:rPr>
                <w:rFonts w:cs="Times New Roman"/>
                <w:b/>
                <w:bCs/>
                <w:szCs w:val="24"/>
              </w:rPr>
            </w:pPr>
            <w:r>
              <w:rPr>
                <w:rFonts w:cs="Times New Roman"/>
                <w:b/>
                <w:bCs/>
                <w:szCs w:val="24"/>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056" w:type="dxa"/>
            <w:noWrap w:val="0"/>
            <w:vAlign w:val="top"/>
          </w:tcPr>
          <w:p>
            <w:pPr>
              <w:widowControl w:val="0"/>
              <w:spacing w:line="240" w:lineRule="auto"/>
              <w:jc w:val="left"/>
              <w:rPr>
                <w:rFonts w:cs="Times New Roman"/>
                <w:b/>
                <w:bCs/>
                <w:szCs w:val="24"/>
              </w:rPr>
            </w:pPr>
            <w:r>
              <w:rPr>
                <w:rFonts w:cs="Times New Roman"/>
                <w:b/>
                <w:bCs/>
                <w:szCs w:val="24"/>
              </w:rPr>
              <w:t>Legal Environment</w:t>
            </w:r>
          </w:p>
        </w:tc>
        <w:tc>
          <w:tcPr>
            <w:tcW w:w="4232" w:type="dxa"/>
            <w:noWrap w:val="0"/>
            <w:vAlign w:val="top"/>
          </w:tcPr>
          <w:p>
            <w:pPr>
              <w:widowControl w:val="0"/>
              <w:spacing w:line="240" w:lineRule="auto"/>
              <w:rPr>
                <w:rFonts w:cs="Times New Roman"/>
                <w:szCs w:val="24"/>
              </w:rPr>
            </w:pPr>
            <w:r>
              <w:rPr>
                <w:rFonts w:cs="Times New Roman"/>
                <w:szCs w:val="24"/>
              </w:rPr>
              <w:t>Products imported from the EU countries requires new custom and tax practices, which may increase the complexity and costs of supermarket supply chain (McKinsey &amp; Company, 2019).</w:t>
            </w:r>
          </w:p>
        </w:tc>
        <w:tc>
          <w:tcPr>
            <w:tcW w:w="3236" w:type="dxa"/>
            <w:noWrap w:val="0"/>
            <w:vAlign w:val="top"/>
          </w:tcPr>
          <w:p>
            <w:pPr>
              <w:widowControl w:val="0"/>
              <w:spacing w:line="240" w:lineRule="auto"/>
              <w:rPr>
                <w:rFonts w:cs="Times New Roman"/>
                <w:b/>
                <w:bCs/>
                <w:szCs w:val="24"/>
              </w:rPr>
            </w:pPr>
            <w:r>
              <w:rPr>
                <w:rFonts w:cs="Times New Roman"/>
                <w:b/>
                <w:bCs/>
                <w:szCs w:val="24"/>
              </w:rPr>
              <w:t>N/A</w:t>
            </w:r>
          </w:p>
        </w:tc>
      </w:tr>
    </w:tbl>
    <w:p>
      <w:pPr>
        <w:rPr>
          <w:rFonts w:cs="Times New Roman"/>
          <w:b/>
          <w:bCs/>
          <w:szCs w:val="24"/>
        </w:rPr>
      </w:pPr>
    </w:p>
    <w:p>
      <w:pPr>
        <w:rPr>
          <w:rFonts w:cs="Times New Roman"/>
          <w:b/>
          <w:bCs/>
          <w:szCs w:val="24"/>
        </w:rPr>
      </w:pPr>
    </w:p>
    <w:p>
      <w:pPr>
        <w:rPr>
          <w:rFonts w:cs="Times New Roman"/>
          <w:b/>
          <w:bCs/>
          <w:szCs w:val="24"/>
        </w:rPr>
      </w:pPr>
    </w:p>
    <w:p>
      <w:pPr>
        <w:rPr>
          <w:rFonts w:cs="Times New Roman"/>
          <w:b/>
          <w:bCs/>
          <w:szCs w:val="24"/>
        </w:rPr>
      </w:pPr>
    </w:p>
    <w:p>
      <w:pPr>
        <w:rPr>
          <w:rFonts w:cs="Times New Roman"/>
          <w:b/>
          <w:bCs/>
          <w:szCs w:val="24"/>
        </w:rPr>
      </w:pPr>
    </w:p>
    <w:p>
      <w:pPr>
        <w:rPr>
          <w:rFonts w:cs="Times New Roman"/>
          <w:b/>
          <w:bCs/>
          <w:szCs w:val="24"/>
        </w:rPr>
      </w:pPr>
    </w:p>
    <w:p>
      <w:pPr>
        <w:rPr>
          <w:rFonts w:cs="Times New Roman"/>
          <w:b/>
          <w:bCs/>
          <w:szCs w:val="24"/>
        </w:rPr>
      </w:pPr>
    </w:p>
    <w:p>
      <w:pPr>
        <w:rPr>
          <w:rFonts w:cs="Times New Roman"/>
          <w:b/>
          <w:bCs/>
          <w:szCs w:val="24"/>
        </w:rPr>
      </w:pPr>
    </w:p>
    <w:p>
      <w:pPr>
        <w:rPr>
          <w:rFonts w:cs="Times New Roman"/>
          <w:b/>
          <w:bCs/>
          <w:szCs w:val="24"/>
        </w:rPr>
      </w:pPr>
    </w:p>
    <w:p>
      <w:pPr>
        <w:rPr>
          <w:rFonts w:cs="Times New Roman"/>
          <w:b/>
          <w:bCs/>
          <w:szCs w:val="24"/>
        </w:rPr>
      </w:pPr>
    </w:p>
    <w:p>
      <w:pPr>
        <w:rPr>
          <w:rFonts w:cs="Times New Roman"/>
          <w:b/>
          <w:bCs/>
          <w:szCs w:val="24"/>
        </w:rPr>
      </w:pPr>
    </w:p>
    <w:p>
      <w:pPr>
        <w:rPr>
          <w:rFonts w:cs="Times New Roman"/>
          <w:b/>
          <w:bCs/>
          <w:szCs w:val="24"/>
        </w:rPr>
      </w:pPr>
    </w:p>
    <w:p>
      <w:pPr>
        <w:rPr>
          <w:rFonts w:cs="Times New Roman"/>
          <w:b/>
          <w:bCs/>
          <w:szCs w:val="24"/>
        </w:rPr>
      </w:pPr>
    </w:p>
    <w:p>
      <w:pPr>
        <w:pStyle w:val="2"/>
        <w:rPr>
          <w:rFonts w:cs="Times New Roman"/>
          <w:sz w:val="24"/>
          <w:szCs w:val="24"/>
        </w:rPr>
      </w:pPr>
      <w:bookmarkStart w:id="53" w:name="_Toc5934"/>
      <w:bookmarkStart w:id="54" w:name="_Toc3120"/>
      <w:bookmarkStart w:id="55" w:name="_Toc39152463"/>
      <w:r>
        <w:rPr>
          <w:rFonts w:cs="Times New Roman"/>
          <w:sz w:val="24"/>
          <w:szCs w:val="24"/>
        </w:rPr>
        <w:t>Appendix 2</w:t>
      </w:r>
      <w:bookmarkEnd w:id="53"/>
      <w:bookmarkEnd w:id="54"/>
      <w:bookmarkEnd w:id="55"/>
    </w:p>
    <w:p>
      <w:pPr>
        <w:rPr>
          <w:rFonts w:cs="Times New Roman"/>
          <w:b/>
          <w:bCs/>
          <w:szCs w:val="24"/>
        </w:rPr>
      </w:pPr>
      <w:r>
        <w:rPr>
          <w:rFonts w:cs="Times New Roman"/>
          <w:b/>
          <w:bCs/>
          <w:szCs w:val="24"/>
        </w:rPr>
        <w:t>Porter’s Five Forces Analysis</w:t>
      </w:r>
    </w:p>
    <w:tbl>
      <w:tblPr>
        <w:tblStyle w:val="1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510"/>
        <w:gridCol w:w="1985"/>
        <w:gridCol w:w="302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510" w:type="dxa"/>
            <w:noWrap w:val="0"/>
            <w:vAlign w:val="top"/>
          </w:tcPr>
          <w:p>
            <w:pPr>
              <w:widowControl w:val="0"/>
              <w:spacing w:line="240" w:lineRule="auto"/>
              <w:rPr>
                <w:rFonts w:cs="Times New Roman"/>
                <w:b/>
                <w:bCs/>
                <w:szCs w:val="24"/>
              </w:rPr>
            </w:pPr>
            <w:r>
              <w:rPr>
                <w:rFonts w:cs="Times New Roman"/>
                <w:b/>
                <w:bCs/>
                <w:szCs w:val="24"/>
              </w:rPr>
              <w:t>Type of Threat</w:t>
            </w:r>
          </w:p>
        </w:tc>
        <w:tc>
          <w:tcPr>
            <w:tcW w:w="1985" w:type="dxa"/>
            <w:noWrap w:val="0"/>
            <w:vAlign w:val="top"/>
          </w:tcPr>
          <w:p>
            <w:pPr>
              <w:widowControl w:val="0"/>
              <w:spacing w:line="240" w:lineRule="auto"/>
              <w:rPr>
                <w:rFonts w:cs="Times New Roman"/>
                <w:b/>
                <w:bCs/>
                <w:szCs w:val="24"/>
              </w:rPr>
            </w:pPr>
            <w:r>
              <w:rPr>
                <w:rFonts w:cs="Times New Roman"/>
                <w:b/>
                <w:bCs/>
                <w:szCs w:val="24"/>
              </w:rPr>
              <w:t>Level of Threat</w:t>
            </w:r>
          </w:p>
        </w:tc>
        <w:tc>
          <w:tcPr>
            <w:tcW w:w="3027" w:type="dxa"/>
            <w:noWrap w:val="0"/>
            <w:vAlign w:val="top"/>
          </w:tcPr>
          <w:p>
            <w:pPr>
              <w:widowControl w:val="0"/>
              <w:spacing w:line="240" w:lineRule="auto"/>
              <w:rPr>
                <w:rFonts w:cs="Times New Roman"/>
                <w:b/>
                <w:bCs/>
                <w:szCs w:val="24"/>
              </w:rPr>
            </w:pPr>
            <w:r>
              <w:rPr>
                <w:rFonts w:cs="Times New Roman"/>
                <w:b/>
                <w:bCs/>
                <w:szCs w:val="24"/>
              </w:rPr>
              <w:t>Explanation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510" w:type="dxa"/>
            <w:noWrap w:val="0"/>
            <w:vAlign w:val="top"/>
          </w:tcPr>
          <w:p>
            <w:pPr>
              <w:widowControl w:val="0"/>
              <w:spacing w:line="240" w:lineRule="auto"/>
              <w:rPr>
                <w:rFonts w:cs="Times New Roman"/>
                <w:bCs/>
                <w:szCs w:val="24"/>
              </w:rPr>
            </w:pPr>
            <w:r>
              <w:rPr>
                <w:rFonts w:cs="Times New Roman"/>
                <w:bCs/>
                <w:szCs w:val="24"/>
              </w:rPr>
              <w:t>Threat of New Entrants</w:t>
            </w:r>
          </w:p>
        </w:tc>
        <w:tc>
          <w:tcPr>
            <w:tcW w:w="1985" w:type="dxa"/>
            <w:noWrap w:val="0"/>
            <w:vAlign w:val="top"/>
          </w:tcPr>
          <w:p>
            <w:pPr>
              <w:widowControl w:val="0"/>
              <w:spacing w:line="240" w:lineRule="auto"/>
              <w:rPr>
                <w:rFonts w:cs="Times New Roman"/>
                <w:bCs/>
                <w:szCs w:val="24"/>
              </w:rPr>
            </w:pPr>
            <w:r>
              <w:rPr>
                <w:rFonts w:cs="Times New Roman"/>
                <w:bCs/>
                <w:szCs w:val="24"/>
              </w:rPr>
              <w:t>Low to Medium</w:t>
            </w:r>
          </w:p>
        </w:tc>
        <w:tc>
          <w:tcPr>
            <w:tcW w:w="3027" w:type="dxa"/>
            <w:noWrap w:val="0"/>
            <w:vAlign w:val="top"/>
          </w:tcPr>
          <w:p>
            <w:pPr>
              <w:widowControl w:val="0"/>
              <w:spacing w:line="240" w:lineRule="auto"/>
              <w:rPr>
                <w:rFonts w:cs="Times New Roman"/>
                <w:bCs/>
                <w:szCs w:val="24"/>
              </w:rPr>
            </w:pPr>
            <w:r>
              <w:rPr>
                <w:rFonts w:cs="Times New Roman"/>
                <w:bCs/>
                <w:szCs w:val="24"/>
              </w:rPr>
              <w:t xml:space="preserve">Large supermarket chains require economies of scale; however, small grocery stores have low barrier to enter the industry.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510" w:type="dxa"/>
            <w:noWrap w:val="0"/>
            <w:vAlign w:val="top"/>
          </w:tcPr>
          <w:p>
            <w:pPr>
              <w:widowControl w:val="0"/>
              <w:spacing w:line="240" w:lineRule="auto"/>
              <w:rPr>
                <w:rFonts w:cs="Times New Roman"/>
                <w:bCs/>
                <w:szCs w:val="24"/>
              </w:rPr>
            </w:pPr>
            <w:r>
              <w:rPr>
                <w:rFonts w:cs="Times New Roman"/>
                <w:bCs/>
                <w:szCs w:val="24"/>
              </w:rPr>
              <w:t>Threat of Substitutes</w:t>
            </w:r>
          </w:p>
        </w:tc>
        <w:tc>
          <w:tcPr>
            <w:tcW w:w="1985" w:type="dxa"/>
            <w:noWrap w:val="0"/>
            <w:vAlign w:val="top"/>
          </w:tcPr>
          <w:p>
            <w:pPr>
              <w:widowControl w:val="0"/>
              <w:spacing w:line="240" w:lineRule="auto"/>
              <w:rPr>
                <w:rFonts w:cs="Times New Roman"/>
                <w:bCs/>
                <w:szCs w:val="24"/>
              </w:rPr>
            </w:pPr>
            <w:r>
              <w:rPr>
                <w:rFonts w:cs="Times New Roman"/>
                <w:bCs/>
                <w:szCs w:val="24"/>
              </w:rPr>
              <w:t>High</w:t>
            </w:r>
          </w:p>
        </w:tc>
        <w:tc>
          <w:tcPr>
            <w:tcW w:w="3027" w:type="dxa"/>
            <w:noWrap w:val="0"/>
            <w:vAlign w:val="top"/>
          </w:tcPr>
          <w:p>
            <w:pPr>
              <w:widowControl w:val="0"/>
              <w:spacing w:line="240" w:lineRule="auto"/>
              <w:rPr>
                <w:rFonts w:cs="Times New Roman"/>
                <w:bCs/>
                <w:szCs w:val="24"/>
              </w:rPr>
            </w:pPr>
            <w:r>
              <w:rPr>
                <w:rFonts w:cs="Times New Roman"/>
                <w:bCs/>
                <w:szCs w:val="24"/>
              </w:rPr>
              <w:t>Rise of discounters, such as Aldi, and Ldil, and online only retailers, such as Ocardo, continues to eroding the market share of large chain supermarkets (Retail Detail, 2020)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510" w:type="dxa"/>
            <w:noWrap w:val="0"/>
            <w:vAlign w:val="top"/>
          </w:tcPr>
          <w:p>
            <w:pPr>
              <w:widowControl w:val="0"/>
              <w:spacing w:line="240" w:lineRule="auto"/>
              <w:rPr>
                <w:rFonts w:cs="Times New Roman"/>
                <w:bCs/>
                <w:szCs w:val="24"/>
              </w:rPr>
            </w:pPr>
            <w:r>
              <w:rPr>
                <w:rFonts w:cs="Times New Roman"/>
                <w:bCs/>
                <w:szCs w:val="24"/>
              </w:rPr>
              <w:t>Bargaining Power of Buyers</w:t>
            </w:r>
          </w:p>
        </w:tc>
        <w:tc>
          <w:tcPr>
            <w:tcW w:w="1985" w:type="dxa"/>
            <w:noWrap w:val="0"/>
            <w:vAlign w:val="top"/>
          </w:tcPr>
          <w:p>
            <w:pPr>
              <w:widowControl w:val="0"/>
              <w:spacing w:line="240" w:lineRule="auto"/>
              <w:rPr>
                <w:rFonts w:cs="Times New Roman"/>
                <w:bCs/>
                <w:szCs w:val="24"/>
              </w:rPr>
            </w:pPr>
            <w:r>
              <w:rPr>
                <w:rFonts w:cs="Times New Roman"/>
                <w:bCs/>
                <w:szCs w:val="24"/>
              </w:rPr>
              <w:t>High</w:t>
            </w:r>
          </w:p>
        </w:tc>
        <w:tc>
          <w:tcPr>
            <w:tcW w:w="3027" w:type="dxa"/>
            <w:noWrap w:val="0"/>
            <w:vAlign w:val="top"/>
          </w:tcPr>
          <w:p>
            <w:pPr>
              <w:widowControl w:val="0"/>
              <w:spacing w:line="240" w:lineRule="auto"/>
              <w:rPr>
                <w:rFonts w:cs="Times New Roman"/>
                <w:bCs/>
                <w:szCs w:val="24"/>
              </w:rPr>
            </w:pPr>
            <w:r>
              <w:rPr>
                <w:rFonts w:cs="Times New Roman"/>
                <w:bCs/>
                <w:szCs w:val="24"/>
              </w:rPr>
              <w:t>The many options in the market increase the bargaining power of buyers.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510" w:type="dxa"/>
            <w:noWrap w:val="0"/>
            <w:vAlign w:val="top"/>
          </w:tcPr>
          <w:p>
            <w:pPr>
              <w:widowControl w:val="0"/>
              <w:spacing w:line="240" w:lineRule="auto"/>
              <w:rPr>
                <w:rFonts w:cs="Times New Roman"/>
                <w:bCs/>
                <w:szCs w:val="24"/>
              </w:rPr>
            </w:pPr>
            <w:r>
              <w:rPr>
                <w:rFonts w:cs="Times New Roman"/>
                <w:bCs/>
                <w:szCs w:val="24"/>
              </w:rPr>
              <w:t>Bargaining Power of Suppliers</w:t>
            </w:r>
          </w:p>
        </w:tc>
        <w:tc>
          <w:tcPr>
            <w:tcW w:w="1985" w:type="dxa"/>
            <w:noWrap w:val="0"/>
            <w:vAlign w:val="top"/>
          </w:tcPr>
          <w:p>
            <w:pPr>
              <w:widowControl w:val="0"/>
              <w:spacing w:line="240" w:lineRule="auto"/>
              <w:rPr>
                <w:rFonts w:cs="Times New Roman"/>
                <w:bCs/>
                <w:szCs w:val="24"/>
              </w:rPr>
            </w:pPr>
            <w:r>
              <w:rPr>
                <w:rFonts w:cs="Times New Roman"/>
                <w:bCs/>
                <w:szCs w:val="24"/>
              </w:rPr>
              <w:t>Low</w:t>
            </w:r>
          </w:p>
        </w:tc>
        <w:tc>
          <w:tcPr>
            <w:tcW w:w="3027" w:type="dxa"/>
            <w:noWrap w:val="0"/>
            <w:vAlign w:val="top"/>
          </w:tcPr>
          <w:p>
            <w:pPr>
              <w:widowControl w:val="0"/>
              <w:spacing w:line="240" w:lineRule="auto"/>
              <w:rPr>
                <w:rFonts w:cs="Times New Roman"/>
                <w:bCs/>
                <w:szCs w:val="24"/>
              </w:rPr>
            </w:pPr>
            <w:r>
              <w:rPr>
                <w:rFonts w:cs="Times New Roman"/>
                <w:bCs/>
                <w:szCs w:val="24"/>
              </w:rPr>
              <w:t xml:space="preserve">Low, because there are a large number of supplier’s available in UK.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510" w:type="dxa"/>
            <w:noWrap w:val="0"/>
            <w:vAlign w:val="top"/>
          </w:tcPr>
          <w:p>
            <w:pPr>
              <w:widowControl w:val="0"/>
              <w:spacing w:line="240" w:lineRule="auto"/>
              <w:rPr>
                <w:rFonts w:cs="Times New Roman"/>
                <w:bCs/>
                <w:szCs w:val="24"/>
              </w:rPr>
            </w:pPr>
            <w:r>
              <w:rPr>
                <w:rFonts w:cs="Times New Roman"/>
                <w:bCs/>
                <w:szCs w:val="24"/>
              </w:rPr>
              <w:t>Competitive Rivalry</w:t>
            </w:r>
          </w:p>
        </w:tc>
        <w:tc>
          <w:tcPr>
            <w:tcW w:w="1985" w:type="dxa"/>
            <w:noWrap w:val="0"/>
            <w:vAlign w:val="top"/>
          </w:tcPr>
          <w:p>
            <w:pPr>
              <w:widowControl w:val="0"/>
              <w:spacing w:line="240" w:lineRule="auto"/>
              <w:rPr>
                <w:rFonts w:cs="Times New Roman"/>
                <w:bCs/>
                <w:szCs w:val="24"/>
              </w:rPr>
            </w:pPr>
            <w:r>
              <w:rPr>
                <w:rFonts w:cs="Times New Roman"/>
                <w:bCs/>
                <w:szCs w:val="24"/>
              </w:rPr>
              <w:t>High</w:t>
            </w:r>
          </w:p>
        </w:tc>
        <w:tc>
          <w:tcPr>
            <w:tcW w:w="3027" w:type="dxa"/>
            <w:noWrap w:val="0"/>
            <w:vAlign w:val="top"/>
          </w:tcPr>
          <w:p>
            <w:pPr>
              <w:widowControl w:val="0"/>
              <w:spacing w:line="240" w:lineRule="auto"/>
              <w:rPr>
                <w:rFonts w:cs="Times New Roman"/>
                <w:b/>
                <w:bCs/>
                <w:szCs w:val="24"/>
              </w:rPr>
            </w:pPr>
            <w:r>
              <w:rPr>
                <w:rFonts w:cs="Times New Roman"/>
                <w:bCs/>
                <w:szCs w:val="24"/>
              </w:rPr>
              <w:t>Competition in the chain supermarket sector is intense (PwC, 2019). They are increasingly losing market share to small retailers.</w:t>
            </w:r>
          </w:p>
        </w:tc>
      </w:tr>
    </w:tbl>
    <w:p>
      <w:pPr>
        <w:rPr>
          <w:rFonts w:cs="Times New Roman"/>
          <w:b/>
          <w:bCs/>
          <w:szCs w:val="24"/>
        </w:rPr>
      </w:pPr>
    </w:p>
    <w:p>
      <w:pPr>
        <w:rPr>
          <w:rFonts w:cs="Times New Roman"/>
          <w:b/>
          <w:bCs/>
          <w:szCs w:val="24"/>
        </w:rPr>
      </w:pPr>
    </w:p>
    <w:p>
      <w:pPr>
        <w:rPr>
          <w:rFonts w:cs="Times New Roman"/>
          <w:b/>
          <w:bCs/>
          <w:szCs w:val="24"/>
        </w:rPr>
      </w:pPr>
    </w:p>
    <w:p>
      <w:pPr>
        <w:rPr>
          <w:rFonts w:cs="Times New Roman"/>
          <w:b/>
          <w:bCs/>
          <w:szCs w:val="24"/>
        </w:rPr>
      </w:pPr>
    </w:p>
    <w:p>
      <w:pPr>
        <w:rPr>
          <w:rFonts w:cs="Times New Roman"/>
          <w:b/>
          <w:bCs/>
          <w:szCs w:val="24"/>
        </w:rPr>
      </w:pPr>
    </w:p>
    <w:p>
      <w:pPr>
        <w:pStyle w:val="2"/>
        <w:rPr>
          <w:rFonts w:cs="Times New Roman"/>
          <w:sz w:val="24"/>
          <w:szCs w:val="24"/>
        </w:rPr>
      </w:pPr>
      <w:bookmarkStart w:id="56" w:name="_Toc4891"/>
      <w:bookmarkStart w:id="57" w:name="_Toc18654"/>
      <w:bookmarkStart w:id="58" w:name="_Toc39152464"/>
      <w:r>
        <w:rPr>
          <w:rFonts w:cs="Times New Roman"/>
          <w:sz w:val="24"/>
          <w:szCs w:val="24"/>
        </w:rPr>
        <w:t>Appendix 3</w:t>
      </w:r>
      <w:bookmarkEnd w:id="56"/>
      <w:bookmarkEnd w:id="57"/>
      <w:bookmarkEnd w:id="58"/>
      <w:r>
        <w:rPr>
          <w:rFonts w:cs="Times New Roman"/>
          <w:sz w:val="24"/>
          <w:szCs w:val="24"/>
        </w:rPr>
        <w:t xml:space="preserve"> </w:t>
      </w:r>
    </w:p>
    <w:p>
      <w:pPr>
        <w:rPr>
          <w:rFonts w:cs="Times New Roman"/>
          <w:b/>
          <w:bCs/>
          <w:szCs w:val="24"/>
        </w:rPr>
      </w:pPr>
      <w:r>
        <w:rPr>
          <w:rFonts w:cs="Times New Roman"/>
          <w:b/>
          <w:bCs/>
          <w:szCs w:val="24"/>
        </w:rPr>
        <w:t xml:space="preserve">SWOT Analysis of Sainsbury’s </w:t>
      </w:r>
    </w:p>
    <w:tbl>
      <w:tblPr>
        <w:tblStyle w:val="1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261"/>
        <w:gridCol w:w="426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noWrap w:val="0"/>
            <w:vAlign w:val="top"/>
          </w:tcPr>
          <w:p>
            <w:pPr>
              <w:widowControl w:val="0"/>
              <w:spacing w:line="240" w:lineRule="auto"/>
              <w:rPr>
                <w:rFonts w:cs="Times New Roman"/>
                <w:b/>
                <w:bCs/>
                <w:szCs w:val="24"/>
              </w:rPr>
            </w:pPr>
            <w:r>
              <w:rPr>
                <w:rFonts w:cs="Times New Roman"/>
                <w:b/>
                <w:bCs/>
                <w:szCs w:val="24"/>
              </w:rPr>
              <w:t xml:space="preserve">Strengths </w:t>
            </w:r>
          </w:p>
        </w:tc>
        <w:tc>
          <w:tcPr>
            <w:tcW w:w="4261" w:type="dxa"/>
            <w:noWrap w:val="0"/>
            <w:vAlign w:val="top"/>
          </w:tcPr>
          <w:p>
            <w:pPr>
              <w:widowControl w:val="0"/>
              <w:spacing w:line="240" w:lineRule="auto"/>
              <w:rPr>
                <w:rFonts w:cs="Times New Roman"/>
                <w:b/>
                <w:bCs/>
                <w:szCs w:val="24"/>
              </w:rPr>
            </w:pPr>
            <w:r>
              <w:rPr>
                <w:rFonts w:cs="Times New Roman"/>
                <w:b/>
                <w:bCs/>
                <w:szCs w:val="24"/>
              </w:rPr>
              <w:t>Weaknesses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noWrap w:val="0"/>
            <w:vAlign w:val="top"/>
          </w:tcPr>
          <w:p>
            <w:pPr>
              <w:widowControl w:val="0"/>
              <w:spacing w:line="240" w:lineRule="auto"/>
              <w:rPr>
                <w:rFonts w:cs="Times New Roman"/>
                <w:szCs w:val="24"/>
              </w:rPr>
            </w:pPr>
            <w:r>
              <w:rPr>
                <w:rFonts w:cs="Times New Roman"/>
                <w:szCs w:val="24"/>
              </w:rPr>
              <w:t>Being able to offer customers quality products at competitive prices (Sainsbury’s, 2019)</w:t>
            </w:r>
          </w:p>
          <w:p>
            <w:pPr>
              <w:widowControl w:val="0"/>
              <w:spacing w:line="240" w:lineRule="auto"/>
              <w:rPr>
                <w:rFonts w:cs="Times New Roman"/>
                <w:szCs w:val="24"/>
              </w:rPr>
            </w:pPr>
            <w:r>
              <w:rPr>
                <w:rFonts w:cs="Times New Roman"/>
                <w:szCs w:val="24"/>
              </w:rPr>
              <w:t xml:space="preserve">A focus on distinctive products and new product categories (Sainsbury’s, 2019); </w:t>
            </w:r>
          </w:p>
          <w:p>
            <w:pPr>
              <w:widowControl w:val="0"/>
              <w:spacing w:line="240" w:lineRule="auto"/>
              <w:rPr>
                <w:rFonts w:cs="Times New Roman"/>
                <w:szCs w:val="24"/>
              </w:rPr>
            </w:pPr>
            <w:r>
              <w:rPr>
                <w:rFonts w:cs="Times New Roman"/>
                <w:szCs w:val="24"/>
              </w:rPr>
              <w:t xml:space="preserve">A focus on making shopping convenient to customers (Sainsbury’s, 2019); </w:t>
            </w:r>
          </w:p>
          <w:p>
            <w:pPr>
              <w:widowControl w:val="0"/>
              <w:spacing w:line="240" w:lineRule="auto"/>
              <w:rPr>
                <w:rFonts w:cs="Times New Roman"/>
                <w:szCs w:val="24"/>
              </w:rPr>
            </w:pPr>
            <w:r>
              <w:rPr>
                <w:rFonts w:cs="Times New Roman"/>
                <w:szCs w:val="24"/>
              </w:rPr>
              <w:t xml:space="preserve">A well-established brand with strong brand awareness among UK customers. </w:t>
            </w:r>
          </w:p>
        </w:tc>
        <w:tc>
          <w:tcPr>
            <w:tcW w:w="4261" w:type="dxa"/>
            <w:noWrap w:val="0"/>
            <w:vAlign w:val="top"/>
          </w:tcPr>
          <w:p>
            <w:pPr>
              <w:widowControl w:val="0"/>
              <w:spacing w:line="240" w:lineRule="auto"/>
              <w:rPr>
                <w:rFonts w:cs="Times New Roman"/>
                <w:szCs w:val="24"/>
              </w:rPr>
            </w:pPr>
            <w:r>
              <w:rPr>
                <w:rFonts w:cs="Times New Roman"/>
                <w:szCs w:val="24"/>
              </w:rPr>
              <w:t>Weak digital capabilities;</w:t>
            </w:r>
          </w:p>
          <w:p>
            <w:pPr>
              <w:widowControl w:val="0"/>
              <w:spacing w:line="240" w:lineRule="auto"/>
              <w:rPr>
                <w:rFonts w:cs="Times New Roman"/>
                <w:szCs w:val="24"/>
              </w:rPr>
            </w:pPr>
            <w:r>
              <w:rPr>
                <w:rFonts w:cs="Times New Roman"/>
                <w:szCs w:val="24"/>
              </w:rPr>
              <w:t>Weak customer services;</w:t>
            </w:r>
          </w:p>
          <w:p>
            <w:pPr>
              <w:widowControl w:val="0"/>
              <w:spacing w:line="240" w:lineRule="auto"/>
              <w:rPr>
                <w:rFonts w:cs="Times New Roman"/>
                <w:szCs w:val="24"/>
              </w:rPr>
            </w:pPr>
            <w:r>
              <w:rPr>
                <w:rFonts w:cs="Times New Roman"/>
                <w:szCs w:val="24"/>
              </w:rPr>
              <w:t>Ineffective human resource management;</w:t>
            </w:r>
          </w:p>
          <w:p>
            <w:pPr>
              <w:widowControl w:val="0"/>
              <w:spacing w:line="240" w:lineRule="auto"/>
              <w:rPr>
                <w:rFonts w:cs="Times New Roman"/>
                <w:szCs w:val="24"/>
              </w:rPr>
            </w:pPr>
            <w:r>
              <w:rPr>
                <w:rFonts w:cs="Times New Roman"/>
                <w:szCs w:val="24"/>
              </w:rPr>
              <w:t>A rigid organizational culture that makes Sainsbury’s slow to respond to new changes in the market environment;</w:t>
            </w:r>
          </w:p>
          <w:p>
            <w:pPr>
              <w:widowControl w:val="0"/>
              <w:spacing w:line="240" w:lineRule="auto"/>
              <w:rPr>
                <w:rFonts w:cs="Times New Roman"/>
                <w:szCs w:val="24"/>
              </w:rPr>
            </w:pPr>
            <w:r>
              <w:rPr>
                <w:rFonts w:cs="Times New Roman"/>
                <w:szCs w:val="24"/>
              </w:rPr>
              <w:t xml:space="preserve">Focusing on a single market;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noWrap w:val="0"/>
            <w:vAlign w:val="top"/>
          </w:tcPr>
          <w:p>
            <w:pPr>
              <w:widowControl w:val="0"/>
              <w:spacing w:line="240" w:lineRule="auto"/>
              <w:rPr>
                <w:rFonts w:cs="Times New Roman"/>
                <w:b/>
                <w:bCs/>
                <w:szCs w:val="24"/>
              </w:rPr>
            </w:pPr>
            <w:r>
              <w:rPr>
                <w:rFonts w:cs="Times New Roman"/>
                <w:b/>
                <w:bCs/>
                <w:szCs w:val="24"/>
              </w:rPr>
              <w:t xml:space="preserve">Opportunities </w:t>
            </w:r>
          </w:p>
        </w:tc>
        <w:tc>
          <w:tcPr>
            <w:tcW w:w="4261" w:type="dxa"/>
            <w:noWrap w:val="0"/>
            <w:vAlign w:val="top"/>
          </w:tcPr>
          <w:p>
            <w:pPr>
              <w:widowControl w:val="0"/>
              <w:spacing w:line="240" w:lineRule="auto"/>
              <w:rPr>
                <w:rFonts w:cs="Times New Roman"/>
                <w:b/>
                <w:bCs/>
                <w:szCs w:val="24"/>
              </w:rPr>
            </w:pPr>
            <w:r>
              <w:rPr>
                <w:rFonts w:cs="Times New Roman"/>
                <w:b/>
                <w:bCs/>
                <w:szCs w:val="24"/>
              </w:rPr>
              <w:t>Threats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noWrap w:val="0"/>
            <w:vAlign w:val="top"/>
          </w:tcPr>
          <w:p>
            <w:pPr>
              <w:widowControl w:val="0"/>
              <w:spacing w:line="240" w:lineRule="auto"/>
              <w:rPr>
                <w:rFonts w:cs="Times New Roman"/>
                <w:szCs w:val="24"/>
              </w:rPr>
            </w:pPr>
            <w:r>
              <w:rPr>
                <w:rFonts w:cs="Times New Roman"/>
                <w:szCs w:val="24"/>
              </w:rPr>
              <w:t xml:space="preserve">The on-going pandemic accents the importance of grocery and supply shopping; </w:t>
            </w:r>
          </w:p>
          <w:p>
            <w:pPr>
              <w:widowControl w:val="0"/>
              <w:spacing w:line="240" w:lineRule="auto"/>
              <w:rPr>
                <w:rFonts w:cs="Times New Roman"/>
                <w:szCs w:val="24"/>
              </w:rPr>
            </w:pPr>
            <w:r>
              <w:rPr>
                <w:rFonts w:cs="Times New Roman"/>
                <w:szCs w:val="24"/>
              </w:rPr>
              <w:t xml:space="preserve">Rapidly growing market in the globe; </w:t>
            </w:r>
          </w:p>
          <w:p>
            <w:pPr>
              <w:widowControl w:val="0"/>
              <w:spacing w:line="240" w:lineRule="auto"/>
              <w:rPr>
                <w:rFonts w:cs="Times New Roman"/>
                <w:szCs w:val="24"/>
              </w:rPr>
            </w:pPr>
          </w:p>
        </w:tc>
        <w:tc>
          <w:tcPr>
            <w:tcW w:w="4261" w:type="dxa"/>
            <w:noWrap w:val="0"/>
            <w:vAlign w:val="top"/>
          </w:tcPr>
          <w:p>
            <w:pPr>
              <w:widowControl w:val="0"/>
              <w:spacing w:line="240" w:lineRule="auto"/>
              <w:rPr>
                <w:rFonts w:cs="Times New Roman"/>
                <w:szCs w:val="24"/>
              </w:rPr>
            </w:pPr>
            <w:r>
              <w:rPr>
                <w:rFonts w:cs="Times New Roman"/>
                <w:szCs w:val="24"/>
              </w:rPr>
              <w:t xml:space="preserve">Discounters, online-only retailors and independent retailers are competing against supermarket chains. </w:t>
            </w:r>
          </w:p>
          <w:p>
            <w:pPr>
              <w:widowControl w:val="0"/>
              <w:spacing w:line="240" w:lineRule="auto"/>
              <w:rPr>
                <w:rFonts w:cs="Times New Roman"/>
                <w:szCs w:val="24"/>
              </w:rPr>
            </w:pPr>
            <w:r>
              <w:rPr>
                <w:rFonts w:cs="Times New Roman"/>
                <w:szCs w:val="24"/>
              </w:rPr>
              <w:t>The COVID-19 pandemic is hurting UK’s economy and undermine customer’s spending power (Retail Detail, 2020)</w:t>
            </w:r>
          </w:p>
        </w:tc>
      </w:tr>
    </w:tbl>
    <w:p>
      <w:pPr>
        <w:rPr>
          <w:rFonts w:cs="Times New Roman"/>
          <w:b/>
          <w:bCs/>
          <w:szCs w:val="24"/>
        </w:rPr>
      </w:pPr>
    </w:p>
    <w:p/>
    <w:p>
      <w:pPr>
        <w:rPr>
          <w:rFonts w:cs="Times New Roman"/>
          <w:bCs/>
          <w:color w:val="000000"/>
          <w:szCs w:val="24"/>
        </w:rPr>
      </w:pPr>
    </w:p>
    <w:p>
      <w:pPr>
        <w:rPr>
          <w:rFonts w:cs="Times New Roman"/>
          <w:bCs/>
          <w:color w:val="000000"/>
          <w:szCs w:val="24"/>
        </w:rPr>
      </w:pPr>
    </w:p>
    <w:p>
      <w:pPr>
        <w:rPr>
          <w:rFonts w:cs="Times New Roman"/>
          <w:bCs/>
          <w:color w:val="000000"/>
          <w:szCs w:val="24"/>
        </w:rPr>
      </w:pPr>
    </w:p>
    <w:p>
      <w:pPr>
        <w:rPr>
          <w:rFonts w:cs="Times New Roman"/>
          <w:bCs/>
          <w:color w:val="000000"/>
          <w:szCs w:val="24"/>
        </w:rPr>
      </w:pPr>
    </w:p>
    <w:p>
      <w:pPr>
        <w:rPr>
          <w:rFonts w:cs="Times New Roman"/>
          <w:bCs/>
          <w:color w:val="000000"/>
          <w:szCs w:val="24"/>
        </w:rPr>
      </w:pPr>
    </w:p>
    <w:p>
      <w:pPr>
        <w:pStyle w:val="4"/>
        <w:spacing w:before="0" w:after="0"/>
        <w:outlineLvl w:val="9"/>
        <w:rPr>
          <w:rFonts w:ascii="Times New Roman" w:hAnsi="Times New Roman" w:eastAsia="等线" w:cs="Times New Roman"/>
          <w:b w:val="0"/>
          <w:bCs/>
          <w:color w:val="000000"/>
          <w:kern w:val="2"/>
          <w:sz w:val="24"/>
          <w:szCs w:val="24"/>
          <w:lang w:val="en-US" w:eastAsia="zh-CN" w:bidi="ar-SA"/>
        </w:rPr>
      </w:pPr>
    </w:p>
    <w:sectPr>
      <w:footerReference r:id="rId6" w:type="default"/>
      <w:pgSz w:w="11906" w:h="16838"/>
      <w:pgMar w:top="1440" w:right="1800" w:bottom="1440" w:left="1800" w:header="851" w:footer="992" w:gutter="0"/>
      <w:cols w:space="720"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 w:name="Cambria">
    <w:panose1 w:val="02040503050406030204"/>
    <w:charset w:val="00"/>
    <w:family w:val="auto"/>
    <w:pitch w:val="default"/>
    <w:sig w:usb0="E00006FF" w:usb1="420024FF" w:usb2="0200000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0"/>
      <w:jc w:val="right"/>
    </w:pPr>
  </w:p>
  <w:p>
    <w:pPr>
      <w:pStyle w:val="1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0"/>
      <w:jc w:val="right"/>
    </w:pPr>
  </w:p>
  <w:p>
    <w:pPr>
      <w:pStyle w:val="10"/>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0"/>
      <w:jc w:val="right"/>
    </w:pPr>
  </w:p>
  <w:p>
    <w:pPr>
      <w:pStyle w:val="10"/>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0"/>
      <w:jc w:val="right"/>
    </w:pPr>
    <w:r>
      <w:rPr>
        <w:sz w:val="18"/>
      </w:rPr>
      <mc:AlternateContent>
        <mc:Choice Requires="wps">
          <w:drawing>
            <wp:anchor distT="0" distB="0" distL="114300" distR="114300" simplePos="0" relativeHeight="251661312"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pPr>
                            <w:pStyle w:val="10"/>
                            <w:rPr>
                              <w:rFonts w:hint="eastAsia" w:eastAsia="等线"/>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wrap="none" lIns="0" tIns="0" rIns="0" bIns="0" upright="0">
                      <a:spAutoFit/>
                    </wps:bodyPr>
                  </wps:wsp>
                </a:graphicData>
              </a:graphic>
            </wp:anchor>
          </w:drawing>
        </mc:Choice>
        <mc:Fallback>
          <w:pict>
            <v:shape id="文本框 4" o:spid="_x0000_s1026" o:spt="202" type="#_x0000_t202" style="position:absolute;left:0pt;margin-top:0pt;height:144pt;width:144pt;mso-position-horizontal:center;mso-position-horizontal-relative:margin;mso-wrap-style:none;z-index:251661312;mso-width-relative:page;mso-height-relative:page;" filled="f" stroked="f" coordsize="21600,21600" o:gfxdata="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">
              <v:fill on="f" focussize="0,0"/>
              <v:stroke on="f"/>
              <v:imagedata o:title=""/>
              <o:lock v:ext="edit" aspectratio="f"/>
              <v:textbox inset="0mm,0mm,0mm,0mm" style="mso-fit-shape-to-text:t;">
                <w:txbxContent>
                  <w:p>
                    <w:pPr>
                      <w:pStyle w:val="10"/>
                      <w:rPr>
                        <w:rFonts w:hint="eastAsia" w:eastAsia="等线"/>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p>
  <w:p>
    <w:pPr>
      <w:pStyle w:val="10"/>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val="1"/>
  <w:bordersDoNotSurroundFooter w:val="1"/>
  <w:attachedTemplate r:id="rId1"/>
  <w:documentProtection w:enforcement="0"/>
  <w:defaultTabStop w:val="420"/>
  <w:hyphenationZone w:val="36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6E51262C"/>
    <w:rsid w:val="000010F3"/>
    <w:rsid w:val="00002495"/>
    <w:rsid w:val="00002D08"/>
    <w:rsid w:val="0000399B"/>
    <w:rsid w:val="00016B6E"/>
    <w:rsid w:val="00026F01"/>
    <w:rsid w:val="0004474B"/>
    <w:rsid w:val="000461FC"/>
    <w:rsid w:val="00081E19"/>
    <w:rsid w:val="0008253D"/>
    <w:rsid w:val="000842D3"/>
    <w:rsid w:val="000902EB"/>
    <w:rsid w:val="0009635A"/>
    <w:rsid w:val="00096579"/>
    <w:rsid w:val="000A09FA"/>
    <w:rsid w:val="000A3413"/>
    <w:rsid w:val="000A75C9"/>
    <w:rsid w:val="000C7D56"/>
    <w:rsid w:val="000D1644"/>
    <w:rsid w:val="000E664A"/>
    <w:rsid w:val="000F3487"/>
    <w:rsid w:val="00104569"/>
    <w:rsid w:val="0013272E"/>
    <w:rsid w:val="001337D3"/>
    <w:rsid w:val="00165612"/>
    <w:rsid w:val="0016708A"/>
    <w:rsid w:val="00167EE1"/>
    <w:rsid w:val="00170DDE"/>
    <w:rsid w:val="00173F48"/>
    <w:rsid w:val="0018520C"/>
    <w:rsid w:val="00191BBE"/>
    <w:rsid w:val="00197EF2"/>
    <w:rsid w:val="001A38CB"/>
    <w:rsid w:val="001B538D"/>
    <w:rsid w:val="001C0BA5"/>
    <w:rsid w:val="001C164B"/>
    <w:rsid w:val="001C2CFB"/>
    <w:rsid w:val="001E2E9C"/>
    <w:rsid w:val="001E6122"/>
    <w:rsid w:val="001F05BA"/>
    <w:rsid w:val="001F1AED"/>
    <w:rsid w:val="00214F38"/>
    <w:rsid w:val="00223F0F"/>
    <w:rsid w:val="0023518C"/>
    <w:rsid w:val="00240FE3"/>
    <w:rsid w:val="002525CB"/>
    <w:rsid w:val="00257C03"/>
    <w:rsid w:val="00276DDF"/>
    <w:rsid w:val="0028640E"/>
    <w:rsid w:val="0029201B"/>
    <w:rsid w:val="0029489F"/>
    <w:rsid w:val="002A2184"/>
    <w:rsid w:val="002A2916"/>
    <w:rsid w:val="002A2E4A"/>
    <w:rsid w:val="002B5300"/>
    <w:rsid w:val="002C5EA8"/>
    <w:rsid w:val="002D1C5E"/>
    <w:rsid w:val="002F43D9"/>
    <w:rsid w:val="002F59C5"/>
    <w:rsid w:val="002F6911"/>
    <w:rsid w:val="00300F7A"/>
    <w:rsid w:val="00302885"/>
    <w:rsid w:val="00303C65"/>
    <w:rsid w:val="00323D50"/>
    <w:rsid w:val="00336A03"/>
    <w:rsid w:val="00342BDA"/>
    <w:rsid w:val="0034511F"/>
    <w:rsid w:val="003502B7"/>
    <w:rsid w:val="003610A9"/>
    <w:rsid w:val="00364FDD"/>
    <w:rsid w:val="003851A2"/>
    <w:rsid w:val="00386BFA"/>
    <w:rsid w:val="003925D3"/>
    <w:rsid w:val="00396B76"/>
    <w:rsid w:val="003978B2"/>
    <w:rsid w:val="003A134E"/>
    <w:rsid w:val="003A21F9"/>
    <w:rsid w:val="003A43F6"/>
    <w:rsid w:val="003A4E5E"/>
    <w:rsid w:val="003A75DF"/>
    <w:rsid w:val="003C2F91"/>
    <w:rsid w:val="003C3F37"/>
    <w:rsid w:val="003D0F84"/>
    <w:rsid w:val="003E25F9"/>
    <w:rsid w:val="003E46AC"/>
    <w:rsid w:val="003F4680"/>
    <w:rsid w:val="00401B93"/>
    <w:rsid w:val="00403E11"/>
    <w:rsid w:val="004070FC"/>
    <w:rsid w:val="00411EF1"/>
    <w:rsid w:val="00413CCA"/>
    <w:rsid w:val="00414A91"/>
    <w:rsid w:val="00441B77"/>
    <w:rsid w:val="00447147"/>
    <w:rsid w:val="004541CB"/>
    <w:rsid w:val="00456B79"/>
    <w:rsid w:val="00460628"/>
    <w:rsid w:val="00461D76"/>
    <w:rsid w:val="004719A8"/>
    <w:rsid w:val="00480023"/>
    <w:rsid w:val="00497D28"/>
    <w:rsid w:val="004A1F9A"/>
    <w:rsid w:val="004A2387"/>
    <w:rsid w:val="004A360C"/>
    <w:rsid w:val="004B1A7F"/>
    <w:rsid w:val="004C128E"/>
    <w:rsid w:val="004C16CE"/>
    <w:rsid w:val="004C4EA7"/>
    <w:rsid w:val="004D0CEF"/>
    <w:rsid w:val="004D0F39"/>
    <w:rsid w:val="004D4804"/>
    <w:rsid w:val="004E61BF"/>
    <w:rsid w:val="004F1647"/>
    <w:rsid w:val="004F4C94"/>
    <w:rsid w:val="005124E9"/>
    <w:rsid w:val="00517621"/>
    <w:rsid w:val="00522839"/>
    <w:rsid w:val="00530A3E"/>
    <w:rsid w:val="005315CC"/>
    <w:rsid w:val="0053202F"/>
    <w:rsid w:val="00536114"/>
    <w:rsid w:val="00543DDD"/>
    <w:rsid w:val="00545A09"/>
    <w:rsid w:val="0055794B"/>
    <w:rsid w:val="00560FA2"/>
    <w:rsid w:val="00561E66"/>
    <w:rsid w:val="00571113"/>
    <w:rsid w:val="00574C50"/>
    <w:rsid w:val="00582C97"/>
    <w:rsid w:val="005A53CB"/>
    <w:rsid w:val="005A5845"/>
    <w:rsid w:val="005B5753"/>
    <w:rsid w:val="005B7694"/>
    <w:rsid w:val="005C3F8E"/>
    <w:rsid w:val="005C3FB8"/>
    <w:rsid w:val="005C6306"/>
    <w:rsid w:val="005C7D5C"/>
    <w:rsid w:val="005E5F3C"/>
    <w:rsid w:val="005F4EAB"/>
    <w:rsid w:val="005F7859"/>
    <w:rsid w:val="00605283"/>
    <w:rsid w:val="0061234A"/>
    <w:rsid w:val="006149C8"/>
    <w:rsid w:val="00622DCF"/>
    <w:rsid w:val="006415EC"/>
    <w:rsid w:val="00657623"/>
    <w:rsid w:val="00673281"/>
    <w:rsid w:val="006770C0"/>
    <w:rsid w:val="0068202F"/>
    <w:rsid w:val="00683036"/>
    <w:rsid w:val="0068391C"/>
    <w:rsid w:val="00691ED4"/>
    <w:rsid w:val="006B7F81"/>
    <w:rsid w:val="006D2937"/>
    <w:rsid w:val="006D2AFF"/>
    <w:rsid w:val="007113F7"/>
    <w:rsid w:val="007316A3"/>
    <w:rsid w:val="00731C94"/>
    <w:rsid w:val="00736C9A"/>
    <w:rsid w:val="007536E2"/>
    <w:rsid w:val="00756617"/>
    <w:rsid w:val="00761CE8"/>
    <w:rsid w:val="00763E3C"/>
    <w:rsid w:val="0076606E"/>
    <w:rsid w:val="007678B8"/>
    <w:rsid w:val="00775173"/>
    <w:rsid w:val="00785842"/>
    <w:rsid w:val="00793F63"/>
    <w:rsid w:val="0079626D"/>
    <w:rsid w:val="007B1924"/>
    <w:rsid w:val="007C0FE1"/>
    <w:rsid w:val="007C5FC6"/>
    <w:rsid w:val="007D1B77"/>
    <w:rsid w:val="007D6E38"/>
    <w:rsid w:val="007E02CD"/>
    <w:rsid w:val="007E4AF7"/>
    <w:rsid w:val="007E5AA7"/>
    <w:rsid w:val="007E6406"/>
    <w:rsid w:val="007E7643"/>
    <w:rsid w:val="007F532A"/>
    <w:rsid w:val="008132C7"/>
    <w:rsid w:val="00823EA6"/>
    <w:rsid w:val="00823FC3"/>
    <w:rsid w:val="00830E98"/>
    <w:rsid w:val="00832B6A"/>
    <w:rsid w:val="00852B13"/>
    <w:rsid w:val="008712FF"/>
    <w:rsid w:val="00872D94"/>
    <w:rsid w:val="00876EFF"/>
    <w:rsid w:val="00880516"/>
    <w:rsid w:val="008849E1"/>
    <w:rsid w:val="00886276"/>
    <w:rsid w:val="008927A8"/>
    <w:rsid w:val="00896DC6"/>
    <w:rsid w:val="008A2080"/>
    <w:rsid w:val="008D0519"/>
    <w:rsid w:val="008E39BC"/>
    <w:rsid w:val="008E6682"/>
    <w:rsid w:val="009077A9"/>
    <w:rsid w:val="00913542"/>
    <w:rsid w:val="00914540"/>
    <w:rsid w:val="00925C81"/>
    <w:rsid w:val="00941196"/>
    <w:rsid w:val="00941AA1"/>
    <w:rsid w:val="00943B40"/>
    <w:rsid w:val="0094436F"/>
    <w:rsid w:val="00950F24"/>
    <w:rsid w:val="0095328A"/>
    <w:rsid w:val="009606EA"/>
    <w:rsid w:val="00970196"/>
    <w:rsid w:val="00974798"/>
    <w:rsid w:val="00981134"/>
    <w:rsid w:val="009844EE"/>
    <w:rsid w:val="009A40FB"/>
    <w:rsid w:val="009A5A4A"/>
    <w:rsid w:val="009B3EB6"/>
    <w:rsid w:val="009B7354"/>
    <w:rsid w:val="009D3DE3"/>
    <w:rsid w:val="009D7D16"/>
    <w:rsid w:val="009E03D7"/>
    <w:rsid w:val="009E0439"/>
    <w:rsid w:val="009E1C51"/>
    <w:rsid w:val="009E3D9A"/>
    <w:rsid w:val="009F4960"/>
    <w:rsid w:val="009F745D"/>
    <w:rsid w:val="00A04D39"/>
    <w:rsid w:val="00A43130"/>
    <w:rsid w:val="00A46F0D"/>
    <w:rsid w:val="00A50B9B"/>
    <w:rsid w:val="00A54A57"/>
    <w:rsid w:val="00A610DB"/>
    <w:rsid w:val="00A700C4"/>
    <w:rsid w:val="00A7155C"/>
    <w:rsid w:val="00A82691"/>
    <w:rsid w:val="00A83F9E"/>
    <w:rsid w:val="00A862DB"/>
    <w:rsid w:val="00A866F3"/>
    <w:rsid w:val="00A8719D"/>
    <w:rsid w:val="00AB0FE9"/>
    <w:rsid w:val="00AB7455"/>
    <w:rsid w:val="00AF7A85"/>
    <w:rsid w:val="00AF7DB6"/>
    <w:rsid w:val="00B03469"/>
    <w:rsid w:val="00B223C4"/>
    <w:rsid w:val="00B35831"/>
    <w:rsid w:val="00B56027"/>
    <w:rsid w:val="00B64E3F"/>
    <w:rsid w:val="00B6616F"/>
    <w:rsid w:val="00B71781"/>
    <w:rsid w:val="00B92457"/>
    <w:rsid w:val="00BA0B26"/>
    <w:rsid w:val="00BB456E"/>
    <w:rsid w:val="00BB69C6"/>
    <w:rsid w:val="00BD4D30"/>
    <w:rsid w:val="00BD70D5"/>
    <w:rsid w:val="00BD7266"/>
    <w:rsid w:val="00C010D0"/>
    <w:rsid w:val="00C04A9A"/>
    <w:rsid w:val="00C06BAF"/>
    <w:rsid w:val="00C4473D"/>
    <w:rsid w:val="00C4669B"/>
    <w:rsid w:val="00C51D91"/>
    <w:rsid w:val="00C535F6"/>
    <w:rsid w:val="00C5700E"/>
    <w:rsid w:val="00C67A30"/>
    <w:rsid w:val="00C74B16"/>
    <w:rsid w:val="00C7685A"/>
    <w:rsid w:val="00C9052A"/>
    <w:rsid w:val="00C91C91"/>
    <w:rsid w:val="00CA0E16"/>
    <w:rsid w:val="00CA2783"/>
    <w:rsid w:val="00CB6A8F"/>
    <w:rsid w:val="00CC2245"/>
    <w:rsid w:val="00CC32B1"/>
    <w:rsid w:val="00CC39D2"/>
    <w:rsid w:val="00CD6270"/>
    <w:rsid w:val="00CD6751"/>
    <w:rsid w:val="00CF11A7"/>
    <w:rsid w:val="00CF378E"/>
    <w:rsid w:val="00D10133"/>
    <w:rsid w:val="00D115BA"/>
    <w:rsid w:val="00D17AD5"/>
    <w:rsid w:val="00D2347D"/>
    <w:rsid w:val="00D3128E"/>
    <w:rsid w:val="00D37B38"/>
    <w:rsid w:val="00D37ECA"/>
    <w:rsid w:val="00D54F42"/>
    <w:rsid w:val="00D60B4B"/>
    <w:rsid w:val="00D60FDB"/>
    <w:rsid w:val="00D622F7"/>
    <w:rsid w:val="00D674AF"/>
    <w:rsid w:val="00D76EE3"/>
    <w:rsid w:val="00D84237"/>
    <w:rsid w:val="00D9502B"/>
    <w:rsid w:val="00DA4A42"/>
    <w:rsid w:val="00DB5757"/>
    <w:rsid w:val="00DB7723"/>
    <w:rsid w:val="00DC40EA"/>
    <w:rsid w:val="00DC5FBB"/>
    <w:rsid w:val="00DC7C22"/>
    <w:rsid w:val="00DE0C23"/>
    <w:rsid w:val="00DE22FE"/>
    <w:rsid w:val="00DF1E36"/>
    <w:rsid w:val="00DF3C2E"/>
    <w:rsid w:val="00E02220"/>
    <w:rsid w:val="00E12DF4"/>
    <w:rsid w:val="00E3306C"/>
    <w:rsid w:val="00E35003"/>
    <w:rsid w:val="00E402F2"/>
    <w:rsid w:val="00E54F3F"/>
    <w:rsid w:val="00E61B34"/>
    <w:rsid w:val="00E65245"/>
    <w:rsid w:val="00E721A9"/>
    <w:rsid w:val="00E74E44"/>
    <w:rsid w:val="00E8611E"/>
    <w:rsid w:val="00E917E3"/>
    <w:rsid w:val="00E97057"/>
    <w:rsid w:val="00EA0A24"/>
    <w:rsid w:val="00EC03C1"/>
    <w:rsid w:val="00EC268E"/>
    <w:rsid w:val="00EC79DD"/>
    <w:rsid w:val="00ED5C66"/>
    <w:rsid w:val="00F0022D"/>
    <w:rsid w:val="00F512E3"/>
    <w:rsid w:val="00F52839"/>
    <w:rsid w:val="00F62C99"/>
    <w:rsid w:val="00F75614"/>
    <w:rsid w:val="00F757CE"/>
    <w:rsid w:val="00F95A5D"/>
    <w:rsid w:val="00FA5A81"/>
    <w:rsid w:val="00FB4843"/>
    <w:rsid w:val="00FB7740"/>
    <w:rsid w:val="00FC0CA6"/>
    <w:rsid w:val="00FC668A"/>
    <w:rsid w:val="00FC76A7"/>
    <w:rsid w:val="00FD1CCE"/>
    <w:rsid w:val="00FD2056"/>
    <w:rsid w:val="00FE1D34"/>
    <w:rsid w:val="00FE46BC"/>
    <w:rsid w:val="066E5D8E"/>
    <w:rsid w:val="09B10AC6"/>
    <w:rsid w:val="36172AF9"/>
    <w:rsid w:val="3B6451B3"/>
    <w:rsid w:val="4E8A7DA9"/>
    <w:rsid w:val="6E51262C"/>
    <w:rsid w:val="71F60B84"/>
    <w:rsid w:val="7FA04E3A"/>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iPriority="39" w:semiHidden="0" w:name="toc 1"/>
    <w:lsdException w:qFormat="1" w:uiPriority="39" w:semiHidden="0" w:name="toc 2"/>
    <w:lsdException w:qFormat="1" w:uiPriority="39"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qFormat="1" w:uiPriority="99" w:semiHidden="0" w:name="annotation text"/>
    <w:lsdException w:qFormat="1" w:uiPriority="99" w:semiHidden="0" w:name="header"/>
    <w:lsdException w:qFormat="1" w:uiPriority="99"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qFormat="1" w:uiPriority="99"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semiHidden="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qFormat="1" w:uiPriority="99"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iPriority="99"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semiHidden="0" w:name="Normal Table"/>
    <w:lsdException w:qFormat="1" w:uiPriority="99"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qFormat="1" w:uiPriority="99" w:semiHidden="0" w:name="Balloon Text"/>
    <w:lsdException w:qFormat="1" w:unhideWhenUsed="0" w:uiPriority="39"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jc w:val="both"/>
    </w:pPr>
    <w:rPr>
      <w:rFonts w:ascii="Times New Roman" w:hAnsi="Times New Roman" w:eastAsia="等线" w:cs="Times New Roman"/>
      <w:kern w:val="2"/>
      <w:sz w:val="24"/>
      <w:szCs w:val="22"/>
      <w:lang w:val="en-US" w:eastAsia="zh-CN" w:bidi="ar-SA"/>
    </w:rPr>
  </w:style>
  <w:style w:type="paragraph" w:styleId="2">
    <w:name w:val="heading 1"/>
    <w:basedOn w:val="1"/>
    <w:next w:val="1"/>
    <w:link w:val="30"/>
    <w:qFormat/>
    <w:uiPriority w:val="9"/>
    <w:pPr>
      <w:keepNext/>
      <w:keepLines/>
      <w:spacing w:before="340" w:after="330" w:line="578" w:lineRule="auto"/>
      <w:outlineLvl w:val="0"/>
    </w:pPr>
    <w:rPr>
      <w:b/>
      <w:bCs/>
      <w:kern w:val="44"/>
      <w:sz w:val="44"/>
      <w:szCs w:val="44"/>
    </w:rPr>
  </w:style>
  <w:style w:type="paragraph" w:styleId="3">
    <w:name w:val="heading 2"/>
    <w:basedOn w:val="1"/>
    <w:next w:val="1"/>
    <w:link w:val="26"/>
    <w:unhideWhenUsed/>
    <w:qFormat/>
    <w:uiPriority w:val="9"/>
    <w:pPr>
      <w:keepNext/>
      <w:keepLines/>
      <w:spacing w:before="260" w:after="260" w:line="416" w:lineRule="auto"/>
      <w:outlineLvl w:val="1"/>
    </w:pPr>
    <w:rPr>
      <w:rFonts w:ascii="等线 Light" w:hAnsi="等线 Light" w:eastAsia="等线 Light" w:cs="Times New Roman"/>
      <w:b/>
      <w:bCs/>
      <w:sz w:val="32"/>
      <w:szCs w:val="32"/>
    </w:rPr>
  </w:style>
  <w:style w:type="paragraph" w:styleId="4">
    <w:name w:val="heading 3"/>
    <w:basedOn w:val="1"/>
    <w:next w:val="1"/>
    <w:link w:val="31"/>
    <w:unhideWhenUsed/>
    <w:qFormat/>
    <w:uiPriority w:val="9"/>
    <w:pPr>
      <w:keepNext/>
      <w:keepLines/>
      <w:spacing w:before="260" w:after="260" w:line="416" w:lineRule="auto"/>
      <w:outlineLvl w:val="2"/>
    </w:pPr>
    <w:rPr>
      <w:b/>
      <w:bCs/>
      <w:sz w:val="32"/>
      <w:szCs w:val="32"/>
    </w:rPr>
  </w:style>
  <w:style w:type="paragraph" w:styleId="5">
    <w:name w:val="heading 4"/>
    <w:basedOn w:val="1"/>
    <w:next w:val="1"/>
    <w:link w:val="27"/>
    <w:unhideWhenUsed/>
    <w:qFormat/>
    <w:uiPriority w:val="9"/>
    <w:pPr>
      <w:keepNext/>
      <w:keepLines/>
      <w:spacing w:before="280" w:after="290" w:line="376" w:lineRule="auto"/>
      <w:outlineLvl w:val="3"/>
    </w:pPr>
    <w:rPr>
      <w:rFonts w:ascii="等线 Light" w:hAnsi="等线 Light" w:eastAsia="等线 Light" w:cs="Times New Roman"/>
      <w:b/>
      <w:bCs/>
      <w:sz w:val="28"/>
      <w:szCs w:val="28"/>
    </w:rPr>
  </w:style>
  <w:style w:type="character" w:default="1" w:styleId="18">
    <w:name w:val="Default Paragraph Font"/>
    <w:unhideWhenUsed/>
    <w:qFormat/>
    <w:uiPriority w:val="1"/>
  </w:style>
  <w:style w:type="table" w:default="1" w:styleId="16">
    <w:name w:val="Normal Table"/>
    <w:unhideWhenUsed/>
    <w:qFormat/>
    <w:uiPriority w:val="99"/>
    <w:tblPr>
      <w:tblCellMar>
        <w:top w:w="0" w:type="dxa"/>
        <w:left w:w="108" w:type="dxa"/>
        <w:bottom w:w="0" w:type="dxa"/>
        <w:right w:w="108" w:type="dxa"/>
      </w:tblCellMar>
    </w:tblPr>
  </w:style>
  <w:style w:type="paragraph" w:styleId="6">
    <w:name w:val="annotation text"/>
    <w:basedOn w:val="1"/>
    <w:link w:val="28"/>
    <w:unhideWhenUsed/>
    <w:qFormat/>
    <w:uiPriority w:val="99"/>
    <w:pPr>
      <w:spacing w:line="240" w:lineRule="auto"/>
    </w:pPr>
    <w:rPr>
      <w:sz w:val="20"/>
      <w:szCs w:val="20"/>
    </w:rPr>
  </w:style>
  <w:style w:type="paragraph" w:styleId="7">
    <w:name w:val="toc 3"/>
    <w:basedOn w:val="1"/>
    <w:next w:val="1"/>
    <w:unhideWhenUsed/>
    <w:qFormat/>
    <w:uiPriority w:val="39"/>
    <w:pPr>
      <w:ind w:left="840" w:leftChars="400"/>
    </w:pPr>
  </w:style>
  <w:style w:type="paragraph" w:styleId="8">
    <w:name w:val="Date"/>
    <w:basedOn w:val="1"/>
    <w:next w:val="1"/>
    <w:link w:val="33"/>
    <w:unhideWhenUsed/>
    <w:qFormat/>
    <w:uiPriority w:val="99"/>
    <w:pPr>
      <w:ind w:left="100" w:leftChars="2500"/>
    </w:pPr>
  </w:style>
  <w:style w:type="paragraph" w:styleId="9">
    <w:name w:val="Balloon Text"/>
    <w:basedOn w:val="1"/>
    <w:link w:val="29"/>
    <w:unhideWhenUsed/>
    <w:qFormat/>
    <w:uiPriority w:val="99"/>
    <w:pPr>
      <w:spacing w:line="240" w:lineRule="auto"/>
    </w:pPr>
    <w:rPr>
      <w:sz w:val="18"/>
      <w:szCs w:val="18"/>
    </w:rPr>
  </w:style>
  <w:style w:type="paragraph" w:styleId="10">
    <w:name w:val="footer"/>
    <w:basedOn w:val="1"/>
    <w:link w:val="25"/>
    <w:unhideWhenUsed/>
    <w:qFormat/>
    <w:uiPriority w:val="99"/>
    <w:pPr>
      <w:tabs>
        <w:tab w:val="center" w:pos="4153"/>
        <w:tab w:val="right" w:pos="8306"/>
      </w:tabs>
      <w:snapToGrid w:val="0"/>
      <w:spacing w:line="240" w:lineRule="auto"/>
      <w:jc w:val="left"/>
    </w:pPr>
    <w:rPr>
      <w:sz w:val="18"/>
      <w:szCs w:val="18"/>
    </w:rPr>
  </w:style>
  <w:style w:type="paragraph" w:styleId="11">
    <w:name w:val="header"/>
    <w:basedOn w:val="1"/>
    <w:link w:val="34"/>
    <w:unhideWhenUsed/>
    <w:qFormat/>
    <w:uiPriority w:val="99"/>
    <w:pPr>
      <w:pBdr>
        <w:bottom w:val="single" w:color="auto" w:sz="6" w:space="1"/>
      </w:pBdr>
      <w:tabs>
        <w:tab w:val="center" w:pos="4153"/>
        <w:tab w:val="right" w:pos="8306"/>
      </w:tabs>
      <w:snapToGrid w:val="0"/>
      <w:spacing w:line="240" w:lineRule="auto"/>
      <w:jc w:val="center"/>
    </w:pPr>
    <w:rPr>
      <w:sz w:val="18"/>
      <w:szCs w:val="18"/>
    </w:rPr>
  </w:style>
  <w:style w:type="paragraph" w:styleId="12">
    <w:name w:val="toc 1"/>
    <w:basedOn w:val="1"/>
    <w:next w:val="1"/>
    <w:unhideWhenUsed/>
    <w:qFormat/>
    <w:uiPriority w:val="39"/>
  </w:style>
  <w:style w:type="paragraph" w:styleId="13">
    <w:name w:val="toc 2"/>
    <w:basedOn w:val="1"/>
    <w:next w:val="1"/>
    <w:unhideWhenUsed/>
    <w:qFormat/>
    <w:uiPriority w:val="39"/>
    <w:pPr>
      <w:ind w:left="420" w:leftChars="200"/>
    </w:pPr>
  </w:style>
  <w:style w:type="paragraph" w:styleId="14">
    <w:name w:val="Normal (Web)"/>
    <w:basedOn w:val="1"/>
    <w:unhideWhenUsed/>
    <w:qFormat/>
    <w:uiPriority w:val="99"/>
    <w:pPr>
      <w:spacing w:before="100" w:beforeAutospacing="1" w:after="100" w:afterAutospacing="1" w:line="240" w:lineRule="auto"/>
      <w:jc w:val="left"/>
    </w:pPr>
    <w:rPr>
      <w:rFonts w:ascii="宋体" w:hAnsi="宋体" w:eastAsia="宋体" w:cs="宋体"/>
      <w:kern w:val="0"/>
      <w:szCs w:val="24"/>
    </w:rPr>
  </w:style>
  <w:style w:type="paragraph" w:styleId="15">
    <w:name w:val="annotation subject"/>
    <w:basedOn w:val="6"/>
    <w:next w:val="6"/>
    <w:link w:val="32"/>
    <w:unhideWhenUsed/>
    <w:qFormat/>
    <w:uiPriority w:val="99"/>
    <w:rPr>
      <w:b/>
      <w:bCs/>
    </w:rPr>
  </w:style>
  <w:style w:type="table" w:styleId="17">
    <w:name w:val="Table Grid"/>
    <w:basedOn w:val="16"/>
    <w:qFormat/>
    <w:uiPriority w:val="39"/>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9">
    <w:name w:val="Hyperlink"/>
    <w:basedOn w:val="18"/>
    <w:unhideWhenUsed/>
    <w:qFormat/>
    <w:uiPriority w:val="99"/>
    <w:rPr>
      <w:color w:val="0000FF"/>
      <w:u w:val="single"/>
    </w:rPr>
  </w:style>
  <w:style w:type="character" w:styleId="20">
    <w:name w:val="annotation reference"/>
    <w:basedOn w:val="18"/>
    <w:unhideWhenUsed/>
    <w:qFormat/>
    <w:uiPriority w:val="99"/>
    <w:rPr>
      <w:sz w:val="16"/>
      <w:szCs w:val="16"/>
    </w:rPr>
  </w:style>
  <w:style w:type="paragraph" w:customStyle="1" w:styleId="21">
    <w:name w:val="TOC Heading1"/>
    <w:basedOn w:val="2"/>
    <w:next w:val="1"/>
    <w:unhideWhenUsed/>
    <w:qFormat/>
    <w:uiPriority w:val="39"/>
    <w:pPr>
      <w:spacing w:before="240" w:after="0" w:line="259" w:lineRule="auto"/>
      <w:jc w:val="left"/>
      <w:outlineLvl w:val="9"/>
    </w:pPr>
    <w:rPr>
      <w:rFonts w:ascii="等线 Light" w:hAnsi="等线 Light" w:eastAsia="等线 Light" w:cs="Times New Roman"/>
      <w:b w:val="0"/>
      <w:bCs w:val="0"/>
      <w:color w:val="2F5496"/>
      <w:kern w:val="0"/>
      <w:sz w:val="32"/>
      <w:szCs w:val="32"/>
    </w:rPr>
  </w:style>
  <w:style w:type="paragraph" w:customStyle="1" w:styleId="22">
    <w:name w:val="WPSOffice手动目录 1"/>
    <w:uiPriority w:val="0"/>
    <w:pPr>
      <w:ind w:leftChars="0"/>
    </w:pPr>
    <w:rPr>
      <w:rFonts w:asciiTheme="minorHAnsi" w:hAnsiTheme="minorHAnsi" w:eastAsiaTheme="minorEastAsia" w:cstheme="minorBidi"/>
      <w:sz w:val="20"/>
      <w:szCs w:val="20"/>
    </w:rPr>
  </w:style>
  <w:style w:type="paragraph" w:customStyle="1" w:styleId="23">
    <w:name w:val="WPSOffice手动目录 3"/>
    <w:qFormat/>
    <w:uiPriority w:val="0"/>
    <w:pPr>
      <w:ind w:leftChars="400"/>
    </w:pPr>
    <w:rPr>
      <w:rFonts w:asciiTheme="minorHAnsi" w:hAnsiTheme="minorHAnsi" w:eastAsiaTheme="minorEastAsia" w:cstheme="minorBidi"/>
      <w:sz w:val="20"/>
      <w:szCs w:val="20"/>
    </w:rPr>
  </w:style>
  <w:style w:type="paragraph" w:customStyle="1" w:styleId="24">
    <w:name w:val="WPSOffice手动目录 2"/>
    <w:qFormat/>
    <w:uiPriority w:val="0"/>
    <w:pPr>
      <w:ind w:leftChars="200"/>
    </w:pPr>
    <w:rPr>
      <w:rFonts w:asciiTheme="minorHAnsi" w:hAnsiTheme="minorHAnsi" w:eastAsiaTheme="minorEastAsia" w:cstheme="minorBidi"/>
      <w:sz w:val="20"/>
      <w:szCs w:val="20"/>
    </w:rPr>
  </w:style>
  <w:style w:type="character" w:customStyle="1" w:styleId="25">
    <w:name w:val="Footer Char"/>
    <w:basedOn w:val="18"/>
    <w:link w:val="10"/>
    <w:qFormat/>
    <w:uiPriority w:val="99"/>
    <w:rPr>
      <w:sz w:val="18"/>
      <w:szCs w:val="18"/>
    </w:rPr>
  </w:style>
  <w:style w:type="character" w:customStyle="1" w:styleId="26">
    <w:name w:val="Heading 2 Char"/>
    <w:basedOn w:val="18"/>
    <w:link w:val="3"/>
    <w:semiHidden/>
    <w:qFormat/>
    <w:uiPriority w:val="9"/>
    <w:rPr>
      <w:rFonts w:ascii="等线 Light" w:hAnsi="等线 Light" w:eastAsia="等线 Light" w:cs="Times New Roman"/>
      <w:b/>
      <w:bCs/>
      <w:kern w:val="2"/>
      <w:sz w:val="32"/>
      <w:szCs w:val="32"/>
    </w:rPr>
  </w:style>
  <w:style w:type="character" w:customStyle="1" w:styleId="27">
    <w:name w:val="Heading 4 Char"/>
    <w:basedOn w:val="18"/>
    <w:link w:val="5"/>
    <w:semiHidden/>
    <w:qFormat/>
    <w:uiPriority w:val="9"/>
    <w:rPr>
      <w:rFonts w:ascii="等线 Light" w:hAnsi="等线 Light" w:eastAsia="等线 Light" w:cs="Times New Roman"/>
      <w:b/>
      <w:bCs/>
      <w:kern w:val="2"/>
      <w:sz w:val="28"/>
      <w:szCs w:val="28"/>
    </w:rPr>
  </w:style>
  <w:style w:type="character" w:customStyle="1" w:styleId="28">
    <w:name w:val="Comment Text Char"/>
    <w:basedOn w:val="18"/>
    <w:link w:val="6"/>
    <w:semiHidden/>
    <w:qFormat/>
    <w:uiPriority w:val="99"/>
    <w:rPr>
      <w:rFonts w:eastAsia="等线" w:cs="Times New Roman"/>
      <w:kern w:val="2"/>
      <w:lang w:val="en-US" w:eastAsia="zh-CN"/>
    </w:rPr>
  </w:style>
  <w:style w:type="character" w:customStyle="1" w:styleId="29">
    <w:name w:val="Balloon Text Char"/>
    <w:basedOn w:val="18"/>
    <w:link w:val="9"/>
    <w:semiHidden/>
    <w:qFormat/>
    <w:uiPriority w:val="99"/>
    <w:rPr>
      <w:rFonts w:eastAsia="等线" w:cs="Times New Roman"/>
      <w:kern w:val="2"/>
      <w:sz w:val="18"/>
      <w:szCs w:val="18"/>
    </w:rPr>
  </w:style>
  <w:style w:type="character" w:customStyle="1" w:styleId="30">
    <w:name w:val="Heading 1 Char"/>
    <w:basedOn w:val="18"/>
    <w:link w:val="2"/>
    <w:qFormat/>
    <w:uiPriority w:val="9"/>
    <w:rPr>
      <w:rFonts w:eastAsia="等线" w:cs="Times New Roman"/>
      <w:b/>
      <w:bCs/>
      <w:kern w:val="44"/>
      <w:sz w:val="44"/>
      <w:szCs w:val="44"/>
    </w:rPr>
  </w:style>
  <w:style w:type="character" w:customStyle="1" w:styleId="31">
    <w:name w:val="Heading 3 Char"/>
    <w:basedOn w:val="18"/>
    <w:link w:val="4"/>
    <w:semiHidden/>
    <w:qFormat/>
    <w:uiPriority w:val="9"/>
    <w:rPr>
      <w:rFonts w:eastAsia="等线" w:cs="Times New Roman"/>
      <w:b/>
      <w:bCs/>
      <w:kern w:val="2"/>
      <w:sz w:val="32"/>
      <w:szCs w:val="32"/>
    </w:rPr>
  </w:style>
  <w:style w:type="character" w:customStyle="1" w:styleId="32">
    <w:name w:val="Comment Subject Char"/>
    <w:basedOn w:val="28"/>
    <w:link w:val="15"/>
    <w:semiHidden/>
    <w:qFormat/>
    <w:uiPriority w:val="99"/>
    <w:rPr>
      <w:rFonts w:eastAsia="等线" w:cs="Times New Roman"/>
      <w:b/>
      <w:bCs/>
      <w:kern w:val="2"/>
      <w:lang w:val="en-US" w:eastAsia="zh-CN"/>
    </w:rPr>
  </w:style>
  <w:style w:type="character" w:customStyle="1" w:styleId="33">
    <w:name w:val="Date Char"/>
    <w:basedOn w:val="18"/>
    <w:link w:val="8"/>
    <w:semiHidden/>
    <w:qFormat/>
    <w:uiPriority w:val="99"/>
    <w:rPr>
      <w:rFonts w:eastAsia="等线" w:cs="Times New Roman"/>
      <w:kern w:val="2"/>
      <w:sz w:val="24"/>
      <w:szCs w:val="22"/>
    </w:rPr>
  </w:style>
  <w:style w:type="character" w:customStyle="1" w:styleId="34">
    <w:name w:val="Header Char"/>
    <w:basedOn w:val="18"/>
    <w:link w:val="11"/>
    <w:qFormat/>
    <w:uiPriority w:val="99"/>
    <w:rPr>
      <w:sz w:val="18"/>
      <w:szCs w:val="18"/>
    </w:rPr>
  </w:style>
  <w:style w:type="table" w:customStyle="1" w:styleId="35">
    <w:name w:val="网格型1"/>
    <w:basedOn w:val="16"/>
    <w:qFormat/>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standalone="yes"?>
<Relationships xmlns="http://schemas.openxmlformats.org/package/2006/relationships"><Relationship Id="rId9" Type="http://schemas.openxmlformats.org/officeDocument/2006/relationships/oleObject" Target="embeddings/oleObject1.bin"/><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footer" Target="footer4.xml"/><Relationship Id="rId5" Type="http://schemas.openxmlformats.org/officeDocument/2006/relationships/footer" Target="footer3.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4" Type="http://schemas.openxmlformats.org/officeDocument/2006/relationships/fontTable" Target="fontTable.xml"/><Relationship Id="rId13" Type="http://schemas.openxmlformats.org/officeDocument/2006/relationships/customXml" Target="../customXml/item1.xml"/><Relationship Id="rId12" Type="http://schemas.openxmlformats.org/officeDocument/2006/relationships/image" Target="media/image3.png"/><Relationship Id="rId11" Type="http://schemas.openxmlformats.org/officeDocument/2006/relationships/oleObject" Target="embeddings/oleObject2.bin"/><Relationship Id="rId10" Type="http://schemas.openxmlformats.org/officeDocument/2006/relationships/image" Target="media/image2.png"/><Relationship Id="rId1"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enovo\Desktop\Jung-&#20462;&#25913;.dot" TargetMode="Externa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atMod val="350000"/>
                <a:shade val="99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Jung-修改.dot</Template>
  <Pages>25</Pages>
  <Words>5015</Words>
  <Characters>29058</Characters>
  <Lines>253</Lines>
  <Paragraphs>71</Paragraphs>
  <TotalTime>7</TotalTime>
  <ScaleCrop>false</ScaleCrop>
  <LinksUpToDate>false</LinksUpToDate>
  <CharactersWithSpaces>33612</CharactersWithSpaces>
  <Application>WPS Office_11.1.0.9584_F1E327BC-269C-435d-A152-05C5408002CA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2020-05-08T09:51:00Z</dcterms:created>
  <dc:creator>Jung</dc:creator>
  <cp:lastModifiedBy>Jung</cp:lastModifiedBy>
  <dcterms:modified xsi:type="dcterms:W3CDTF">2020-05-08T11:28:35Z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2052-11.1.0.9584</vt:lpwstr>
  </property>
</Properties>
</file>