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08328D" w14:textId="444AEFB4" w:rsidR="006C3EE2" w:rsidRPr="006C3EE2" w:rsidRDefault="006C3EE2" w:rsidP="006C3EE2">
      <w:pPr>
        <w:spacing w:line="360" w:lineRule="auto"/>
        <w:ind w:firstLine="720"/>
        <w:rPr>
          <w:rFonts w:ascii="Times New Roman" w:hAnsi="Times New Roman" w:cs="Times New Roman"/>
        </w:rPr>
      </w:pPr>
      <w:r w:rsidRPr="006C3EE2">
        <w:rPr>
          <w:rFonts w:ascii="Times New Roman" w:hAnsi="Times New Roman" w:cs="Times New Roman"/>
        </w:rPr>
        <w:t>‘</w:t>
      </w:r>
      <w:r w:rsidRPr="006C3EE2">
        <w:rPr>
          <w:rFonts w:ascii="Times New Roman" w:hAnsi="Times New Roman" w:cs="Times New Roman"/>
        </w:rPr>
        <w:t>The man of God, Alberic, however, after he had practised fruitfully regular discipline in the school of Christ for nine and a half years, went home to the Lord, full of glory in his faith and virtues, and therefore deserved to be rewarded by God with eternal life. His successor was a certain brother by the name of Stephen, an English man by nationality, who had also come to that place from Molesme, a lover of the Rule and of the place. During his time, the brethren and this abbot prohibited the duke of that land or any other lord from keeping his court at any time in that monastery, as they used in times past to do on the occasion of great feasts. Furthermore, lest anything remain in the house of God – where it was their wish to serve God devoutly day and night – that savoured of pride and superfluity or that would ever corrupt poverty, the safeguard of poverty, that they had chosen of their own free will, they resolved to keep no crosses of gold or silver</w:t>
      </w:r>
      <w:r w:rsidRPr="006C3EE2">
        <w:rPr>
          <w:rFonts w:ascii="Times New Roman" w:hAnsi="Times New Roman" w:cs="Times New Roman"/>
        </w:rPr>
        <w:t>’</w:t>
      </w:r>
    </w:p>
    <w:p w14:paraId="5A3E1DB4" w14:textId="58FBB97F" w:rsidR="00A41810" w:rsidRDefault="006C3EE2" w:rsidP="006C3EE2">
      <w:pPr>
        <w:spacing w:line="360" w:lineRule="auto"/>
        <w:ind w:left="720" w:firstLine="720"/>
        <w:rPr>
          <w:rFonts w:ascii="Times New Roman" w:hAnsi="Times New Roman" w:cs="Times New Roman"/>
        </w:rPr>
      </w:pPr>
      <w:r w:rsidRPr="006C3EE2">
        <w:rPr>
          <w:rFonts w:ascii="Times New Roman" w:hAnsi="Times New Roman" w:cs="Times New Roman"/>
        </w:rPr>
        <w:t>(Exordium Parvum)</w:t>
      </w:r>
    </w:p>
    <w:p w14:paraId="15958C93" w14:textId="77777777" w:rsidR="006C3EE2" w:rsidRDefault="006C3EE2" w:rsidP="006C3EE2">
      <w:pPr>
        <w:spacing w:line="360" w:lineRule="auto"/>
        <w:ind w:left="720" w:firstLine="720"/>
        <w:rPr>
          <w:rFonts w:ascii="Times New Roman" w:hAnsi="Times New Roman" w:cs="Times New Roman"/>
        </w:rPr>
      </w:pPr>
    </w:p>
    <w:p w14:paraId="1E8B9BE8" w14:textId="6C8ADA8B" w:rsidR="006C3EE2" w:rsidRDefault="006C3EE2" w:rsidP="004779EB">
      <w:pPr>
        <w:spacing w:line="360" w:lineRule="auto"/>
        <w:ind w:firstLine="720"/>
        <w:rPr>
          <w:rFonts w:ascii="Times New Roman" w:hAnsi="Times New Roman" w:cs="Times New Roman"/>
        </w:rPr>
      </w:pPr>
      <w:r>
        <w:rPr>
          <w:rFonts w:ascii="Times New Roman" w:hAnsi="Times New Roman" w:cs="Times New Roman"/>
        </w:rPr>
        <w:t>The extract begins by indicating the piety of the recently deceased second Abbot of Citeaux, Alberic. However, the extract does not mention Alberic in as much detail as it does with Stephen Harding – which may be an indication on the influence Stephen Harding had on the New Monastery. Citeaux was a recently founded monastery, in the Duchy of Burgundy.</w:t>
      </w:r>
      <w:r>
        <w:rPr>
          <w:rStyle w:val="FootnoteReference"/>
          <w:rFonts w:ascii="Times New Roman" w:hAnsi="Times New Roman" w:cs="Times New Roman"/>
        </w:rPr>
        <w:footnoteReference w:id="1"/>
      </w:r>
      <w:r>
        <w:rPr>
          <w:rFonts w:ascii="Times New Roman" w:hAnsi="Times New Roman" w:cs="Times New Roman"/>
        </w:rPr>
        <w:t xml:space="preserve"> It flourished, and claimed to be a community that held the Rule of St. Benedict in a higher regard than the other monasteries during its inception.</w:t>
      </w:r>
      <w:r>
        <w:rPr>
          <w:rStyle w:val="FootnoteReference"/>
          <w:rFonts w:ascii="Times New Roman" w:hAnsi="Times New Roman" w:cs="Times New Roman"/>
        </w:rPr>
        <w:footnoteReference w:id="2"/>
      </w:r>
      <w:r>
        <w:rPr>
          <w:rFonts w:ascii="Times New Roman" w:hAnsi="Times New Roman" w:cs="Times New Roman"/>
        </w:rPr>
        <w:t xml:space="preserve"> The beginning of Citeaux, additionally known as the </w:t>
      </w:r>
      <w:r w:rsidRPr="006C3EE2">
        <w:rPr>
          <w:rFonts w:ascii="Times New Roman" w:hAnsi="Times New Roman" w:cs="Times New Roman"/>
          <w:i/>
          <w:iCs/>
        </w:rPr>
        <w:t>Novum Monasterium</w:t>
      </w:r>
      <w:r>
        <w:rPr>
          <w:rFonts w:ascii="Times New Roman" w:hAnsi="Times New Roman" w:cs="Times New Roman"/>
        </w:rPr>
        <w:t xml:space="preserve"> (New Monastery) in other documents, was founded by a group of monks in the year 1098, travelling from Molesme, which was situated at the diocese of Langres – these monks were led by the first Abbot of Citeaux, Robert.</w:t>
      </w:r>
      <w:r>
        <w:rPr>
          <w:rStyle w:val="FootnoteReference"/>
          <w:rFonts w:ascii="Times New Roman" w:hAnsi="Times New Roman" w:cs="Times New Roman"/>
        </w:rPr>
        <w:footnoteReference w:id="3"/>
      </w:r>
      <w:r>
        <w:rPr>
          <w:rFonts w:ascii="Times New Roman" w:hAnsi="Times New Roman" w:cs="Times New Roman"/>
        </w:rPr>
        <w:t xml:space="preserve"> Odo I, Duke of Burgundy, the Bishop of Chalon-sur-Saone and the Papal Legate were also consulted before the monks set off on their journey in founding Citeaux.</w:t>
      </w:r>
      <w:r>
        <w:rPr>
          <w:rStyle w:val="FootnoteReference"/>
          <w:rFonts w:ascii="Times New Roman" w:hAnsi="Times New Roman" w:cs="Times New Roman"/>
        </w:rPr>
        <w:footnoteReference w:id="4"/>
      </w:r>
      <w:r>
        <w:rPr>
          <w:rFonts w:ascii="Times New Roman" w:hAnsi="Times New Roman" w:cs="Times New Roman"/>
        </w:rPr>
        <w:t xml:space="preserve"> The reasons as to why the monks left Molesme was due to the dissatisfaction of wealth and political status of the monastery.</w:t>
      </w:r>
      <w:r>
        <w:rPr>
          <w:rStyle w:val="FootnoteReference"/>
          <w:rFonts w:ascii="Times New Roman" w:hAnsi="Times New Roman" w:cs="Times New Roman"/>
        </w:rPr>
        <w:footnoteReference w:id="5"/>
      </w:r>
      <w:r>
        <w:rPr>
          <w:rFonts w:ascii="Times New Roman" w:hAnsi="Times New Roman" w:cs="Times New Roman"/>
        </w:rPr>
        <w:t xml:space="preserve"> Stephen Harding and Alberic were also on the journey to found a new monastery alongside Robert – then Robert would be called back to his Abbacy at Molesme due to the monks of Molesme demanding Pope Urban II to return Robert – in which Alberic took upon the mantle of </w:t>
      </w:r>
      <w:r>
        <w:rPr>
          <w:rFonts w:ascii="Times New Roman" w:hAnsi="Times New Roman" w:cs="Times New Roman"/>
        </w:rPr>
        <w:lastRenderedPageBreak/>
        <w:t>Abbot after Robert.</w:t>
      </w:r>
      <w:r>
        <w:rPr>
          <w:rStyle w:val="FootnoteReference"/>
          <w:rFonts w:ascii="Times New Roman" w:hAnsi="Times New Roman" w:cs="Times New Roman"/>
        </w:rPr>
        <w:footnoteReference w:id="6"/>
      </w:r>
      <w:r>
        <w:rPr>
          <w:rFonts w:ascii="Times New Roman" w:hAnsi="Times New Roman" w:cs="Times New Roman"/>
        </w:rPr>
        <w:t xml:space="preserve"> There is a possibility that Alberic may have been an Anchorite before joining Molesme and bec</w:t>
      </w:r>
      <w:r w:rsidR="00751304">
        <w:rPr>
          <w:rFonts w:ascii="Times New Roman" w:hAnsi="Times New Roman" w:cs="Times New Roman"/>
        </w:rPr>
        <w:t>a</w:t>
      </w:r>
      <w:r>
        <w:rPr>
          <w:rFonts w:ascii="Times New Roman" w:hAnsi="Times New Roman" w:cs="Times New Roman"/>
        </w:rPr>
        <w:t>me the second Abbot of Citeaux.</w:t>
      </w:r>
      <w:r>
        <w:rPr>
          <w:rStyle w:val="FootnoteReference"/>
          <w:rFonts w:ascii="Times New Roman" w:hAnsi="Times New Roman" w:cs="Times New Roman"/>
        </w:rPr>
        <w:footnoteReference w:id="7"/>
      </w:r>
      <w:r>
        <w:rPr>
          <w:rFonts w:ascii="Times New Roman" w:hAnsi="Times New Roman" w:cs="Times New Roman"/>
        </w:rPr>
        <w:t xml:space="preserve"> </w:t>
      </w:r>
    </w:p>
    <w:p w14:paraId="1E06E0B7" w14:textId="2BD2F97F" w:rsidR="006C3EE2" w:rsidRDefault="006C3EE2" w:rsidP="004779EB">
      <w:pPr>
        <w:spacing w:line="360" w:lineRule="auto"/>
        <w:ind w:firstLine="720"/>
        <w:rPr>
          <w:rFonts w:ascii="Times New Roman" w:hAnsi="Times New Roman" w:cs="Times New Roman"/>
        </w:rPr>
      </w:pPr>
      <w:r>
        <w:rPr>
          <w:rFonts w:ascii="Times New Roman" w:hAnsi="Times New Roman" w:cs="Times New Roman"/>
        </w:rPr>
        <w:t>Stephen Harding is the focal point in this extract, where it mentions his deeds as the third Abbot of Citeaux from 1108/9 – 33, after the death of Alberic.</w:t>
      </w:r>
      <w:r>
        <w:rPr>
          <w:rStyle w:val="FootnoteReference"/>
          <w:rFonts w:ascii="Times New Roman" w:hAnsi="Times New Roman" w:cs="Times New Roman"/>
        </w:rPr>
        <w:footnoteReference w:id="8"/>
      </w:r>
      <w:r>
        <w:rPr>
          <w:rFonts w:ascii="Times New Roman" w:hAnsi="Times New Roman" w:cs="Times New Roman"/>
        </w:rPr>
        <w:t xml:space="preserve"> Stephen Harding is an Englishman and this is mentioned in most Cistercian documents, and other documents that mention the Cistercians – Stephen Harding was also not from an illustrious family.</w:t>
      </w:r>
      <w:r>
        <w:rPr>
          <w:rStyle w:val="FootnoteReference"/>
          <w:rFonts w:ascii="Times New Roman" w:hAnsi="Times New Roman" w:cs="Times New Roman"/>
        </w:rPr>
        <w:footnoteReference w:id="9"/>
      </w:r>
      <w:r>
        <w:rPr>
          <w:rFonts w:ascii="Times New Roman" w:hAnsi="Times New Roman" w:cs="Times New Roman"/>
        </w:rPr>
        <w:t xml:space="preserve"> Harding left Sherborne Abbey in Dorset</w:t>
      </w:r>
      <w:r w:rsidR="00E7473D">
        <w:rPr>
          <w:rFonts w:ascii="Times New Roman" w:hAnsi="Times New Roman" w:cs="Times New Roman"/>
        </w:rPr>
        <w:t xml:space="preserve">, </w:t>
      </w:r>
      <w:r>
        <w:rPr>
          <w:rFonts w:ascii="Times New Roman" w:hAnsi="Times New Roman" w:cs="Times New Roman"/>
        </w:rPr>
        <w:t>where he was a monk.</w:t>
      </w:r>
      <w:r>
        <w:rPr>
          <w:rStyle w:val="FootnoteReference"/>
          <w:rFonts w:ascii="Times New Roman" w:hAnsi="Times New Roman" w:cs="Times New Roman"/>
        </w:rPr>
        <w:footnoteReference w:id="10"/>
      </w:r>
      <w:r>
        <w:rPr>
          <w:rFonts w:ascii="Times New Roman" w:hAnsi="Times New Roman" w:cs="Times New Roman"/>
        </w:rPr>
        <w:t xml:space="preserve"> After which he travelled to Scotland, France, and to Rome – he went to a liberal arts school and educated himself.</w:t>
      </w:r>
      <w:r>
        <w:rPr>
          <w:rStyle w:val="FootnoteReference"/>
          <w:rFonts w:ascii="Times New Roman" w:hAnsi="Times New Roman" w:cs="Times New Roman"/>
        </w:rPr>
        <w:footnoteReference w:id="11"/>
      </w:r>
      <w:r>
        <w:rPr>
          <w:rFonts w:ascii="Times New Roman" w:hAnsi="Times New Roman" w:cs="Times New Roman"/>
        </w:rPr>
        <w:t xml:space="preserve"> After his travels and return from Rome, Harding would become a monk at Molesme.</w:t>
      </w:r>
      <w:r>
        <w:rPr>
          <w:rStyle w:val="FootnoteReference"/>
          <w:rFonts w:ascii="Times New Roman" w:hAnsi="Times New Roman" w:cs="Times New Roman"/>
        </w:rPr>
        <w:footnoteReference w:id="12"/>
      </w:r>
      <w:r>
        <w:rPr>
          <w:rFonts w:ascii="Times New Roman" w:hAnsi="Times New Roman" w:cs="Times New Roman"/>
        </w:rPr>
        <w:t xml:space="preserve"> Stephen Harding added additional rules to the Rule of St. Benedict for Cistercian Monasticism.</w:t>
      </w:r>
      <w:r>
        <w:rPr>
          <w:rStyle w:val="FootnoteReference"/>
          <w:rFonts w:ascii="Times New Roman" w:hAnsi="Times New Roman" w:cs="Times New Roman"/>
        </w:rPr>
        <w:footnoteReference w:id="13"/>
      </w:r>
      <w:r>
        <w:rPr>
          <w:rFonts w:ascii="Times New Roman" w:hAnsi="Times New Roman" w:cs="Times New Roman"/>
        </w:rPr>
        <w:t xml:space="preserve"> The first of the rules that Stephen Harding added was the exclusion of secular lords such as the Duke of Burgundy from holding a court at the monastery of Citeaux during important feast days.</w:t>
      </w:r>
      <w:r>
        <w:rPr>
          <w:rStyle w:val="FootnoteReference"/>
          <w:rFonts w:ascii="Times New Roman" w:hAnsi="Times New Roman" w:cs="Times New Roman"/>
        </w:rPr>
        <w:footnoteReference w:id="14"/>
      </w:r>
      <w:r>
        <w:rPr>
          <w:rFonts w:ascii="Times New Roman" w:hAnsi="Times New Roman" w:cs="Times New Roman"/>
        </w:rPr>
        <w:t xml:space="preserve"> The second of the rules was an introduction of physical austerity greater than before, </w:t>
      </w:r>
      <w:r w:rsidR="00A61C68">
        <w:rPr>
          <w:rFonts w:ascii="Times New Roman" w:hAnsi="Times New Roman" w:cs="Times New Roman"/>
        </w:rPr>
        <w:t>whereby</w:t>
      </w:r>
      <w:r>
        <w:rPr>
          <w:rFonts w:ascii="Times New Roman" w:hAnsi="Times New Roman" w:cs="Times New Roman"/>
        </w:rPr>
        <w:t xml:space="preserve"> the</w:t>
      </w:r>
      <w:r w:rsidR="00A07C12">
        <w:rPr>
          <w:rFonts w:ascii="Times New Roman" w:hAnsi="Times New Roman" w:cs="Times New Roman"/>
        </w:rPr>
        <w:t>y</w:t>
      </w:r>
      <w:r>
        <w:rPr>
          <w:rFonts w:ascii="Times New Roman" w:hAnsi="Times New Roman" w:cs="Times New Roman"/>
        </w:rPr>
        <w:t xml:space="preserve"> banned materials such as gold and silver – and would only allow wooden crosses that were painted, and nothing else – as this was to ensure the </w:t>
      </w:r>
      <w:r w:rsidRPr="00EC167F">
        <w:rPr>
          <w:rFonts w:ascii="Times New Roman" w:hAnsi="Times New Roman" w:cs="Times New Roman"/>
        </w:rPr>
        <w:t>safeguarding of the monks from greed and wealth.</w:t>
      </w:r>
      <w:r w:rsidRPr="00EC167F">
        <w:rPr>
          <w:rStyle w:val="FootnoteReference"/>
          <w:rFonts w:ascii="Times New Roman" w:hAnsi="Times New Roman" w:cs="Times New Roman"/>
        </w:rPr>
        <w:footnoteReference w:id="15"/>
      </w:r>
      <w:r>
        <w:rPr>
          <w:rFonts w:ascii="Times New Roman" w:hAnsi="Times New Roman" w:cs="Times New Roman"/>
        </w:rPr>
        <w:t xml:space="preserve"> </w:t>
      </w:r>
      <w:r w:rsidR="006C526E">
        <w:rPr>
          <w:rFonts w:ascii="Times New Roman" w:hAnsi="Times New Roman" w:cs="Times New Roman"/>
        </w:rPr>
        <w:t>Lastly</w:t>
      </w:r>
      <w:r w:rsidR="00B6771A">
        <w:rPr>
          <w:rFonts w:ascii="Times New Roman" w:hAnsi="Times New Roman" w:cs="Times New Roman"/>
        </w:rPr>
        <w:t>,</w:t>
      </w:r>
      <w:r w:rsidR="006C526E">
        <w:rPr>
          <w:rFonts w:ascii="Times New Roman" w:hAnsi="Times New Roman" w:cs="Times New Roman"/>
        </w:rPr>
        <w:t xml:space="preserve"> Steph</w:t>
      </w:r>
      <w:r w:rsidR="00401250">
        <w:rPr>
          <w:rFonts w:ascii="Times New Roman" w:hAnsi="Times New Roman" w:cs="Times New Roman"/>
        </w:rPr>
        <w:t>en Harding</w:t>
      </w:r>
      <w:r w:rsidR="00441BD6">
        <w:rPr>
          <w:rFonts w:ascii="Times New Roman" w:hAnsi="Times New Roman" w:cs="Times New Roman"/>
        </w:rPr>
        <w:t xml:space="preserve"> may have written</w:t>
      </w:r>
      <w:r w:rsidR="00DB27EE">
        <w:rPr>
          <w:rFonts w:ascii="Times New Roman" w:hAnsi="Times New Roman" w:cs="Times New Roman"/>
        </w:rPr>
        <w:t xml:space="preserve"> a </w:t>
      </w:r>
      <w:r w:rsidR="00DB27EE" w:rsidRPr="00B438AD">
        <w:rPr>
          <w:rFonts w:ascii="Times New Roman" w:hAnsi="Times New Roman" w:cs="Times New Roman"/>
        </w:rPr>
        <w:t>hypothetical</w:t>
      </w:r>
      <w:r w:rsidR="00DB27EE">
        <w:rPr>
          <w:rFonts w:ascii="Times New Roman" w:hAnsi="Times New Roman" w:cs="Times New Roman"/>
        </w:rPr>
        <w:t xml:space="preserve"> primitive version of the </w:t>
      </w:r>
      <w:r w:rsidR="00DB27EE" w:rsidRPr="00A07C12">
        <w:rPr>
          <w:rFonts w:ascii="Times New Roman" w:hAnsi="Times New Roman" w:cs="Times New Roman"/>
          <w:i/>
          <w:iCs/>
        </w:rPr>
        <w:t>Exordium</w:t>
      </w:r>
      <w:r w:rsidR="00655462">
        <w:rPr>
          <w:rFonts w:ascii="Times New Roman" w:hAnsi="Times New Roman" w:cs="Times New Roman"/>
          <w:i/>
          <w:iCs/>
        </w:rPr>
        <w:t>,</w:t>
      </w:r>
      <w:r w:rsidR="00B6771A">
        <w:rPr>
          <w:rFonts w:ascii="Times New Roman" w:hAnsi="Times New Roman" w:cs="Times New Roman"/>
        </w:rPr>
        <w:t xml:space="preserve"> being the</w:t>
      </w:r>
      <w:r w:rsidR="00DB27EE">
        <w:rPr>
          <w:rFonts w:ascii="Times New Roman" w:hAnsi="Times New Roman" w:cs="Times New Roman"/>
        </w:rPr>
        <w:t xml:space="preserve"> prologue, chapter I – II and IV – XIV</w:t>
      </w:r>
      <w:r w:rsidR="00B6771A">
        <w:rPr>
          <w:rFonts w:ascii="Times New Roman" w:hAnsi="Times New Roman" w:cs="Times New Roman"/>
        </w:rPr>
        <w:t>.</w:t>
      </w:r>
      <w:r w:rsidR="00B6771A">
        <w:rPr>
          <w:rStyle w:val="FootnoteReference"/>
          <w:rFonts w:ascii="Times New Roman" w:hAnsi="Times New Roman" w:cs="Times New Roman"/>
        </w:rPr>
        <w:footnoteReference w:id="16"/>
      </w:r>
      <w:r w:rsidR="00534C4E">
        <w:rPr>
          <w:rFonts w:ascii="Times New Roman" w:hAnsi="Times New Roman" w:cs="Times New Roman"/>
        </w:rPr>
        <w:t xml:space="preserve"> Harding</w:t>
      </w:r>
      <w:r w:rsidR="00556D7C">
        <w:rPr>
          <w:rFonts w:ascii="Times New Roman" w:hAnsi="Times New Roman" w:cs="Times New Roman"/>
        </w:rPr>
        <w:t xml:space="preserve"> also</w:t>
      </w:r>
      <w:r w:rsidR="00534C4E">
        <w:rPr>
          <w:rFonts w:ascii="Times New Roman" w:hAnsi="Times New Roman" w:cs="Times New Roman"/>
        </w:rPr>
        <w:t xml:space="preserve"> </w:t>
      </w:r>
      <w:r w:rsidR="00556D7C">
        <w:rPr>
          <w:rFonts w:ascii="Times New Roman" w:hAnsi="Times New Roman" w:cs="Times New Roman"/>
        </w:rPr>
        <w:t xml:space="preserve">wrote the </w:t>
      </w:r>
      <w:r w:rsidR="00556D7C" w:rsidRPr="00857EC2">
        <w:rPr>
          <w:rFonts w:ascii="Times New Roman" w:hAnsi="Times New Roman" w:cs="Times New Roman"/>
          <w:i/>
          <w:iCs/>
        </w:rPr>
        <w:t xml:space="preserve">Carta Caritatis </w:t>
      </w:r>
      <w:r w:rsidR="00BF095B" w:rsidRPr="00BF095B">
        <w:rPr>
          <w:rFonts w:ascii="Times New Roman" w:hAnsi="Times New Roman" w:cs="Times New Roman"/>
        </w:rPr>
        <w:t xml:space="preserve">(Charter of Charity) </w:t>
      </w:r>
      <w:r w:rsidR="00556D7C" w:rsidRPr="00BF095B">
        <w:rPr>
          <w:rFonts w:ascii="Times New Roman" w:hAnsi="Times New Roman" w:cs="Times New Roman"/>
        </w:rPr>
        <w:t xml:space="preserve">to </w:t>
      </w:r>
      <w:r w:rsidR="00980A8C">
        <w:rPr>
          <w:rFonts w:ascii="Times New Roman" w:hAnsi="Times New Roman" w:cs="Times New Roman"/>
        </w:rPr>
        <w:t>ground</w:t>
      </w:r>
      <w:r w:rsidR="00556D7C">
        <w:rPr>
          <w:rFonts w:ascii="Times New Roman" w:hAnsi="Times New Roman" w:cs="Times New Roman"/>
        </w:rPr>
        <w:t xml:space="preserve"> the Cistercian communities</w:t>
      </w:r>
      <w:r w:rsidR="00A6627E">
        <w:rPr>
          <w:rFonts w:ascii="Times New Roman" w:hAnsi="Times New Roman" w:cs="Times New Roman"/>
        </w:rPr>
        <w:t xml:space="preserve">, and to uniform their monastic </w:t>
      </w:r>
      <w:r w:rsidR="00857EC2">
        <w:rPr>
          <w:rFonts w:ascii="Times New Roman" w:hAnsi="Times New Roman" w:cs="Times New Roman"/>
        </w:rPr>
        <w:t>customs</w:t>
      </w:r>
      <w:r w:rsidR="00A6627E">
        <w:rPr>
          <w:rFonts w:ascii="Times New Roman" w:hAnsi="Times New Roman" w:cs="Times New Roman"/>
        </w:rPr>
        <w:t xml:space="preserve">, creating a process of visitation between the founding Abbey of Citeaux and the affiliates, </w:t>
      </w:r>
      <w:r w:rsidR="00C86311">
        <w:rPr>
          <w:rFonts w:ascii="Times New Roman" w:hAnsi="Times New Roman" w:cs="Times New Roman"/>
        </w:rPr>
        <w:t>and established a year general chapter, which was an annual meeting of Abbots.</w:t>
      </w:r>
      <w:r w:rsidR="00C86311">
        <w:rPr>
          <w:rStyle w:val="FootnoteReference"/>
          <w:rFonts w:ascii="Times New Roman" w:hAnsi="Times New Roman" w:cs="Times New Roman"/>
        </w:rPr>
        <w:footnoteReference w:id="17"/>
      </w:r>
      <w:r w:rsidR="00B6771A">
        <w:rPr>
          <w:rFonts w:ascii="Times New Roman" w:hAnsi="Times New Roman" w:cs="Times New Roman"/>
        </w:rPr>
        <w:t xml:space="preserve"> </w:t>
      </w:r>
      <w:r w:rsidR="000F13CF">
        <w:rPr>
          <w:rFonts w:ascii="Times New Roman" w:hAnsi="Times New Roman" w:cs="Times New Roman"/>
        </w:rPr>
        <w:t>As seen in the text and the Rule of St. Benedict, it becomes clear that Harding, and the other monks that founded Citeaux, wish</w:t>
      </w:r>
      <w:r w:rsidR="008278B4">
        <w:rPr>
          <w:rFonts w:ascii="Times New Roman" w:hAnsi="Times New Roman" w:cs="Times New Roman"/>
        </w:rPr>
        <w:t>ed</w:t>
      </w:r>
      <w:r w:rsidR="000F13CF">
        <w:rPr>
          <w:rFonts w:ascii="Times New Roman" w:hAnsi="Times New Roman" w:cs="Times New Roman"/>
        </w:rPr>
        <w:t xml:space="preserve"> to ensure that </w:t>
      </w:r>
      <w:r w:rsidR="00EA5A14">
        <w:rPr>
          <w:rFonts w:ascii="Times New Roman" w:hAnsi="Times New Roman" w:cs="Times New Roman"/>
        </w:rPr>
        <w:t xml:space="preserve">the Rule is kept pure, and add additional rules to </w:t>
      </w:r>
      <w:r w:rsidR="00725AE1">
        <w:rPr>
          <w:rFonts w:ascii="Times New Roman" w:hAnsi="Times New Roman" w:cs="Times New Roman"/>
        </w:rPr>
        <w:t>assure</w:t>
      </w:r>
      <w:r w:rsidR="00EA5A14">
        <w:rPr>
          <w:rFonts w:ascii="Times New Roman" w:hAnsi="Times New Roman" w:cs="Times New Roman"/>
        </w:rPr>
        <w:t xml:space="preserve"> </w:t>
      </w:r>
      <w:r w:rsidR="0051537C">
        <w:rPr>
          <w:rFonts w:ascii="Times New Roman" w:hAnsi="Times New Roman" w:cs="Times New Roman"/>
        </w:rPr>
        <w:t>their way of life.</w:t>
      </w:r>
      <w:r w:rsidR="0051537C">
        <w:rPr>
          <w:rStyle w:val="FootnoteReference"/>
          <w:rFonts w:ascii="Times New Roman" w:hAnsi="Times New Roman" w:cs="Times New Roman"/>
        </w:rPr>
        <w:footnoteReference w:id="18"/>
      </w:r>
    </w:p>
    <w:p w14:paraId="7E7A4F66" w14:textId="5B4C3C10" w:rsidR="00B237E3" w:rsidRDefault="00835B87" w:rsidP="004779EB">
      <w:pPr>
        <w:spacing w:line="360" w:lineRule="auto"/>
        <w:ind w:firstLine="720"/>
        <w:rPr>
          <w:rFonts w:ascii="Times New Roman" w:hAnsi="Times New Roman" w:cs="Times New Roman"/>
        </w:rPr>
      </w:pPr>
      <w:r>
        <w:rPr>
          <w:rFonts w:ascii="Times New Roman" w:hAnsi="Times New Roman" w:cs="Times New Roman"/>
        </w:rPr>
        <w:t xml:space="preserve">Another similar document to the </w:t>
      </w:r>
      <w:r w:rsidRPr="00DF7CAC">
        <w:rPr>
          <w:rFonts w:ascii="Times New Roman" w:hAnsi="Times New Roman" w:cs="Times New Roman"/>
          <w:i/>
          <w:iCs/>
        </w:rPr>
        <w:t>Exordium Parvum</w:t>
      </w:r>
      <w:r w:rsidR="00D4793A">
        <w:rPr>
          <w:rFonts w:ascii="Times New Roman" w:hAnsi="Times New Roman" w:cs="Times New Roman"/>
        </w:rPr>
        <w:t xml:space="preserve"> is the </w:t>
      </w:r>
      <w:r w:rsidR="00D4793A" w:rsidRPr="00DF7CAC">
        <w:rPr>
          <w:rFonts w:ascii="Times New Roman" w:hAnsi="Times New Roman" w:cs="Times New Roman"/>
          <w:i/>
          <w:iCs/>
        </w:rPr>
        <w:t>Exordium Cistercii</w:t>
      </w:r>
      <w:r w:rsidR="00D4793A">
        <w:rPr>
          <w:rFonts w:ascii="Times New Roman" w:hAnsi="Times New Roman" w:cs="Times New Roman"/>
        </w:rPr>
        <w:t xml:space="preserve">, it tells a tale of the departure and founding of Citeaux </w:t>
      </w:r>
      <w:r w:rsidR="00B532B5">
        <w:rPr>
          <w:rFonts w:ascii="Times New Roman" w:hAnsi="Times New Roman" w:cs="Times New Roman"/>
        </w:rPr>
        <w:t xml:space="preserve">but in a more brief way than the </w:t>
      </w:r>
      <w:r w:rsidR="00B532B5" w:rsidRPr="00DF7CAC">
        <w:rPr>
          <w:rFonts w:ascii="Times New Roman" w:hAnsi="Times New Roman" w:cs="Times New Roman"/>
          <w:i/>
          <w:iCs/>
        </w:rPr>
        <w:t>Exordium Parvum</w:t>
      </w:r>
      <w:r w:rsidR="00B532B5">
        <w:rPr>
          <w:rFonts w:ascii="Times New Roman" w:hAnsi="Times New Roman" w:cs="Times New Roman"/>
        </w:rPr>
        <w:t xml:space="preserve">, in which it does not contain the </w:t>
      </w:r>
      <w:r w:rsidR="004E0716">
        <w:rPr>
          <w:rFonts w:ascii="Times New Roman" w:hAnsi="Times New Roman" w:cs="Times New Roman"/>
        </w:rPr>
        <w:t xml:space="preserve">strong criticisms the </w:t>
      </w:r>
      <w:r w:rsidR="004E0716" w:rsidRPr="00DF7CAC">
        <w:rPr>
          <w:rFonts w:ascii="Times New Roman" w:hAnsi="Times New Roman" w:cs="Times New Roman"/>
          <w:i/>
          <w:iCs/>
        </w:rPr>
        <w:t>Exordium Parvum</w:t>
      </w:r>
      <w:r w:rsidR="004E0716">
        <w:rPr>
          <w:rFonts w:ascii="Times New Roman" w:hAnsi="Times New Roman" w:cs="Times New Roman"/>
        </w:rPr>
        <w:t xml:space="preserve"> </w:t>
      </w:r>
      <w:r w:rsidR="00DF7CAC">
        <w:rPr>
          <w:rFonts w:ascii="Times New Roman" w:hAnsi="Times New Roman" w:cs="Times New Roman"/>
        </w:rPr>
        <w:t>exhibits.</w:t>
      </w:r>
      <w:r w:rsidR="00DF7CAC">
        <w:rPr>
          <w:rStyle w:val="FootnoteReference"/>
          <w:rFonts w:ascii="Times New Roman" w:hAnsi="Times New Roman" w:cs="Times New Roman"/>
        </w:rPr>
        <w:footnoteReference w:id="19"/>
      </w:r>
      <w:r w:rsidR="00A562DE">
        <w:rPr>
          <w:rFonts w:ascii="Times New Roman" w:hAnsi="Times New Roman" w:cs="Times New Roman"/>
        </w:rPr>
        <w:t xml:space="preserve"> The </w:t>
      </w:r>
      <w:r w:rsidR="00A562DE" w:rsidRPr="0017254F">
        <w:rPr>
          <w:rFonts w:ascii="Times New Roman" w:hAnsi="Times New Roman" w:cs="Times New Roman"/>
          <w:i/>
          <w:iCs/>
        </w:rPr>
        <w:t>Exordium Cistercii</w:t>
      </w:r>
      <w:r w:rsidR="00A562DE">
        <w:rPr>
          <w:rFonts w:ascii="Times New Roman" w:hAnsi="Times New Roman" w:cs="Times New Roman"/>
        </w:rPr>
        <w:t xml:space="preserve"> also</w:t>
      </w:r>
      <w:r w:rsidR="006A3F10">
        <w:rPr>
          <w:rFonts w:ascii="Times New Roman" w:hAnsi="Times New Roman" w:cs="Times New Roman"/>
        </w:rPr>
        <w:t xml:space="preserve"> </w:t>
      </w:r>
      <w:r w:rsidR="006A3F10">
        <w:rPr>
          <w:rFonts w:ascii="Times New Roman" w:hAnsi="Times New Roman" w:cs="Times New Roman"/>
        </w:rPr>
        <w:lastRenderedPageBreak/>
        <w:t>fails to mention failure to observe the Rule of St. Benedict</w:t>
      </w:r>
      <w:r w:rsidR="0017254F">
        <w:rPr>
          <w:rFonts w:ascii="Times New Roman" w:hAnsi="Times New Roman" w:cs="Times New Roman"/>
        </w:rPr>
        <w:t>.</w:t>
      </w:r>
      <w:r w:rsidR="0017254F">
        <w:rPr>
          <w:rStyle w:val="FootnoteReference"/>
          <w:rFonts w:ascii="Times New Roman" w:hAnsi="Times New Roman" w:cs="Times New Roman"/>
        </w:rPr>
        <w:footnoteReference w:id="20"/>
      </w:r>
      <w:r w:rsidR="003D1C1B">
        <w:rPr>
          <w:rFonts w:ascii="Times New Roman" w:hAnsi="Times New Roman" w:cs="Times New Roman"/>
        </w:rPr>
        <w:t xml:space="preserve"> </w:t>
      </w:r>
      <w:r w:rsidR="008E350E">
        <w:rPr>
          <w:rFonts w:ascii="Times New Roman" w:hAnsi="Times New Roman" w:cs="Times New Roman"/>
        </w:rPr>
        <w:t>Because of</w:t>
      </w:r>
      <w:r w:rsidR="00485A85">
        <w:rPr>
          <w:rFonts w:ascii="Times New Roman" w:hAnsi="Times New Roman" w:cs="Times New Roman"/>
        </w:rPr>
        <w:t xml:space="preserve"> this difference in the </w:t>
      </w:r>
      <w:r w:rsidR="000B0F8B" w:rsidRPr="00E41BE7">
        <w:rPr>
          <w:rFonts w:ascii="Times New Roman" w:hAnsi="Times New Roman" w:cs="Times New Roman"/>
          <w:i/>
          <w:iCs/>
        </w:rPr>
        <w:t>Exordia</w:t>
      </w:r>
      <w:r w:rsidR="00485A85">
        <w:rPr>
          <w:rFonts w:ascii="Times New Roman" w:hAnsi="Times New Roman" w:cs="Times New Roman"/>
        </w:rPr>
        <w:t xml:space="preserve">, it seems that the </w:t>
      </w:r>
      <w:r w:rsidR="00485A85" w:rsidRPr="00E41BE7">
        <w:rPr>
          <w:rFonts w:ascii="Times New Roman" w:hAnsi="Times New Roman" w:cs="Times New Roman"/>
          <w:i/>
          <w:iCs/>
        </w:rPr>
        <w:t>Exordium Parvum</w:t>
      </w:r>
      <w:r w:rsidR="00485A85">
        <w:rPr>
          <w:rFonts w:ascii="Times New Roman" w:hAnsi="Times New Roman" w:cs="Times New Roman"/>
        </w:rPr>
        <w:t xml:space="preserve"> is more oriented towards out</w:t>
      </w:r>
      <w:r w:rsidR="000B0F8B">
        <w:rPr>
          <w:rFonts w:ascii="Times New Roman" w:hAnsi="Times New Roman" w:cs="Times New Roman"/>
        </w:rPr>
        <w:t xml:space="preserve">siders </w:t>
      </w:r>
      <w:r w:rsidR="00E41BE7">
        <w:rPr>
          <w:rFonts w:ascii="Times New Roman" w:hAnsi="Times New Roman" w:cs="Times New Roman"/>
        </w:rPr>
        <w:t xml:space="preserve">in order </w:t>
      </w:r>
      <w:r w:rsidR="000B0F8B">
        <w:rPr>
          <w:rFonts w:ascii="Times New Roman" w:hAnsi="Times New Roman" w:cs="Times New Roman"/>
        </w:rPr>
        <w:t>to validate the New Monastery</w:t>
      </w:r>
      <w:r w:rsidR="00E41BE7">
        <w:rPr>
          <w:rFonts w:ascii="Times New Roman" w:hAnsi="Times New Roman" w:cs="Times New Roman"/>
        </w:rPr>
        <w:t xml:space="preserve">. </w:t>
      </w:r>
      <w:r w:rsidR="00070399">
        <w:rPr>
          <w:rFonts w:ascii="Times New Roman" w:hAnsi="Times New Roman" w:cs="Times New Roman"/>
        </w:rPr>
        <w:t>T</w:t>
      </w:r>
      <w:r w:rsidR="00E41BE7">
        <w:rPr>
          <w:rFonts w:ascii="Times New Roman" w:hAnsi="Times New Roman" w:cs="Times New Roman"/>
        </w:rPr>
        <w:t xml:space="preserve">he </w:t>
      </w:r>
      <w:r w:rsidR="00E41BE7" w:rsidRPr="00E43155">
        <w:rPr>
          <w:rFonts w:ascii="Times New Roman" w:hAnsi="Times New Roman" w:cs="Times New Roman"/>
          <w:i/>
          <w:iCs/>
        </w:rPr>
        <w:t>Exordium Cistercii</w:t>
      </w:r>
      <w:r w:rsidR="00070399">
        <w:rPr>
          <w:rFonts w:ascii="Times New Roman" w:hAnsi="Times New Roman" w:cs="Times New Roman"/>
        </w:rPr>
        <w:t>, however,</w:t>
      </w:r>
      <w:r w:rsidR="00E41BE7">
        <w:rPr>
          <w:rFonts w:ascii="Times New Roman" w:hAnsi="Times New Roman" w:cs="Times New Roman"/>
        </w:rPr>
        <w:t xml:space="preserve"> is a prologue to the </w:t>
      </w:r>
      <w:r w:rsidR="00E41BE7" w:rsidRPr="00E43155">
        <w:rPr>
          <w:rFonts w:ascii="Times New Roman" w:hAnsi="Times New Roman" w:cs="Times New Roman"/>
          <w:i/>
          <w:iCs/>
        </w:rPr>
        <w:t>Carta Caritatis</w:t>
      </w:r>
      <w:r w:rsidR="0026097D">
        <w:rPr>
          <w:rFonts w:ascii="Times New Roman" w:hAnsi="Times New Roman" w:cs="Times New Roman"/>
        </w:rPr>
        <w:t>, and focuses on the monks of Citeaux</w:t>
      </w:r>
      <w:r w:rsidR="00070399">
        <w:rPr>
          <w:rFonts w:ascii="Times New Roman" w:hAnsi="Times New Roman" w:cs="Times New Roman"/>
        </w:rPr>
        <w:t>.</w:t>
      </w:r>
      <w:r w:rsidR="0026097D">
        <w:rPr>
          <w:rFonts w:ascii="Times New Roman" w:hAnsi="Times New Roman" w:cs="Times New Roman"/>
        </w:rPr>
        <w:t xml:space="preserve"> </w:t>
      </w:r>
      <w:r w:rsidR="00070399">
        <w:rPr>
          <w:rFonts w:ascii="Times New Roman" w:hAnsi="Times New Roman" w:cs="Times New Roman"/>
        </w:rPr>
        <w:t>T</w:t>
      </w:r>
      <w:r w:rsidR="0026097D">
        <w:rPr>
          <w:rFonts w:ascii="Times New Roman" w:hAnsi="Times New Roman" w:cs="Times New Roman"/>
        </w:rPr>
        <w:t xml:space="preserve">he reasoning in why it does not mention Molesme critically is </w:t>
      </w:r>
      <w:r w:rsidR="00E43155">
        <w:rPr>
          <w:rFonts w:ascii="Times New Roman" w:hAnsi="Times New Roman" w:cs="Times New Roman"/>
        </w:rPr>
        <w:t xml:space="preserve">due to the lack of need in doing so, as this could be a known oral history </w:t>
      </w:r>
      <w:r w:rsidR="00542E91">
        <w:rPr>
          <w:rFonts w:ascii="Times New Roman" w:hAnsi="Times New Roman" w:cs="Times New Roman"/>
        </w:rPr>
        <w:t>with</w:t>
      </w:r>
      <w:r w:rsidR="00E43155">
        <w:rPr>
          <w:rFonts w:ascii="Times New Roman" w:hAnsi="Times New Roman" w:cs="Times New Roman"/>
        </w:rPr>
        <w:t>in the document.</w:t>
      </w:r>
      <w:r w:rsidR="007235A5">
        <w:rPr>
          <w:rFonts w:ascii="Times New Roman" w:hAnsi="Times New Roman" w:cs="Times New Roman"/>
        </w:rPr>
        <w:t xml:space="preserve"> Despite certain chapters of the </w:t>
      </w:r>
      <w:r w:rsidR="007235A5" w:rsidRPr="002D5D56">
        <w:rPr>
          <w:rFonts w:ascii="Times New Roman" w:hAnsi="Times New Roman" w:cs="Times New Roman"/>
          <w:i/>
          <w:iCs/>
        </w:rPr>
        <w:t>Exordium Parvum</w:t>
      </w:r>
      <w:r w:rsidR="007235A5">
        <w:rPr>
          <w:rFonts w:ascii="Times New Roman" w:hAnsi="Times New Roman" w:cs="Times New Roman"/>
        </w:rPr>
        <w:t xml:space="preserve"> </w:t>
      </w:r>
      <w:r w:rsidR="00D85423">
        <w:rPr>
          <w:rFonts w:ascii="Times New Roman" w:hAnsi="Times New Roman" w:cs="Times New Roman"/>
        </w:rPr>
        <w:t xml:space="preserve">being based on earlier traditions, the </w:t>
      </w:r>
      <w:r w:rsidR="00D85423" w:rsidRPr="002D5D56">
        <w:rPr>
          <w:rFonts w:ascii="Times New Roman" w:hAnsi="Times New Roman" w:cs="Times New Roman"/>
          <w:i/>
          <w:iCs/>
        </w:rPr>
        <w:t>Exordium Cistercii</w:t>
      </w:r>
      <w:r w:rsidR="00D85423">
        <w:rPr>
          <w:rFonts w:ascii="Times New Roman" w:hAnsi="Times New Roman" w:cs="Times New Roman"/>
        </w:rPr>
        <w:t xml:space="preserve"> is the older document</w:t>
      </w:r>
      <w:r w:rsidR="00542E91">
        <w:rPr>
          <w:rFonts w:ascii="Times New Roman" w:hAnsi="Times New Roman" w:cs="Times New Roman"/>
        </w:rPr>
        <w:t xml:space="preserve"> entirely</w:t>
      </w:r>
      <w:r w:rsidR="005E7AA2">
        <w:rPr>
          <w:rFonts w:ascii="Times New Roman" w:hAnsi="Times New Roman" w:cs="Times New Roman"/>
        </w:rPr>
        <w:t>.</w:t>
      </w:r>
      <w:r w:rsidR="005E7AA2">
        <w:rPr>
          <w:rStyle w:val="FootnoteReference"/>
          <w:rFonts w:ascii="Times New Roman" w:hAnsi="Times New Roman" w:cs="Times New Roman"/>
        </w:rPr>
        <w:footnoteReference w:id="21"/>
      </w:r>
      <w:r w:rsidR="005E7AA2">
        <w:rPr>
          <w:rFonts w:ascii="Times New Roman" w:hAnsi="Times New Roman" w:cs="Times New Roman"/>
        </w:rPr>
        <w:t xml:space="preserve"> </w:t>
      </w:r>
      <w:r w:rsidR="00810699">
        <w:rPr>
          <w:rFonts w:ascii="Times New Roman" w:hAnsi="Times New Roman" w:cs="Times New Roman"/>
        </w:rPr>
        <w:t>Lastly, Ra</w:t>
      </w:r>
      <w:r w:rsidR="008A5859">
        <w:rPr>
          <w:rFonts w:ascii="Times New Roman" w:hAnsi="Times New Roman" w:cs="Times New Roman"/>
        </w:rPr>
        <w:t>ynard du Bar wrote some of the chapters of the Exordium Parvum</w:t>
      </w:r>
      <w:r w:rsidR="00540EFC">
        <w:rPr>
          <w:rFonts w:ascii="Times New Roman" w:hAnsi="Times New Roman" w:cs="Times New Roman"/>
        </w:rPr>
        <w:t xml:space="preserve"> before</w:t>
      </w:r>
      <w:r w:rsidR="008A5859">
        <w:rPr>
          <w:rFonts w:ascii="Times New Roman" w:hAnsi="Times New Roman" w:cs="Times New Roman"/>
        </w:rPr>
        <w:t xml:space="preserve"> 1147</w:t>
      </w:r>
      <w:r w:rsidR="00540EFC">
        <w:rPr>
          <w:rFonts w:ascii="Times New Roman" w:hAnsi="Times New Roman" w:cs="Times New Roman"/>
        </w:rPr>
        <w:t>.</w:t>
      </w:r>
      <w:r w:rsidR="00540EFC">
        <w:rPr>
          <w:rStyle w:val="FootnoteReference"/>
          <w:rFonts w:ascii="Times New Roman" w:hAnsi="Times New Roman" w:cs="Times New Roman"/>
        </w:rPr>
        <w:footnoteReference w:id="22"/>
      </w:r>
    </w:p>
    <w:p w14:paraId="4D2461B1" w14:textId="5BA2BDB3" w:rsidR="00B31CD1" w:rsidRDefault="005E7AA2" w:rsidP="004779EB">
      <w:pPr>
        <w:spacing w:line="360" w:lineRule="auto"/>
        <w:ind w:firstLine="720"/>
        <w:rPr>
          <w:rFonts w:ascii="Times New Roman" w:hAnsi="Times New Roman" w:cs="Times New Roman"/>
        </w:rPr>
      </w:pPr>
      <w:r>
        <w:rPr>
          <w:rFonts w:ascii="Times New Roman" w:hAnsi="Times New Roman" w:cs="Times New Roman"/>
        </w:rPr>
        <w:t>To conclu</w:t>
      </w:r>
      <w:r w:rsidR="002D5D56">
        <w:rPr>
          <w:rFonts w:ascii="Times New Roman" w:hAnsi="Times New Roman" w:cs="Times New Roman"/>
        </w:rPr>
        <w:t xml:space="preserve">de the extract, it </w:t>
      </w:r>
      <w:r w:rsidR="00A254FF">
        <w:rPr>
          <w:rFonts w:ascii="Times New Roman" w:hAnsi="Times New Roman" w:cs="Times New Roman"/>
        </w:rPr>
        <w:t>places</w:t>
      </w:r>
      <w:r w:rsidR="00542E91">
        <w:rPr>
          <w:rFonts w:ascii="Times New Roman" w:hAnsi="Times New Roman" w:cs="Times New Roman"/>
        </w:rPr>
        <w:t xml:space="preserve"> a</w:t>
      </w:r>
      <w:r w:rsidR="00A254FF">
        <w:rPr>
          <w:rFonts w:ascii="Times New Roman" w:hAnsi="Times New Roman" w:cs="Times New Roman"/>
        </w:rPr>
        <w:t xml:space="preserve"> heavy emphasis on the death of Alberic</w:t>
      </w:r>
      <w:r w:rsidR="00542E91">
        <w:rPr>
          <w:rFonts w:ascii="Times New Roman" w:hAnsi="Times New Roman" w:cs="Times New Roman"/>
        </w:rPr>
        <w:t>,</w:t>
      </w:r>
      <w:r w:rsidR="0014209E">
        <w:rPr>
          <w:rFonts w:ascii="Times New Roman" w:hAnsi="Times New Roman" w:cs="Times New Roman"/>
        </w:rPr>
        <w:t xml:space="preserve"> but does not dwell on </w:t>
      </w:r>
      <w:r w:rsidR="00542E91">
        <w:rPr>
          <w:rFonts w:ascii="Times New Roman" w:hAnsi="Times New Roman" w:cs="Times New Roman"/>
        </w:rPr>
        <w:t>that which is lost</w:t>
      </w:r>
      <w:r w:rsidR="00A07C12">
        <w:rPr>
          <w:rFonts w:ascii="Times New Roman" w:hAnsi="Times New Roman" w:cs="Times New Roman"/>
        </w:rPr>
        <w:t xml:space="preserve"> and</w:t>
      </w:r>
      <w:r w:rsidR="00542E91">
        <w:rPr>
          <w:rFonts w:ascii="Times New Roman" w:hAnsi="Times New Roman" w:cs="Times New Roman"/>
        </w:rPr>
        <w:t xml:space="preserve"> instead</w:t>
      </w:r>
      <w:r w:rsidR="0014209E">
        <w:rPr>
          <w:rFonts w:ascii="Times New Roman" w:hAnsi="Times New Roman" w:cs="Times New Roman"/>
        </w:rPr>
        <w:t xml:space="preserve"> only </w:t>
      </w:r>
      <w:r w:rsidR="00D77D87">
        <w:rPr>
          <w:rFonts w:ascii="Times New Roman" w:hAnsi="Times New Roman" w:cs="Times New Roman"/>
        </w:rPr>
        <w:t>focuses on his piety</w:t>
      </w:r>
      <w:r w:rsidR="00E32775">
        <w:rPr>
          <w:rFonts w:ascii="Times New Roman" w:hAnsi="Times New Roman" w:cs="Times New Roman"/>
        </w:rPr>
        <w:t xml:space="preserve">. It is also </w:t>
      </w:r>
      <w:r w:rsidR="00090CDD">
        <w:rPr>
          <w:rFonts w:ascii="Times New Roman" w:hAnsi="Times New Roman" w:cs="Times New Roman"/>
        </w:rPr>
        <w:t>important to mention the context of the foundations of Citeaux and the beginning of Stephen Harding</w:t>
      </w:r>
      <w:r w:rsidR="00C66886">
        <w:rPr>
          <w:rFonts w:ascii="Times New Roman" w:hAnsi="Times New Roman" w:cs="Times New Roman"/>
        </w:rPr>
        <w:t xml:space="preserve"> – </w:t>
      </w:r>
      <w:r w:rsidR="00F44A9A">
        <w:rPr>
          <w:rFonts w:ascii="Times New Roman" w:hAnsi="Times New Roman" w:cs="Times New Roman"/>
        </w:rPr>
        <w:t>of which was</w:t>
      </w:r>
      <w:r w:rsidR="00C66886">
        <w:rPr>
          <w:rFonts w:ascii="Times New Roman" w:hAnsi="Times New Roman" w:cs="Times New Roman"/>
        </w:rPr>
        <w:t xml:space="preserve"> one of the most influential </w:t>
      </w:r>
      <w:r w:rsidR="00D5274A">
        <w:rPr>
          <w:rFonts w:ascii="Times New Roman" w:hAnsi="Times New Roman" w:cs="Times New Roman"/>
        </w:rPr>
        <w:t>Cistercian abbots,</w:t>
      </w:r>
      <w:r w:rsidR="00730524">
        <w:rPr>
          <w:rFonts w:ascii="Times New Roman" w:hAnsi="Times New Roman" w:cs="Times New Roman"/>
        </w:rPr>
        <w:t xml:space="preserve"> most notably </w:t>
      </w:r>
      <w:r w:rsidR="00D5274A">
        <w:rPr>
          <w:rFonts w:ascii="Times New Roman" w:hAnsi="Times New Roman" w:cs="Times New Roman"/>
        </w:rPr>
        <w:t>regarding his additions to the Rule of St Benedict</w:t>
      </w:r>
      <w:r w:rsidR="009138CC">
        <w:rPr>
          <w:rFonts w:ascii="Times New Roman" w:hAnsi="Times New Roman" w:cs="Times New Roman"/>
        </w:rPr>
        <w:t xml:space="preserve">, and pushing them into </w:t>
      </w:r>
      <w:r w:rsidR="00D8122A">
        <w:rPr>
          <w:rFonts w:ascii="Times New Roman" w:hAnsi="Times New Roman" w:cs="Times New Roman"/>
        </w:rPr>
        <w:t xml:space="preserve">further </w:t>
      </w:r>
      <w:r w:rsidR="009138CC">
        <w:rPr>
          <w:rFonts w:ascii="Times New Roman" w:hAnsi="Times New Roman" w:cs="Times New Roman"/>
        </w:rPr>
        <w:t>ascetism</w:t>
      </w:r>
      <w:r w:rsidR="00D8122A">
        <w:rPr>
          <w:rFonts w:ascii="Times New Roman" w:hAnsi="Times New Roman" w:cs="Times New Roman"/>
        </w:rPr>
        <w:t xml:space="preserve"> without </w:t>
      </w:r>
      <w:r w:rsidR="00E8388F">
        <w:rPr>
          <w:rFonts w:ascii="Times New Roman" w:hAnsi="Times New Roman" w:cs="Times New Roman"/>
        </w:rPr>
        <w:t>becom</w:t>
      </w:r>
      <w:r w:rsidR="00A07C12">
        <w:rPr>
          <w:rFonts w:ascii="Times New Roman" w:hAnsi="Times New Roman" w:cs="Times New Roman"/>
        </w:rPr>
        <w:t>ing</w:t>
      </w:r>
      <w:r w:rsidR="00E8388F">
        <w:rPr>
          <w:rFonts w:ascii="Times New Roman" w:hAnsi="Times New Roman" w:cs="Times New Roman"/>
        </w:rPr>
        <w:t xml:space="preserve"> Anchorites</w:t>
      </w:r>
      <w:r w:rsidR="00634679">
        <w:rPr>
          <w:rFonts w:ascii="Times New Roman" w:hAnsi="Times New Roman" w:cs="Times New Roman"/>
        </w:rPr>
        <w:t>.</w:t>
      </w:r>
      <w:r w:rsidR="008121C4">
        <w:rPr>
          <w:rFonts w:ascii="Times New Roman" w:hAnsi="Times New Roman" w:cs="Times New Roman"/>
        </w:rPr>
        <w:t xml:space="preserve"> Lastly, the similarities and a comparison between the two </w:t>
      </w:r>
      <w:r w:rsidR="008121C4" w:rsidRPr="002708AA">
        <w:rPr>
          <w:rFonts w:ascii="Times New Roman" w:hAnsi="Times New Roman" w:cs="Times New Roman"/>
          <w:i/>
          <w:iCs/>
        </w:rPr>
        <w:t>Exordia</w:t>
      </w:r>
      <w:r w:rsidR="008121C4">
        <w:rPr>
          <w:rFonts w:ascii="Times New Roman" w:hAnsi="Times New Roman" w:cs="Times New Roman"/>
        </w:rPr>
        <w:t xml:space="preserve"> are important in understanding the </w:t>
      </w:r>
      <w:r w:rsidR="00102C48">
        <w:rPr>
          <w:rFonts w:ascii="Times New Roman" w:hAnsi="Times New Roman" w:cs="Times New Roman"/>
        </w:rPr>
        <w:t xml:space="preserve">composition </w:t>
      </w:r>
      <w:r w:rsidR="00733527">
        <w:rPr>
          <w:rFonts w:ascii="Times New Roman" w:hAnsi="Times New Roman" w:cs="Times New Roman"/>
        </w:rPr>
        <w:t xml:space="preserve">of the chapters in the texts, and the </w:t>
      </w:r>
      <w:r w:rsidR="00531630">
        <w:rPr>
          <w:rFonts w:ascii="Times New Roman" w:hAnsi="Times New Roman" w:cs="Times New Roman"/>
        </w:rPr>
        <w:t xml:space="preserve">audience of the </w:t>
      </w:r>
      <w:r w:rsidR="00A07C12">
        <w:rPr>
          <w:rFonts w:ascii="Times New Roman" w:hAnsi="Times New Roman" w:cs="Times New Roman"/>
        </w:rPr>
        <w:t>texts</w:t>
      </w:r>
      <w:r w:rsidR="00531630">
        <w:rPr>
          <w:rFonts w:ascii="Times New Roman" w:hAnsi="Times New Roman" w:cs="Times New Roman"/>
        </w:rPr>
        <w:t>.</w:t>
      </w:r>
    </w:p>
    <w:p w14:paraId="650A1184" w14:textId="16614595" w:rsidR="005E7AA2" w:rsidRDefault="00B31CD1" w:rsidP="00B31CD1">
      <w:pPr>
        <w:rPr>
          <w:rFonts w:ascii="Times New Roman" w:hAnsi="Times New Roman" w:cs="Times New Roman"/>
        </w:rPr>
      </w:pPr>
      <w:r>
        <w:rPr>
          <w:rFonts w:ascii="Times New Roman" w:hAnsi="Times New Roman" w:cs="Times New Roman"/>
        </w:rPr>
        <w:br w:type="page"/>
      </w:r>
    </w:p>
    <w:sdt>
      <w:sdtPr>
        <w:id w:val="-1767608082"/>
        <w:docPartObj>
          <w:docPartGallery w:val="Bibliographies"/>
          <w:docPartUnique/>
        </w:docPartObj>
      </w:sdtPr>
      <w:sdtEndPr>
        <w:rPr>
          <w:rFonts w:asciiTheme="minorHAnsi" w:eastAsiaTheme="minorHAnsi" w:hAnsiTheme="minorHAnsi" w:cstheme="minorBidi"/>
          <w:color w:val="auto"/>
          <w:sz w:val="22"/>
          <w:szCs w:val="22"/>
        </w:rPr>
      </w:sdtEndPr>
      <w:sdtContent>
        <w:p w14:paraId="525A59E1" w14:textId="74CF2F32" w:rsidR="000A0C81" w:rsidRDefault="000A0C81">
          <w:pPr>
            <w:pStyle w:val="Heading1"/>
          </w:pPr>
          <w:r>
            <w:t>Bibliography</w:t>
          </w:r>
        </w:p>
        <w:p w14:paraId="472A2FCC" w14:textId="77777777" w:rsidR="00B31CD1" w:rsidRPr="00B31CD1" w:rsidRDefault="00B31CD1" w:rsidP="00A61C68">
          <w:pPr>
            <w:spacing w:before="240" w:line="360" w:lineRule="auto"/>
            <w:rPr>
              <w:rFonts w:ascii="Times New Roman" w:hAnsi="Times New Roman" w:cs="Times New Roman"/>
            </w:rPr>
          </w:pPr>
          <w:r w:rsidRPr="00B31CD1">
            <w:rPr>
              <w:rFonts w:ascii="Times New Roman" w:hAnsi="Times New Roman" w:cs="Times New Roman"/>
            </w:rPr>
            <w:t xml:space="preserve">Primary Sources: </w:t>
          </w:r>
        </w:p>
        <w:p w14:paraId="387873A3" w14:textId="710F3B21" w:rsidR="00B31CD1" w:rsidRPr="00B31CD1" w:rsidRDefault="00B31CD1" w:rsidP="00A61C68">
          <w:pPr>
            <w:spacing w:before="240" w:line="360" w:lineRule="auto"/>
            <w:rPr>
              <w:rFonts w:ascii="Times New Roman" w:hAnsi="Times New Roman" w:cs="Times New Roman"/>
            </w:rPr>
          </w:pPr>
          <w:r w:rsidRPr="00B31CD1">
            <w:rPr>
              <w:rFonts w:ascii="Times New Roman" w:hAnsi="Times New Roman" w:cs="Times New Roman"/>
            </w:rPr>
            <w:tab/>
            <w:t xml:space="preserve">William of Malmsbury, </w:t>
          </w:r>
          <w:r w:rsidRPr="00B31CD1">
            <w:rPr>
              <w:rFonts w:ascii="Times New Roman" w:hAnsi="Times New Roman" w:cs="Times New Roman"/>
              <w:i/>
              <w:iCs/>
            </w:rPr>
            <w:t>Gesta Regum Anglorum</w:t>
          </w:r>
          <w:r w:rsidR="00ED716D">
            <w:rPr>
              <w:rFonts w:ascii="Times New Roman" w:hAnsi="Times New Roman" w:cs="Times New Roman"/>
              <w:i/>
              <w:iCs/>
            </w:rPr>
            <w:t xml:space="preserve"> </w:t>
          </w:r>
          <w:r w:rsidR="00ED716D" w:rsidRPr="00ED716D">
            <w:rPr>
              <w:rFonts w:ascii="Times New Roman" w:hAnsi="Times New Roman" w:cs="Times New Roman"/>
            </w:rPr>
            <w:t>(Moodle)</w:t>
          </w:r>
        </w:p>
        <w:p w14:paraId="0CEE2B2E" w14:textId="01FD52D3" w:rsidR="00B31CD1" w:rsidRDefault="00B31CD1" w:rsidP="00A61C68">
          <w:pPr>
            <w:pStyle w:val="FootnoteText"/>
            <w:spacing w:before="240" w:line="360" w:lineRule="auto"/>
            <w:rPr>
              <w:rFonts w:ascii="Times New Roman" w:hAnsi="Times New Roman" w:cs="Times New Roman"/>
              <w:sz w:val="22"/>
              <w:szCs w:val="22"/>
            </w:rPr>
          </w:pPr>
          <w:r w:rsidRPr="00B31CD1">
            <w:rPr>
              <w:rFonts w:ascii="Times New Roman" w:hAnsi="Times New Roman" w:cs="Times New Roman"/>
              <w:sz w:val="22"/>
              <w:szCs w:val="22"/>
            </w:rPr>
            <w:tab/>
            <w:t xml:space="preserve">McCan, Abbot Justine, </w:t>
          </w:r>
          <w:r w:rsidRPr="00B31CD1">
            <w:rPr>
              <w:rFonts w:ascii="Times New Roman" w:hAnsi="Times New Roman" w:cs="Times New Roman"/>
              <w:i/>
              <w:iCs/>
              <w:sz w:val="22"/>
              <w:szCs w:val="22"/>
            </w:rPr>
            <w:t>The Rule of St. Benedict</w:t>
          </w:r>
          <w:r w:rsidRPr="00B31CD1">
            <w:rPr>
              <w:rFonts w:ascii="Times New Roman" w:hAnsi="Times New Roman" w:cs="Times New Roman"/>
              <w:sz w:val="22"/>
              <w:szCs w:val="22"/>
            </w:rPr>
            <w:t>, (London: Sheed &amp; Ward LTD, 1952)</w:t>
          </w:r>
        </w:p>
        <w:p w14:paraId="5198F1BB" w14:textId="6F5B8B12" w:rsidR="00730EB6" w:rsidRPr="00730EB6" w:rsidRDefault="00730EB6" w:rsidP="00A61C68">
          <w:pPr>
            <w:pStyle w:val="FootnoteText"/>
            <w:spacing w:before="240" w:line="480" w:lineRule="auto"/>
            <w:rPr>
              <w:rFonts w:ascii="Times New Roman" w:hAnsi="Times New Roman" w:cs="Times New Roman"/>
              <w:sz w:val="22"/>
              <w:szCs w:val="22"/>
            </w:rPr>
          </w:pPr>
          <w:r>
            <w:rPr>
              <w:rFonts w:ascii="Times New Roman" w:hAnsi="Times New Roman" w:cs="Times New Roman"/>
              <w:sz w:val="22"/>
              <w:szCs w:val="22"/>
            </w:rPr>
            <w:tab/>
          </w:r>
          <w:r w:rsidRPr="00ED716D">
            <w:rPr>
              <w:rFonts w:ascii="Times New Roman" w:hAnsi="Times New Roman" w:cs="Times New Roman"/>
              <w:i/>
              <w:iCs/>
              <w:sz w:val="22"/>
              <w:szCs w:val="22"/>
            </w:rPr>
            <w:t>Exordium Parvum</w:t>
          </w:r>
          <w:r w:rsidR="00AC1B9A">
            <w:rPr>
              <w:rFonts w:ascii="Times New Roman" w:hAnsi="Times New Roman" w:cs="Times New Roman"/>
              <w:sz w:val="22"/>
              <w:szCs w:val="22"/>
            </w:rPr>
            <w:t xml:space="preserve"> in Cistercian </w:t>
          </w:r>
          <w:r w:rsidR="00ED716D">
            <w:rPr>
              <w:rFonts w:ascii="Times New Roman" w:hAnsi="Times New Roman" w:cs="Times New Roman"/>
              <w:sz w:val="22"/>
              <w:szCs w:val="22"/>
            </w:rPr>
            <w:t>Documents VOL. 1 (Moodle)</w:t>
          </w:r>
        </w:p>
        <w:p w14:paraId="27FB3FE1" w14:textId="77777777" w:rsidR="00B31CD1" w:rsidRPr="00B31CD1" w:rsidRDefault="00B31CD1" w:rsidP="00A61C68">
          <w:pPr>
            <w:spacing w:before="240" w:line="360" w:lineRule="auto"/>
            <w:rPr>
              <w:rFonts w:ascii="Times New Roman" w:hAnsi="Times New Roman" w:cs="Times New Roman"/>
            </w:rPr>
          </w:pPr>
          <w:r w:rsidRPr="00B31CD1">
            <w:rPr>
              <w:rFonts w:ascii="Times New Roman" w:hAnsi="Times New Roman" w:cs="Times New Roman"/>
            </w:rPr>
            <w:t>Secondary Sources:</w:t>
          </w:r>
        </w:p>
        <w:p w14:paraId="6CCE6F1B" w14:textId="77777777" w:rsidR="00B31CD1" w:rsidRDefault="00B31CD1" w:rsidP="00A61C68">
          <w:pPr>
            <w:spacing w:before="240" w:line="360" w:lineRule="auto"/>
            <w:rPr>
              <w:rFonts w:ascii="Times New Roman" w:hAnsi="Times New Roman" w:cs="Times New Roman"/>
            </w:rPr>
          </w:pPr>
          <w:r w:rsidRPr="00B31CD1">
            <w:rPr>
              <w:rFonts w:ascii="Times New Roman" w:hAnsi="Times New Roman" w:cs="Times New Roman"/>
            </w:rPr>
            <w:tab/>
            <w:t xml:space="preserve">Burton, Janet and Julie Kerr, </w:t>
          </w:r>
          <w:r w:rsidRPr="00B31CD1">
            <w:rPr>
              <w:rFonts w:ascii="Times New Roman" w:hAnsi="Times New Roman" w:cs="Times New Roman"/>
              <w:i/>
              <w:iCs/>
            </w:rPr>
            <w:t>The Cistercians in the Middle Ages</w:t>
          </w:r>
          <w:r w:rsidRPr="00B31CD1">
            <w:rPr>
              <w:rFonts w:ascii="Times New Roman" w:hAnsi="Times New Roman" w:cs="Times New Roman"/>
            </w:rPr>
            <w:t xml:space="preserve"> (Boydell Press, 2011)</w:t>
          </w:r>
        </w:p>
        <w:p w14:paraId="548C9943" w14:textId="5AC51D82" w:rsidR="002A3576" w:rsidRPr="00B31CD1" w:rsidRDefault="002A3576" w:rsidP="00A61C68">
          <w:pPr>
            <w:spacing w:before="240" w:line="360" w:lineRule="auto"/>
            <w:ind w:firstLine="720"/>
            <w:rPr>
              <w:rFonts w:ascii="Times New Roman" w:hAnsi="Times New Roman" w:cs="Times New Roman"/>
            </w:rPr>
          </w:pPr>
          <w:r w:rsidRPr="00670588">
            <w:rPr>
              <w:rFonts w:ascii="Times New Roman" w:hAnsi="Times New Roman" w:cs="Times New Roman"/>
            </w:rPr>
            <w:t>Burton, Janet</w:t>
          </w:r>
          <w:r>
            <w:rPr>
              <w:rFonts w:ascii="Times New Roman" w:hAnsi="Times New Roman" w:cs="Times New Roman"/>
            </w:rPr>
            <w:t>,</w:t>
          </w:r>
          <w:r w:rsidRPr="00670588">
            <w:rPr>
              <w:rFonts w:ascii="Times New Roman" w:hAnsi="Times New Roman" w:cs="Times New Roman"/>
            </w:rPr>
            <w:t xml:space="preserve"> </w:t>
          </w:r>
          <w:r w:rsidRPr="00670588">
            <w:rPr>
              <w:rFonts w:ascii="Times New Roman" w:hAnsi="Times New Roman" w:cs="Times New Roman"/>
              <w:i/>
              <w:iCs/>
            </w:rPr>
            <w:t>Medieval Monasticism</w:t>
          </w:r>
          <w:r w:rsidRPr="00670588">
            <w:rPr>
              <w:rFonts w:ascii="Times New Roman" w:hAnsi="Times New Roman" w:cs="Times New Roman"/>
            </w:rPr>
            <w:t xml:space="preserve"> (Oxford: HeadStart History</w:t>
          </w:r>
          <w:r>
            <w:rPr>
              <w:rFonts w:ascii="Times New Roman" w:hAnsi="Times New Roman" w:cs="Times New Roman"/>
            </w:rPr>
            <w:t>, 1996</w:t>
          </w:r>
          <w:r w:rsidRPr="00670588">
            <w:rPr>
              <w:rFonts w:ascii="Times New Roman" w:hAnsi="Times New Roman" w:cs="Times New Roman"/>
            </w:rPr>
            <w:t>)</w:t>
          </w:r>
        </w:p>
        <w:p w14:paraId="46894CE1" w14:textId="77777777" w:rsidR="00B31CD1" w:rsidRPr="00B31CD1" w:rsidRDefault="00B31CD1" w:rsidP="00A61C68">
          <w:pPr>
            <w:spacing w:before="240" w:line="360" w:lineRule="auto"/>
            <w:ind w:firstLine="720"/>
            <w:rPr>
              <w:rFonts w:ascii="Times New Roman" w:hAnsi="Times New Roman" w:cs="Times New Roman"/>
            </w:rPr>
          </w:pPr>
          <w:r w:rsidRPr="00B31CD1">
            <w:rPr>
              <w:rFonts w:ascii="Times New Roman" w:hAnsi="Times New Roman" w:cs="Times New Roman"/>
            </w:rPr>
            <w:t>Elder, E. Rozanne,</w:t>
          </w:r>
          <w:r w:rsidRPr="00B31CD1">
            <w:rPr>
              <w:rFonts w:ascii="Times New Roman" w:hAnsi="Times New Roman" w:cs="Times New Roman"/>
              <w:i/>
              <w:iCs/>
            </w:rPr>
            <w:t xml:space="preserve"> ‘Early Cistercian Writers’</w:t>
          </w:r>
          <w:r w:rsidRPr="00B31CD1">
            <w:rPr>
              <w:rFonts w:ascii="Times New Roman" w:hAnsi="Times New Roman" w:cs="Times New Roman"/>
            </w:rPr>
            <w:t xml:space="preserve">, in </w:t>
          </w:r>
          <w:r w:rsidRPr="00B31CD1">
            <w:rPr>
              <w:rFonts w:ascii="Times New Roman" w:hAnsi="Times New Roman" w:cs="Times New Roman"/>
              <w:i/>
              <w:iCs/>
            </w:rPr>
            <w:t>The Cambridge Companion to the Cistercian Order</w:t>
          </w:r>
          <w:r w:rsidRPr="00B31CD1">
            <w:rPr>
              <w:rFonts w:ascii="Times New Roman" w:hAnsi="Times New Roman" w:cs="Times New Roman"/>
            </w:rPr>
            <w:t xml:space="preserve"> (Cambridge University Press, 2012)</w:t>
          </w:r>
        </w:p>
        <w:p w14:paraId="1C572723" w14:textId="77777777" w:rsidR="00B31CD1" w:rsidRDefault="00B31CD1" w:rsidP="00A61C68">
          <w:pPr>
            <w:spacing w:before="240" w:line="360" w:lineRule="auto"/>
            <w:ind w:firstLine="720"/>
            <w:rPr>
              <w:rFonts w:ascii="Times New Roman" w:hAnsi="Times New Roman" w:cs="Times New Roman"/>
            </w:rPr>
          </w:pPr>
          <w:r w:rsidRPr="00B31CD1">
            <w:rPr>
              <w:rFonts w:ascii="Times New Roman" w:hAnsi="Times New Roman" w:cs="Times New Roman"/>
            </w:rPr>
            <w:t xml:space="preserve">Newman, Martha G, ‘Foundation and Twelfth Century’, in </w:t>
          </w:r>
          <w:r w:rsidRPr="00B31CD1">
            <w:rPr>
              <w:rFonts w:ascii="Times New Roman" w:hAnsi="Times New Roman" w:cs="Times New Roman"/>
              <w:i/>
              <w:iCs/>
            </w:rPr>
            <w:t>The Cambridge Companion to the Cistercian Order</w:t>
          </w:r>
          <w:r w:rsidRPr="00B31CD1">
            <w:rPr>
              <w:rFonts w:ascii="Times New Roman" w:hAnsi="Times New Roman" w:cs="Times New Roman"/>
            </w:rPr>
            <w:t xml:space="preserve"> (Cambridge University Press, 2012),</w:t>
          </w:r>
        </w:p>
        <w:p w14:paraId="0D348C32" w14:textId="77777777" w:rsidR="00085172" w:rsidRPr="00085172" w:rsidRDefault="00085172" w:rsidP="00A61C68">
          <w:pPr>
            <w:spacing w:before="240" w:line="360" w:lineRule="auto"/>
            <w:ind w:firstLine="720"/>
            <w:rPr>
              <w:rFonts w:ascii="Times New Roman" w:hAnsi="Times New Roman" w:cs="Times New Roman"/>
            </w:rPr>
          </w:pPr>
          <w:r w:rsidRPr="00085172">
            <w:rPr>
              <w:rFonts w:ascii="Times New Roman" w:hAnsi="Times New Roman" w:cs="Times New Roman"/>
            </w:rPr>
            <w:t xml:space="preserve">Southern, R. W, </w:t>
          </w:r>
          <w:r w:rsidRPr="00085172">
            <w:rPr>
              <w:rFonts w:ascii="Times New Roman" w:hAnsi="Times New Roman" w:cs="Times New Roman"/>
              <w:i/>
              <w:iCs/>
            </w:rPr>
            <w:t>Western Society and the Church in the Middle Ages</w:t>
          </w:r>
          <w:r w:rsidRPr="00085172">
            <w:rPr>
              <w:rFonts w:ascii="Times New Roman" w:hAnsi="Times New Roman" w:cs="Times New Roman"/>
            </w:rPr>
            <w:t xml:space="preserve"> (Penguin, 1990)</w:t>
          </w:r>
        </w:p>
        <w:p w14:paraId="03F3971E" w14:textId="77777777" w:rsidR="00085172" w:rsidRPr="00B31CD1" w:rsidRDefault="00085172" w:rsidP="00B31CD1">
          <w:pPr>
            <w:spacing w:line="360" w:lineRule="auto"/>
            <w:ind w:firstLine="720"/>
            <w:rPr>
              <w:rFonts w:ascii="Times New Roman" w:hAnsi="Times New Roman" w:cs="Times New Roman"/>
            </w:rPr>
          </w:pPr>
        </w:p>
        <w:p w14:paraId="41BB3D44" w14:textId="77777777" w:rsidR="00B31CD1" w:rsidRPr="00B31CD1" w:rsidRDefault="00B31CD1" w:rsidP="00B31CD1"/>
        <w:sdt>
          <w:sdtPr>
            <w:id w:val="111145805"/>
            <w:showingPlcHdr/>
            <w:bibliography/>
          </w:sdtPr>
          <w:sdtContent>
            <w:p w14:paraId="6F370080" w14:textId="4F66061C" w:rsidR="000A0C81" w:rsidRDefault="00B31CD1">
              <w:r>
                <w:t xml:space="preserve">     </w:t>
              </w:r>
            </w:p>
          </w:sdtContent>
        </w:sdt>
      </w:sdtContent>
    </w:sdt>
    <w:p w14:paraId="4B3122AB" w14:textId="463A2F97" w:rsidR="002931FD" w:rsidRPr="00B31CD1" w:rsidRDefault="002931FD" w:rsidP="00B31CD1">
      <w:pPr>
        <w:spacing w:line="360" w:lineRule="auto"/>
        <w:ind w:firstLine="720"/>
        <w:rPr>
          <w:rFonts w:ascii="Times New Roman" w:hAnsi="Times New Roman" w:cs="Times New Roman"/>
        </w:rPr>
      </w:pPr>
    </w:p>
    <w:sectPr w:rsidR="002931FD" w:rsidRPr="00B31CD1">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BCBD41" w14:textId="77777777" w:rsidR="006C3EE2" w:rsidRDefault="006C3EE2" w:rsidP="006C3EE2">
      <w:pPr>
        <w:spacing w:after="0" w:line="240" w:lineRule="auto"/>
      </w:pPr>
      <w:r>
        <w:separator/>
      </w:r>
    </w:p>
  </w:endnote>
  <w:endnote w:type="continuationSeparator" w:id="0">
    <w:p w14:paraId="20FE6749" w14:textId="77777777" w:rsidR="006C3EE2" w:rsidRDefault="006C3EE2" w:rsidP="006C3E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B635E8" w14:textId="77777777" w:rsidR="006C3EE2" w:rsidRDefault="006C3EE2" w:rsidP="006C3EE2">
      <w:pPr>
        <w:spacing w:after="0" w:line="240" w:lineRule="auto"/>
      </w:pPr>
      <w:r>
        <w:separator/>
      </w:r>
    </w:p>
  </w:footnote>
  <w:footnote w:type="continuationSeparator" w:id="0">
    <w:p w14:paraId="48B3029D" w14:textId="77777777" w:rsidR="006C3EE2" w:rsidRDefault="006C3EE2" w:rsidP="006C3EE2">
      <w:pPr>
        <w:spacing w:after="0" w:line="240" w:lineRule="auto"/>
      </w:pPr>
      <w:r>
        <w:continuationSeparator/>
      </w:r>
    </w:p>
  </w:footnote>
  <w:footnote w:id="1">
    <w:p w14:paraId="76B87AAF" w14:textId="6D490393" w:rsidR="006C3EE2" w:rsidRDefault="006C3EE2">
      <w:pPr>
        <w:pStyle w:val="FootnoteText"/>
      </w:pPr>
      <w:r>
        <w:rPr>
          <w:rStyle w:val="FootnoteReference"/>
        </w:rPr>
        <w:footnoteRef/>
      </w:r>
      <w:r>
        <w:t xml:space="preserve"> </w:t>
      </w:r>
      <w:r w:rsidRPr="006C3EE2">
        <w:t>Janet</w:t>
      </w:r>
      <w:r>
        <w:t xml:space="preserve"> Burton</w:t>
      </w:r>
      <w:r w:rsidRPr="006C3EE2">
        <w:t xml:space="preserve"> and Julie Kerr, </w:t>
      </w:r>
      <w:r w:rsidRPr="006C3EE2">
        <w:rPr>
          <w:i/>
          <w:iCs/>
        </w:rPr>
        <w:t>The Cistercians in the Middle Ages</w:t>
      </w:r>
      <w:r w:rsidRPr="006C3EE2">
        <w:t xml:space="preserve"> (Boydell Press, 2011)</w:t>
      </w:r>
      <w:r>
        <w:t>, p. 9</w:t>
      </w:r>
    </w:p>
  </w:footnote>
  <w:footnote w:id="2">
    <w:p w14:paraId="2B509883" w14:textId="78D88D78" w:rsidR="006C3EE2" w:rsidRDefault="006C3EE2">
      <w:pPr>
        <w:pStyle w:val="FootnoteText"/>
      </w:pPr>
      <w:r>
        <w:rPr>
          <w:rStyle w:val="FootnoteReference"/>
        </w:rPr>
        <w:footnoteRef/>
      </w:r>
      <w:r>
        <w:t xml:space="preserve"> Ibid </w:t>
      </w:r>
    </w:p>
  </w:footnote>
  <w:footnote w:id="3">
    <w:p w14:paraId="04B4BBE2" w14:textId="5A525456" w:rsidR="006C3EE2" w:rsidRDefault="006C3EE2">
      <w:pPr>
        <w:pStyle w:val="FootnoteText"/>
      </w:pPr>
      <w:r>
        <w:rPr>
          <w:rStyle w:val="FootnoteReference"/>
        </w:rPr>
        <w:footnoteRef/>
      </w:r>
      <w:r>
        <w:t xml:space="preserve"> Ibid p. 10</w:t>
      </w:r>
    </w:p>
  </w:footnote>
  <w:footnote w:id="4">
    <w:p w14:paraId="0E8C5A18" w14:textId="2BC557FA" w:rsidR="006C3EE2" w:rsidRDefault="006C3EE2">
      <w:pPr>
        <w:pStyle w:val="FootnoteText"/>
      </w:pPr>
      <w:r>
        <w:rPr>
          <w:rStyle w:val="FootnoteReference"/>
        </w:rPr>
        <w:footnoteRef/>
      </w:r>
      <w:r>
        <w:t xml:space="preserve"> Ibid </w:t>
      </w:r>
    </w:p>
  </w:footnote>
  <w:footnote w:id="5">
    <w:p w14:paraId="6AC09D48" w14:textId="11D35473" w:rsidR="006C3EE2" w:rsidRPr="006C3EE2" w:rsidRDefault="006C3EE2" w:rsidP="006C3EE2">
      <w:pPr>
        <w:pStyle w:val="FootnoteText"/>
      </w:pPr>
      <w:r>
        <w:rPr>
          <w:rStyle w:val="FootnoteReference"/>
        </w:rPr>
        <w:footnoteRef/>
      </w:r>
      <w:r>
        <w:t xml:space="preserve"> </w:t>
      </w:r>
      <w:r w:rsidRPr="006C3EE2">
        <w:t xml:space="preserve">Newman, Martha G, ‘Foundation and Twelfth Century’, in </w:t>
      </w:r>
      <w:r w:rsidRPr="006C3EE2">
        <w:rPr>
          <w:i/>
          <w:iCs/>
        </w:rPr>
        <w:t>The Cambridge Companion to the Cistercian Order</w:t>
      </w:r>
      <w:r w:rsidRPr="006C3EE2">
        <w:t xml:space="preserve"> (Cambridge University Press, 2012),</w:t>
      </w:r>
      <w:r>
        <w:t xml:space="preserve"> p. 27</w:t>
      </w:r>
    </w:p>
    <w:p w14:paraId="3E4EC855" w14:textId="7A5EB981" w:rsidR="006C3EE2" w:rsidRDefault="006C3EE2">
      <w:pPr>
        <w:pStyle w:val="FootnoteText"/>
      </w:pPr>
    </w:p>
  </w:footnote>
  <w:footnote w:id="6">
    <w:p w14:paraId="2BD0395B" w14:textId="20BC14B4" w:rsidR="006C3EE2" w:rsidRDefault="006C3EE2">
      <w:pPr>
        <w:pStyle w:val="FootnoteText"/>
      </w:pPr>
      <w:r>
        <w:rPr>
          <w:rStyle w:val="FootnoteReference"/>
        </w:rPr>
        <w:footnoteRef/>
      </w:r>
      <w:r>
        <w:t xml:space="preserve"> </w:t>
      </w:r>
      <w:r w:rsidRPr="006C3EE2">
        <w:t>Janet</w:t>
      </w:r>
      <w:r>
        <w:t xml:space="preserve"> Burton</w:t>
      </w:r>
      <w:r w:rsidRPr="006C3EE2">
        <w:t xml:space="preserve"> and Julie Kerr, </w:t>
      </w:r>
      <w:r w:rsidRPr="006C3EE2">
        <w:rPr>
          <w:i/>
          <w:iCs/>
        </w:rPr>
        <w:t>The Cistercians in the Middle Ages</w:t>
      </w:r>
      <w:r w:rsidRPr="006C3EE2">
        <w:t xml:space="preserve"> (Boydell Press, 2011)</w:t>
      </w:r>
      <w:r>
        <w:t xml:space="preserve">, </w:t>
      </w:r>
      <w:r>
        <w:t>p. 11</w:t>
      </w:r>
    </w:p>
  </w:footnote>
  <w:footnote w:id="7">
    <w:p w14:paraId="53D187C1" w14:textId="1426BA5F" w:rsidR="006C3EE2" w:rsidRDefault="006C3EE2">
      <w:pPr>
        <w:pStyle w:val="FootnoteText"/>
      </w:pPr>
      <w:r>
        <w:rPr>
          <w:rStyle w:val="FootnoteReference"/>
        </w:rPr>
        <w:footnoteRef/>
      </w:r>
      <w:r>
        <w:t xml:space="preserve"> </w:t>
      </w:r>
      <w:r w:rsidRPr="006C3EE2">
        <w:t>Rozanne</w:t>
      </w:r>
      <w:r>
        <w:t>, E. Elder</w:t>
      </w:r>
      <w:r w:rsidRPr="006C3EE2">
        <w:rPr>
          <w:i/>
          <w:iCs/>
        </w:rPr>
        <w:t>, ‘Early Cistercian Writers’</w:t>
      </w:r>
      <w:r w:rsidRPr="006C3EE2">
        <w:t xml:space="preserve">, in </w:t>
      </w:r>
      <w:r w:rsidRPr="006C3EE2">
        <w:rPr>
          <w:i/>
          <w:iCs/>
        </w:rPr>
        <w:t>The Cambridge Companion to the Cistercian Order</w:t>
      </w:r>
      <w:r w:rsidRPr="006C3EE2">
        <w:t xml:space="preserve"> (Cambridge University Press, 2012),</w:t>
      </w:r>
      <w:r>
        <w:t xml:space="preserve"> p. 199</w:t>
      </w:r>
    </w:p>
  </w:footnote>
  <w:footnote w:id="8">
    <w:p w14:paraId="5263E8A6" w14:textId="7DC1F025" w:rsidR="006C3EE2" w:rsidRDefault="006C3EE2">
      <w:pPr>
        <w:pStyle w:val="FootnoteText"/>
      </w:pPr>
      <w:r>
        <w:rPr>
          <w:rStyle w:val="FootnoteReference"/>
        </w:rPr>
        <w:footnoteRef/>
      </w:r>
      <w:r>
        <w:t xml:space="preserve"> Ibid </w:t>
      </w:r>
    </w:p>
  </w:footnote>
  <w:footnote w:id="9">
    <w:p w14:paraId="65D5C8BE" w14:textId="36C4B9D0" w:rsidR="006C3EE2" w:rsidRPr="006C3EE2" w:rsidRDefault="006C3EE2">
      <w:pPr>
        <w:pStyle w:val="FootnoteText"/>
      </w:pPr>
      <w:r>
        <w:rPr>
          <w:rStyle w:val="FootnoteReference"/>
        </w:rPr>
        <w:footnoteRef/>
      </w:r>
      <w:r>
        <w:t xml:space="preserve"> William of Malmesbury, </w:t>
      </w:r>
      <w:r w:rsidRPr="006C3EE2">
        <w:rPr>
          <w:i/>
          <w:iCs/>
        </w:rPr>
        <w:t>Gesta Regum Anglorum</w:t>
      </w:r>
      <w:r>
        <w:t xml:space="preserve"> (Moodle Handbook)</w:t>
      </w:r>
    </w:p>
  </w:footnote>
  <w:footnote w:id="10">
    <w:p w14:paraId="0587B904" w14:textId="202C714F" w:rsidR="006C3EE2" w:rsidRDefault="006C3EE2">
      <w:pPr>
        <w:pStyle w:val="FootnoteText"/>
      </w:pPr>
      <w:r>
        <w:rPr>
          <w:rStyle w:val="FootnoteReference"/>
        </w:rPr>
        <w:footnoteRef/>
      </w:r>
      <w:r>
        <w:t xml:space="preserve"> </w:t>
      </w:r>
      <w:r w:rsidRPr="006C3EE2">
        <w:t>Rozanne</w:t>
      </w:r>
      <w:r>
        <w:t>, E. Elder</w:t>
      </w:r>
      <w:r w:rsidRPr="006C3EE2">
        <w:rPr>
          <w:i/>
          <w:iCs/>
        </w:rPr>
        <w:t>, ‘Early Cistercian Writers’</w:t>
      </w:r>
      <w:r w:rsidRPr="006C3EE2">
        <w:t xml:space="preserve">, in </w:t>
      </w:r>
      <w:r w:rsidRPr="006C3EE2">
        <w:rPr>
          <w:i/>
          <w:iCs/>
        </w:rPr>
        <w:t>The Cambridge Companion to the Cistercian Order</w:t>
      </w:r>
      <w:r w:rsidRPr="006C3EE2">
        <w:t xml:space="preserve"> (Cambridge University Press, 2012),</w:t>
      </w:r>
      <w:r>
        <w:t xml:space="preserve"> p. 199</w:t>
      </w:r>
    </w:p>
  </w:footnote>
  <w:footnote w:id="11">
    <w:p w14:paraId="1B70EAE9" w14:textId="299CAB84" w:rsidR="006C3EE2" w:rsidRDefault="006C3EE2">
      <w:pPr>
        <w:pStyle w:val="FootnoteText"/>
      </w:pPr>
      <w:r>
        <w:rPr>
          <w:rStyle w:val="FootnoteReference"/>
        </w:rPr>
        <w:footnoteRef/>
      </w:r>
      <w:r>
        <w:t xml:space="preserve"> </w:t>
      </w:r>
      <w:r>
        <w:t xml:space="preserve">William of Malmesbury, </w:t>
      </w:r>
      <w:r w:rsidRPr="006C3EE2">
        <w:rPr>
          <w:i/>
          <w:iCs/>
        </w:rPr>
        <w:t>Gesta Regum Anglorum</w:t>
      </w:r>
      <w:r>
        <w:t xml:space="preserve"> (Moodle Handbook)</w:t>
      </w:r>
    </w:p>
  </w:footnote>
  <w:footnote w:id="12">
    <w:p w14:paraId="44064BFF" w14:textId="58209208" w:rsidR="006C3EE2" w:rsidRDefault="006C3EE2">
      <w:pPr>
        <w:pStyle w:val="FootnoteText"/>
      </w:pPr>
      <w:r>
        <w:rPr>
          <w:rStyle w:val="FootnoteReference"/>
        </w:rPr>
        <w:footnoteRef/>
      </w:r>
      <w:r>
        <w:t xml:space="preserve"> </w:t>
      </w:r>
      <w:r w:rsidRPr="006C3EE2">
        <w:t>Janet</w:t>
      </w:r>
      <w:r>
        <w:t xml:space="preserve"> Burton</w:t>
      </w:r>
      <w:r w:rsidRPr="006C3EE2">
        <w:t xml:space="preserve"> and Julie Kerr, </w:t>
      </w:r>
      <w:r w:rsidRPr="006C3EE2">
        <w:rPr>
          <w:i/>
          <w:iCs/>
        </w:rPr>
        <w:t>The Cistercians in the Middle Ages</w:t>
      </w:r>
      <w:r w:rsidRPr="006C3EE2">
        <w:t xml:space="preserve"> (Boydell Press, 2011)</w:t>
      </w:r>
      <w:r>
        <w:t xml:space="preserve">, p. </w:t>
      </w:r>
      <w:r>
        <w:t>20</w:t>
      </w:r>
    </w:p>
  </w:footnote>
  <w:footnote w:id="13">
    <w:p w14:paraId="7BAA1E11" w14:textId="3C464100" w:rsidR="006C3EE2" w:rsidRDefault="006C3EE2">
      <w:pPr>
        <w:pStyle w:val="FootnoteText"/>
      </w:pPr>
      <w:r>
        <w:rPr>
          <w:rStyle w:val="FootnoteReference"/>
        </w:rPr>
        <w:footnoteRef/>
      </w:r>
      <w:r>
        <w:t xml:space="preserve"> Ibid</w:t>
      </w:r>
      <w:r>
        <w:t xml:space="preserve"> p. 11</w:t>
      </w:r>
    </w:p>
  </w:footnote>
  <w:footnote w:id="14">
    <w:p w14:paraId="50FA0399" w14:textId="6EC57950" w:rsidR="006C3EE2" w:rsidRDefault="006C3EE2">
      <w:pPr>
        <w:pStyle w:val="FootnoteText"/>
      </w:pPr>
      <w:r>
        <w:rPr>
          <w:rStyle w:val="FootnoteReference"/>
        </w:rPr>
        <w:footnoteRef/>
      </w:r>
      <w:r>
        <w:t xml:space="preserve"> Ibid </w:t>
      </w:r>
    </w:p>
  </w:footnote>
  <w:footnote w:id="15">
    <w:p w14:paraId="60BD594A" w14:textId="369B6FF4" w:rsidR="006C3EE2" w:rsidRDefault="006C3EE2">
      <w:pPr>
        <w:pStyle w:val="FootnoteText"/>
      </w:pPr>
      <w:r>
        <w:rPr>
          <w:rStyle w:val="FootnoteReference"/>
        </w:rPr>
        <w:footnoteRef/>
      </w:r>
      <w:r>
        <w:t xml:space="preserve"> Ibid </w:t>
      </w:r>
    </w:p>
  </w:footnote>
  <w:footnote w:id="16">
    <w:p w14:paraId="4831E96A" w14:textId="44676924" w:rsidR="00B6771A" w:rsidRDefault="00B6771A">
      <w:pPr>
        <w:pStyle w:val="FootnoteText"/>
      </w:pPr>
      <w:r>
        <w:rPr>
          <w:rStyle w:val="FootnoteReference"/>
        </w:rPr>
        <w:footnoteRef/>
      </w:r>
      <w:r>
        <w:t xml:space="preserve"> Ibid p. 20</w:t>
      </w:r>
    </w:p>
  </w:footnote>
  <w:footnote w:id="17">
    <w:p w14:paraId="5E26678E" w14:textId="3F3E9E61" w:rsidR="00C86311" w:rsidRDefault="00C86311">
      <w:pPr>
        <w:pStyle w:val="FootnoteText"/>
      </w:pPr>
      <w:r>
        <w:rPr>
          <w:rStyle w:val="FootnoteReference"/>
        </w:rPr>
        <w:footnoteRef/>
      </w:r>
      <w:r>
        <w:t xml:space="preserve"> </w:t>
      </w:r>
      <w:r w:rsidR="00857EC2" w:rsidRPr="006C3EE2">
        <w:t xml:space="preserve">Martha </w:t>
      </w:r>
      <w:r w:rsidR="002931FD">
        <w:t>G. Newman,</w:t>
      </w:r>
      <w:r w:rsidR="00857EC2" w:rsidRPr="006C3EE2">
        <w:t xml:space="preserve"> ‘Foundation and Twelfth Century’, in </w:t>
      </w:r>
      <w:r w:rsidR="00857EC2" w:rsidRPr="006C3EE2">
        <w:rPr>
          <w:i/>
          <w:iCs/>
        </w:rPr>
        <w:t>The Cambridge Companion to the Cistercian Order</w:t>
      </w:r>
      <w:r w:rsidR="00857EC2" w:rsidRPr="006C3EE2">
        <w:t xml:space="preserve"> (Cambridge University Press, 2012),</w:t>
      </w:r>
      <w:r w:rsidR="00857EC2">
        <w:t xml:space="preserve"> p. 27</w:t>
      </w:r>
    </w:p>
  </w:footnote>
  <w:footnote w:id="18">
    <w:p w14:paraId="55B203A5" w14:textId="0D9DF28E" w:rsidR="0051537C" w:rsidRDefault="0051537C">
      <w:pPr>
        <w:pStyle w:val="FootnoteText"/>
      </w:pPr>
      <w:r>
        <w:rPr>
          <w:rStyle w:val="FootnoteReference"/>
        </w:rPr>
        <w:footnoteRef/>
      </w:r>
      <w:r>
        <w:t xml:space="preserve"> </w:t>
      </w:r>
      <w:r w:rsidR="00433B87" w:rsidRPr="00670588">
        <w:t xml:space="preserve">Abbot Justine McCan, </w:t>
      </w:r>
      <w:r w:rsidR="00433B87" w:rsidRPr="00670588">
        <w:rPr>
          <w:i/>
          <w:iCs/>
        </w:rPr>
        <w:t>The Rule of St. Benedict</w:t>
      </w:r>
      <w:r w:rsidR="00433B87" w:rsidRPr="00670588">
        <w:t>, (London: Sheed &amp; Ward LTD, 1952</w:t>
      </w:r>
      <w:r w:rsidR="00433B87">
        <w:t>)</w:t>
      </w:r>
    </w:p>
  </w:footnote>
  <w:footnote w:id="19">
    <w:p w14:paraId="0B9596F5" w14:textId="126B7C80" w:rsidR="00DF7CAC" w:rsidRDefault="00DF7CAC">
      <w:pPr>
        <w:pStyle w:val="FootnoteText"/>
      </w:pPr>
      <w:r>
        <w:rPr>
          <w:rStyle w:val="FootnoteReference"/>
        </w:rPr>
        <w:footnoteRef/>
      </w:r>
      <w:r>
        <w:t xml:space="preserve"> </w:t>
      </w:r>
      <w:r w:rsidR="0017254F" w:rsidRPr="006C3EE2">
        <w:t>Janet</w:t>
      </w:r>
      <w:r w:rsidR="0017254F">
        <w:t xml:space="preserve"> Burton</w:t>
      </w:r>
      <w:r w:rsidR="0017254F" w:rsidRPr="006C3EE2">
        <w:t xml:space="preserve"> and Julie Kerr, </w:t>
      </w:r>
      <w:r w:rsidR="0017254F" w:rsidRPr="006C3EE2">
        <w:rPr>
          <w:i/>
          <w:iCs/>
        </w:rPr>
        <w:t>The Cistercians in the Middle Ages</w:t>
      </w:r>
      <w:r w:rsidR="0017254F" w:rsidRPr="006C3EE2">
        <w:t xml:space="preserve"> (Boydell Press, 2011)</w:t>
      </w:r>
      <w:r w:rsidR="0017254F">
        <w:t xml:space="preserve">, p. </w:t>
      </w:r>
      <w:r w:rsidR="003D1C1B">
        <w:t>11</w:t>
      </w:r>
    </w:p>
  </w:footnote>
  <w:footnote w:id="20">
    <w:p w14:paraId="63F3F607" w14:textId="429C8C1D" w:rsidR="0017254F" w:rsidRDefault="0017254F">
      <w:pPr>
        <w:pStyle w:val="FootnoteText"/>
      </w:pPr>
      <w:r>
        <w:rPr>
          <w:rStyle w:val="FootnoteReference"/>
        </w:rPr>
        <w:footnoteRef/>
      </w:r>
      <w:r>
        <w:t xml:space="preserve"> </w:t>
      </w:r>
      <w:r w:rsidR="003D1C1B">
        <w:t xml:space="preserve">Ibid </w:t>
      </w:r>
    </w:p>
  </w:footnote>
  <w:footnote w:id="21">
    <w:p w14:paraId="05981C4B" w14:textId="0083BEE3" w:rsidR="005E7AA2" w:rsidRDefault="005E7AA2">
      <w:pPr>
        <w:pStyle w:val="FootnoteText"/>
      </w:pPr>
      <w:r>
        <w:rPr>
          <w:rStyle w:val="FootnoteReference"/>
        </w:rPr>
        <w:footnoteRef/>
      </w:r>
      <w:r>
        <w:t xml:space="preserve"> Ibid</w:t>
      </w:r>
    </w:p>
  </w:footnote>
  <w:footnote w:id="22">
    <w:p w14:paraId="67652D34" w14:textId="545F6FF2" w:rsidR="00540EFC" w:rsidRDefault="00540EFC">
      <w:pPr>
        <w:pStyle w:val="FootnoteText"/>
      </w:pPr>
      <w:r>
        <w:rPr>
          <w:rStyle w:val="FootnoteReference"/>
        </w:rPr>
        <w:footnoteRef/>
      </w:r>
      <w:r>
        <w:t xml:space="preserve"> Ibid p. 13</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59CBA3" w14:textId="0C5D2D7A" w:rsidR="006C3EE2" w:rsidRPr="004779EB" w:rsidRDefault="004779EB">
    <w:pPr>
      <w:pStyle w:val="Header"/>
      <w:jc w:val="center"/>
      <w:rPr>
        <w:sz w:val="20"/>
      </w:rPr>
    </w:pPr>
    <w:sdt>
      <w:sdtPr>
        <w:rPr>
          <w:sz w:val="20"/>
          <w:szCs w:val="20"/>
        </w:rPr>
        <w:id w:val="-615825198"/>
        <w:docPartObj>
          <w:docPartGallery w:val="Page Numbers (Margins)"/>
          <w:docPartUnique/>
        </w:docPartObj>
      </w:sdtPr>
      <w:sdtContent>
        <w:r w:rsidRPr="004779EB">
          <w:rPr>
            <w:noProof/>
            <w:sz w:val="20"/>
            <w:szCs w:val="20"/>
          </w:rPr>
          <mc:AlternateContent>
            <mc:Choice Requires="wps">
              <w:drawing>
                <wp:anchor distT="0" distB="0" distL="114300" distR="114300" simplePos="0" relativeHeight="251659264" behindDoc="0" locked="0" layoutInCell="0" allowOverlap="1" wp14:anchorId="15347A59" wp14:editId="76F52D9B">
                  <wp:simplePos x="0" y="0"/>
                  <wp:positionH relativeFrom="rightMargin">
                    <wp:align>right</wp:align>
                  </wp:positionH>
                  <mc:AlternateContent>
                    <mc:Choice Requires="wp14">
                      <wp:positionV relativeFrom="margin">
                        <wp14:pctPosVOffset>10000</wp14:pctPosVOffset>
                      </wp:positionV>
                    </mc:Choice>
                    <mc:Fallback>
                      <wp:positionV relativeFrom="page">
                        <wp:posOffset>1800225</wp:posOffset>
                      </wp:positionV>
                    </mc:Fallback>
                  </mc:AlternateContent>
                  <wp:extent cx="821055" cy="396240"/>
                  <wp:effectExtent l="0" t="0" r="1905" b="4445"/>
                  <wp:wrapNone/>
                  <wp:docPr id="611810244"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21055" cy="39624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9465751" w14:textId="77777777" w:rsidR="004779EB" w:rsidRDefault="004779EB">
                              <w:pPr>
                                <w:pBdr>
                                  <w:top w:val="single" w:sz="4" w:space="1" w:color="D8D8D8" w:themeColor="background1" w:themeShade="D8"/>
                                </w:pBdr>
                              </w:pPr>
                              <w:r>
                                <w:t xml:space="preserve">Page | </w:t>
                              </w:r>
                              <w:r>
                                <w:fldChar w:fldCharType="begin"/>
                              </w:r>
                              <w:r>
                                <w:instrText xml:space="preserve"> PAGE   \* MERGEFORMAT </w:instrText>
                              </w:r>
                              <w:r>
                                <w:fldChar w:fldCharType="separate"/>
                              </w:r>
                              <w:r>
                                <w:rPr>
                                  <w:noProof/>
                                </w:rPr>
                                <w:t>2</w:t>
                              </w:r>
                              <w:r>
                                <w:rPr>
                                  <w:noProof/>
                                </w:rPr>
                                <w:fldChar w:fldCharType="end"/>
                              </w:r>
                            </w:p>
                          </w:txbxContent>
                        </wps:txbx>
                        <wps:bodyPr rot="0" vert="horz" wrap="square" lIns="0" tIns="45720" rIns="0" bIns="45720" anchor="t" anchorCtr="0" upright="1">
                          <a:spAutoFit/>
                        </wps:bodyPr>
                      </wps:wsp>
                    </a:graphicData>
                  </a:graphic>
                  <wp14:sizeRelH relativeFrom="rightMargin">
                    <wp14:pctWidth>90000</wp14:pctWidth>
                  </wp14:sizeRelH>
                  <wp14:sizeRelV relativeFrom="page">
                    <wp14:pctHeight>0</wp14:pctHeight>
                  </wp14:sizeRelV>
                </wp:anchor>
              </w:drawing>
            </mc:Choice>
            <mc:Fallback>
              <w:pict>
                <v:rect w14:anchorId="15347A59" id="Rectangle 1" o:spid="_x0000_s1026" style="position:absolute;left:0;text-align:left;margin-left:13.45pt;margin-top:0;width:64.65pt;height:31.2pt;z-index:251659264;visibility:visible;mso-wrap-style:square;mso-width-percent:900;mso-height-percent:0;mso-top-percent:100;mso-wrap-distance-left:9pt;mso-wrap-distance-top:0;mso-wrap-distance-right:9pt;mso-wrap-distance-bottom:0;mso-position-horizontal:right;mso-position-horizontal-relative:right-margin-area;mso-position-vertical-relative:margin;mso-width-percent:900;mso-height-percent:0;mso-top-percent:100;mso-width-relative:right-margin-area;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" o:allowincell="f" stroked="f">
                  <v:textbox style="mso-fit-shape-to-text:t" inset="0,,0">
                    <w:txbxContent>
                      <w:p w14:paraId="19465751" w14:textId="77777777" w:rsidR="004779EB" w:rsidRDefault="004779EB">
                        <w:pPr>
                          <w:pBdr>
                            <w:top w:val="single" w:sz="4" w:space="1" w:color="D8D8D8" w:themeColor="background1" w:themeShade="D8"/>
                          </w:pBdr>
                        </w:pPr>
                        <w:r>
                          <w:t xml:space="preserve">Page | </w:t>
                        </w:r>
                        <w:r>
                          <w:fldChar w:fldCharType="begin"/>
                        </w:r>
                        <w:r>
                          <w:instrText xml:space="preserve"> PAGE   \* MERGEFORMAT </w:instrText>
                        </w:r>
                        <w:r>
                          <w:fldChar w:fldCharType="separate"/>
                        </w:r>
                        <w:r>
                          <w:rPr>
                            <w:noProof/>
                          </w:rPr>
                          <w:t>2</w:t>
                        </w:r>
                        <w:r>
                          <w:rPr>
                            <w:noProof/>
                          </w:rPr>
                          <w:fldChar w:fldCharType="end"/>
                        </w:r>
                      </w:p>
                    </w:txbxContent>
                  </v:textbox>
                  <w10:wrap anchorx="margin" anchory="margin"/>
                </v:rect>
              </w:pict>
            </mc:Fallback>
          </mc:AlternateContent>
        </w:r>
      </w:sdtContent>
    </w:sdt>
    <w:sdt>
      <w:sdtPr>
        <w:rPr>
          <w:sz w:val="20"/>
          <w:szCs w:val="20"/>
        </w:rPr>
        <w:alias w:val="Author"/>
        <w:tag w:val=""/>
        <w:id w:val="-952397527"/>
        <w:placeholder>
          <w:docPart w:val="1E9C6BE31816459AA52110424D5800FC"/>
        </w:placeholder>
        <w:dataBinding w:prefixMappings="xmlns:ns0='http://purl.org/dc/elements/1.1/' xmlns:ns1='http://schemas.openxmlformats.org/package/2006/metadata/core-properties' " w:xpath="/ns1:coreProperties[1]/ns0:creator[1]" w:storeItemID="{6C3C8BC8-F283-45AE-878A-BAB7291924A1}"/>
        <w:text/>
      </w:sdtPr>
      <w:sdtContent>
        <w:r w:rsidR="006C3EE2" w:rsidRPr="004779EB">
          <w:rPr>
            <w:sz w:val="20"/>
            <w:szCs w:val="20"/>
          </w:rPr>
          <w:t>Evan Davies (2304228)</w:t>
        </w:r>
      </w:sdtContent>
    </w:sdt>
  </w:p>
  <w:p w14:paraId="60E5D619" w14:textId="56B31051" w:rsidR="006C3EE2" w:rsidRPr="004779EB" w:rsidRDefault="006C3EE2">
    <w:pPr>
      <w:pStyle w:val="Header"/>
      <w:jc w:val="center"/>
      <w:rPr>
        <w:caps/>
      </w:rPr>
    </w:pPr>
    <w:r w:rsidRPr="004779EB">
      <w:rPr>
        <w:caps/>
      </w:rPr>
      <w:t xml:space="preserve"> </w:t>
    </w:r>
    <w:sdt>
      <w:sdtPr>
        <w:rPr>
          <w:caps/>
        </w:rPr>
        <w:alias w:val="Title"/>
        <w:tag w:val=""/>
        <w:id w:val="-1954942076"/>
        <w:placeholder>
          <w:docPart w:val="313192177DFE49129489AE409107A2EB"/>
        </w:placeholder>
        <w:dataBinding w:prefixMappings="xmlns:ns0='http://purl.org/dc/elements/1.1/' xmlns:ns1='http://schemas.openxmlformats.org/package/2006/metadata/core-properties' " w:xpath="/ns1:coreProperties[1]/ns0:title[1]" w:storeItemID="{6C3C8BC8-F283-45AE-878A-BAB7291924A1}"/>
        <w:text/>
      </w:sdtPr>
      <w:sdtContent>
        <w:r w:rsidRPr="004779EB">
          <w:rPr>
            <w:caps/>
          </w:rPr>
          <w:t>A Commentary on an extract from</w:t>
        </w:r>
        <w:r w:rsidR="004779EB" w:rsidRPr="004779EB">
          <w:rPr>
            <w:caps/>
          </w:rPr>
          <w:t xml:space="preserve"> THE</w:t>
        </w:r>
        <w:r w:rsidRPr="004779EB">
          <w:rPr>
            <w:caps/>
          </w:rPr>
          <w:t xml:space="preserve"> Exordium parvum</w:t>
        </w:r>
      </w:sdtContent>
    </w:sdt>
  </w:p>
  <w:p w14:paraId="6C536B86" w14:textId="77777777" w:rsidR="006C3EE2" w:rsidRDefault="006C3EE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3EE2"/>
    <w:rsid w:val="00070399"/>
    <w:rsid w:val="00085172"/>
    <w:rsid w:val="00090CDD"/>
    <w:rsid w:val="000A0C81"/>
    <w:rsid w:val="000B0F8B"/>
    <w:rsid w:val="000F13CF"/>
    <w:rsid w:val="00102C48"/>
    <w:rsid w:val="0014209E"/>
    <w:rsid w:val="00147E0E"/>
    <w:rsid w:val="0017254F"/>
    <w:rsid w:val="00177C08"/>
    <w:rsid w:val="001D65A5"/>
    <w:rsid w:val="00256173"/>
    <w:rsid w:val="0026097D"/>
    <w:rsid w:val="002708AA"/>
    <w:rsid w:val="002931FD"/>
    <w:rsid w:val="002A3576"/>
    <w:rsid w:val="002D5D56"/>
    <w:rsid w:val="003B450D"/>
    <w:rsid w:val="003D1C1B"/>
    <w:rsid w:val="00401250"/>
    <w:rsid w:val="00433B87"/>
    <w:rsid w:val="00441BD6"/>
    <w:rsid w:val="004779EB"/>
    <w:rsid w:val="00485A85"/>
    <w:rsid w:val="004E0716"/>
    <w:rsid w:val="0051537C"/>
    <w:rsid w:val="00531630"/>
    <w:rsid w:val="00534C4E"/>
    <w:rsid w:val="00540EFC"/>
    <w:rsid w:val="00542E91"/>
    <w:rsid w:val="00556D7C"/>
    <w:rsid w:val="005E7AA2"/>
    <w:rsid w:val="005F3DCF"/>
    <w:rsid w:val="00634679"/>
    <w:rsid w:val="00655462"/>
    <w:rsid w:val="006A3F10"/>
    <w:rsid w:val="006C3EE2"/>
    <w:rsid w:val="006C526E"/>
    <w:rsid w:val="007235A5"/>
    <w:rsid w:val="00725AE1"/>
    <w:rsid w:val="00730524"/>
    <w:rsid w:val="00730EB6"/>
    <w:rsid w:val="00733527"/>
    <w:rsid w:val="00751304"/>
    <w:rsid w:val="00802E8E"/>
    <w:rsid w:val="00810699"/>
    <w:rsid w:val="008121C4"/>
    <w:rsid w:val="008278B4"/>
    <w:rsid w:val="00835B87"/>
    <w:rsid w:val="00857EC2"/>
    <w:rsid w:val="008A5859"/>
    <w:rsid w:val="008E350E"/>
    <w:rsid w:val="009138CC"/>
    <w:rsid w:val="00980A8C"/>
    <w:rsid w:val="00A07C12"/>
    <w:rsid w:val="00A254FF"/>
    <w:rsid w:val="00A41810"/>
    <w:rsid w:val="00A562DE"/>
    <w:rsid w:val="00A61C68"/>
    <w:rsid w:val="00A6627E"/>
    <w:rsid w:val="00AC1B9A"/>
    <w:rsid w:val="00B237E3"/>
    <w:rsid w:val="00B31CD1"/>
    <w:rsid w:val="00B438AD"/>
    <w:rsid w:val="00B532B5"/>
    <w:rsid w:val="00B6771A"/>
    <w:rsid w:val="00BF095B"/>
    <w:rsid w:val="00C66886"/>
    <w:rsid w:val="00C86311"/>
    <w:rsid w:val="00D4793A"/>
    <w:rsid w:val="00D5274A"/>
    <w:rsid w:val="00D77D87"/>
    <w:rsid w:val="00D8122A"/>
    <w:rsid w:val="00D85423"/>
    <w:rsid w:val="00DB27EE"/>
    <w:rsid w:val="00DF7CAC"/>
    <w:rsid w:val="00E12D3A"/>
    <w:rsid w:val="00E32775"/>
    <w:rsid w:val="00E41BE7"/>
    <w:rsid w:val="00E43155"/>
    <w:rsid w:val="00E7473D"/>
    <w:rsid w:val="00E8388F"/>
    <w:rsid w:val="00EA5A14"/>
    <w:rsid w:val="00EC167F"/>
    <w:rsid w:val="00ED716D"/>
    <w:rsid w:val="00F44A9A"/>
    <w:rsid w:val="00FD7E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1"/>
    </o:shapelayout>
  </w:shapeDefaults>
  <w:decimalSymbol w:val="."/>
  <w:listSeparator w:val=","/>
  <w14:docId w14:val="2FBB96DA"/>
  <w15:chartTrackingRefBased/>
  <w15:docId w15:val="{8D3ECEB6-F3EF-4496-94A4-D5B60A0ABC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C3EE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C3EE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C3EE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C3EE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C3EE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C3EE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C3EE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C3EE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C3EE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3EE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C3EE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C3EE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C3EE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C3EE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C3EE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C3EE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C3EE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C3EE2"/>
    <w:rPr>
      <w:rFonts w:eastAsiaTheme="majorEastAsia" w:cstheme="majorBidi"/>
      <w:color w:val="272727" w:themeColor="text1" w:themeTint="D8"/>
    </w:rPr>
  </w:style>
  <w:style w:type="paragraph" w:styleId="Title">
    <w:name w:val="Title"/>
    <w:basedOn w:val="Normal"/>
    <w:next w:val="Normal"/>
    <w:link w:val="TitleChar"/>
    <w:uiPriority w:val="10"/>
    <w:qFormat/>
    <w:rsid w:val="006C3EE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C3EE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C3EE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C3EE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C3EE2"/>
    <w:pPr>
      <w:spacing w:before="160"/>
      <w:jc w:val="center"/>
    </w:pPr>
    <w:rPr>
      <w:i/>
      <w:iCs/>
      <w:color w:val="404040" w:themeColor="text1" w:themeTint="BF"/>
    </w:rPr>
  </w:style>
  <w:style w:type="character" w:customStyle="1" w:styleId="QuoteChar">
    <w:name w:val="Quote Char"/>
    <w:basedOn w:val="DefaultParagraphFont"/>
    <w:link w:val="Quote"/>
    <w:uiPriority w:val="29"/>
    <w:rsid w:val="006C3EE2"/>
    <w:rPr>
      <w:i/>
      <w:iCs/>
      <w:color w:val="404040" w:themeColor="text1" w:themeTint="BF"/>
    </w:rPr>
  </w:style>
  <w:style w:type="paragraph" w:styleId="ListParagraph">
    <w:name w:val="List Paragraph"/>
    <w:basedOn w:val="Normal"/>
    <w:uiPriority w:val="34"/>
    <w:qFormat/>
    <w:rsid w:val="006C3EE2"/>
    <w:pPr>
      <w:ind w:left="720"/>
      <w:contextualSpacing/>
    </w:pPr>
  </w:style>
  <w:style w:type="character" w:styleId="IntenseEmphasis">
    <w:name w:val="Intense Emphasis"/>
    <w:basedOn w:val="DefaultParagraphFont"/>
    <w:uiPriority w:val="21"/>
    <w:qFormat/>
    <w:rsid w:val="006C3EE2"/>
    <w:rPr>
      <w:i/>
      <w:iCs/>
      <w:color w:val="0F4761" w:themeColor="accent1" w:themeShade="BF"/>
    </w:rPr>
  </w:style>
  <w:style w:type="paragraph" w:styleId="IntenseQuote">
    <w:name w:val="Intense Quote"/>
    <w:basedOn w:val="Normal"/>
    <w:next w:val="Normal"/>
    <w:link w:val="IntenseQuoteChar"/>
    <w:uiPriority w:val="30"/>
    <w:qFormat/>
    <w:rsid w:val="006C3EE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C3EE2"/>
    <w:rPr>
      <w:i/>
      <w:iCs/>
      <w:color w:val="0F4761" w:themeColor="accent1" w:themeShade="BF"/>
    </w:rPr>
  </w:style>
  <w:style w:type="character" w:styleId="IntenseReference">
    <w:name w:val="Intense Reference"/>
    <w:basedOn w:val="DefaultParagraphFont"/>
    <w:uiPriority w:val="32"/>
    <w:qFormat/>
    <w:rsid w:val="006C3EE2"/>
    <w:rPr>
      <w:b/>
      <w:bCs/>
      <w:smallCaps/>
      <w:color w:val="0F4761" w:themeColor="accent1" w:themeShade="BF"/>
      <w:spacing w:val="5"/>
    </w:rPr>
  </w:style>
  <w:style w:type="paragraph" w:styleId="Header">
    <w:name w:val="header"/>
    <w:basedOn w:val="Normal"/>
    <w:link w:val="HeaderChar"/>
    <w:uiPriority w:val="99"/>
    <w:unhideWhenUsed/>
    <w:rsid w:val="006C3E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3EE2"/>
  </w:style>
  <w:style w:type="paragraph" w:styleId="Footer">
    <w:name w:val="footer"/>
    <w:basedOn w:val="Normal"/>
    <w:link w:val="FooterChar"/>
    <w:uiPriority w:val="99"/>
    <w:unhideWhenUsed/>
    <w:rsid w:val="006C3E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3EE2"/>
  </w:style>
  <w:style w:type="paragraph" w:styleId="FootnoteText">
    <w:name w:val="footnote text"/>
    <w:basedOn w:val="Normal"/>
    <w:link w:val="FootnoteTextChar"/>
    <w:uiPriority w:val="99"/>
    <w:unhideWhenUsed/>
    <w:rsid w:val="006C3EE2"/>
    <w:pPr>
      <w:spacing w:after="0" w:line="240" w:lineRule="auto"/>
    </w:pPr>
    <w:rPr>
      <w:sz w:val="20"/>
      <w:szCs w:val="20"/>
    </w:rPr>
  </w:style>
  <w:style w:type="character" w:customStyle="1" w:styleId="FootnoteTextChar">
    <w:name w:val="Footnote Text Char"/>
    <w:basedOn w:val="DefaultParagraphFont"/>
    <w:link w:val="FootnoteText"/>
    <w:uiPriority w:val="99"/>
    <w:rsid w:val="006C3EE2"/>
    <w:rPr>
      <w:sz w:val="20"/>
      <w:szCs w:val="20"/>
    </w:rPr>
  </w:style>
  <w:style w:type="character" w:styleId="FootnoteReference">
    <w:name w:val="footnote reference"/>
    <w:basedOn w:val="DefaultParagraphFont"/>
    <w:uiPriority w:val="99"/>
    <w:semiHidden/>
    <w:unhideWhenUsed/>
    <w:rsid w:val="006C3EE2"/>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endnotes" Target="endnot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1E9C6BE31816459AA52110424D5800FC"/>
        <w:category>
          <w:name w:val="General"/>
          <w:gallery w:val="placeholder"/>
        </w:category>
        <w:types>
          <w:type w:val="bbPlcHdr"/>
        </w:types>
        <w:behaviors>
          <w:behavior w:val="content"/>
        </w:behaviors>
        <w:guid w:val="{D81A8AD6-ACCB-4EC7-B7F4-03DC7E02FE59}"/>
      </w:docPartPr>
      <w:docPartBody>
        <w:p w:rsidR="00FC1F71" w:rsidRDefault="00FC1F71" w:rsidP="00FC1F71">
          <w:pPr>
            <w:pStyle w:val="1E9C6BE31816459AA52110424D5800FC"/>
          </w:pPr>
          <w:r>
            <w:rPr>
              <w:color w:val="156082" w:themeColor="accent1"/>
              <w:sz w:val="20"/>
              <w:szCs w:val="20"/>
            </w:rPr>
            <w:t>[Author name]</w:t>
          </w:r>
        </w:p>
      </w:docPartBody>
    </w:docPart>
    <w:docPart>
      <w:docPartPr>
        <w:name w:val="313192177DFE49129489AE409107A2EB"/>
        <w:category>
          <w:name w:val="General"/>
          <w:gallery w:val="placeholder"/>
        </w:category>
        <w:types>
          <w:type w:val="bbPlcHdr"/>
        </w:types>
        <w:behaviors>
          <w:behavior w:val="content"/>
        </w:behaviors>
        <w:guid w:val="{A6F68AF7-023D-454E-99FC-285DB99CF4B1}"/>
      </w:docPartPr>
      <w:docPartBody>
        <w:p w:rsidR="00FC1F71" w:rsidRDefault="00FC1F71" w:rsidP="00FC1F71">
          <w:pPr>
            <w:pStyle w:val="313192177DFE49129489AE409107A2EB"/>
          </w:pPr>
          <w:r>
            <w:rPr>
              <w:caps/>
              <w:color w:val="156082" w:themeColor="accent1"/>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1F71"/>
    <w:rsid w:val="00147E0E"/>
    <w:rsid w:val="00FC1F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E9C6BE31816459AA52110424D5800FC">
    <w:name w:val="1E9C6BE31816459AA52110424D5800FC"/>
    <w:rsid w:val="00FC1F71"/>
  </w:style>
  <w:style w:type="paragraph" w:customStyle="1" w:styleId="313192177DFE49129489AE409107A2EB">
    <w:name w:val="313192177DFE49129489AE409107A2EB"/>
    <w:rsid w:val="00FC1F7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9" ma:contentTypeDescription="Create a new document." ma:contentTypeScope="" ma:versionID="8c1749742396ef7fe6ec683c5daa5142">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0d1dc1b00062ba761a597a0934f3f0ac"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Props1.xml><?xml version="1.0" encoding="utf-8"?>
<ds:datastoreItem xmlns:ds="http://schemas.openxmlformats.org/officeDocument/2006/customXml" ds:itemID="{46085FCC-659E-477A-AEEB-CEF809A8E97A}">
  <ds:schemaRefs>
    <ds:schemaRef ds:uri="http://schemas.openxmlformats.org/officeDocument/2006/bibliography"/>
  </ds:schemaRefs>
</ds:datastoreItem>
</file>

<file path=customXml/itemProps2.xml><?xml version="1.0" encoding="utf-8"?>
<ds:datastoreItem xmlns:ds="http://schemas.openxmlformats.org/officeDocument/2006/customXml" ds:itemID="{F282981D-B8F7-4417-A613-95F33D71A82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07D013B-281E-4053-ABE3-AA0BA0174B7C}">
  <ds:schemaRefs>
    <ds:schemaRef ds:uri="http://schemas.microsoft.com/sharepoint/v3/contenttype/forms"/>
  </ds:schemaRefs>
</ds:datastoreItem>
</file>

<file path=customXml/itemProps4.xml><?xml version="1.0" encoding="utf-8"?>
<ds:datastoreItem xmlns:ds="http://schemas.openxmlformats.org/officeDocument/2006/customXml" ds:itemID="{348909F5-1C68-4729-869D-6ED9577A85A7}">
  <ds:schemaRefs>
    <ds:schemaRef ds:uri="http://schemas.openxmlformats.org/package/2006/metadata/core-properties"/>
    <ds:schemaRef ds:uri="http://schemas.microsoft.com/office/2006/documentManagement/types"/>
    <ds:schemaRef ds:uri="47a3e2db-67be-4841-b3a5-2f2fb1d7c7b3"/>
    <ds:schemaRef ds:uri="60ab93c2-c2e2-4a82-ab36-09e8ba3f753e"/>
    <ds:schemaRef ds:uri="http://schemas.microsoft.com/office/2006/metadata/properties"/>
    <ds:schemaRef ds:uri="http://purl.org/dc/dcmitype/"/>
    <ds:schemaRef ds:uri="http://purl.org/dc/terms/"/>
    <ds:schemaRef ds:uri="http://purl.org/dc/elements/1.1/"/>
    <ds:schemaRef ds:uri="http://schemas.microsoft.com/office/infopath/2007/PartnerControl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1684</TotalTime>
  <Pages>4</Pages>
  <Words>1139</Words>
  <Characters>5619</Characters>
  <Application>Microsoft Office Word</Application>
  <DocSecurity>0</DocSecurity>
  <Lines>85</Lines>
  <Paragraphs>20</Paragraphs>
  <ScaleCrop>false</ScaleCrop>
  <Company/>
  <LinksUpToDate>false</LinksUpToDate>
  <CharactersWithSpaces>6738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Commentary on an extract from THE Exordium parvum</dc:title>
  <dc:subject/>
  <dc:creator>Evan Davies (2304228)</dc:creator>
  <cp:keywords/>
  <dc:description/>
  <cp:lastModifiedBy>Evan Davies (2304228)</cp:lastModifiedBy>
  <cp:revision>89</cp:revision>
  <dcterms:created xsi:type="dcterms:W3CDTF">2025-10-13T15:17:00Z</dcterms:created>
  <dcterms:modified xsi:type="dcterms:W3CDTF">2025-10-14T19:37:00Z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