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21446" w14:textId="263DA35D" w:rsidR="005742EC" w:rsidRDefault="009001E6" w:rsidP="009A4706">
      <w:pPr>
        <w:spacing w:line="360" w:lineRule="auto"/>
        <w:jc w:val="both"/>
        <w:rPr>
          <w:rFonts w:ascii="Arial" w:eastAsia="Calibri" w:hAnsi="Arial" w:cs="Arial"/>
          <w:b/>
          <w:bCs/>
        </w:rPr>
      </w:pPr>
      <w:r>
        <w:rPr>
          <w:rFonts w:ascii="Arial" w:hAnsi="Arial" w:cs="Arial"/>
          <w:b/>
        </w:rPr>
        <w:t xml:space="preserve">Graduate Diploma in Policing (GDIP) - </w:t>
      </w:r>
      <w:r>
        <w:rPr>
          <w:rFonts w:ascii="Arial" w:eastAsia="Arial" w:hAnsi="Arial" w:cs="Arial"/>
          <w:b/>
          <w:bCs/>
        </w:rPr>
        <w:t xml:space="preserve">Operational Policing Practice 3 - </w:t>
      </w:r>
      <w:r>
        <w:rPr>
          <w:rFonts w:ascii="Arial" w:eastAsia="Calibri" w:hAnsi="Arial" w:cs="Arial"/>
          <w:b/>
          <w:bCs/>
        </w:rPr>
        <w:t>BMP6005D</w:t>
      </w:r>
    </w:p>
    <w:p w14:paraId="25B0ECD8" w14:textId="77777777" w:rsidR="005742EC" w:rsidRPr="005742EC" w:rsidRDefault="005742EC" w:rsidP="009A4706">
      <w:pPr>
        <w:spacing w:line="360" w:lineRule="auto"/>
        <w:jc w:val="both"/>
        <w:rPr>
          <w:rFonts w:ascii="Arial" w:eastAsia="Calibri" w:hAnsi="Arial" w:cs="Arial"/>
          <w:b/>
          <w:bCs/>
        </w:rPr>
      </w:pPr>
    </w:p>
    <w:p w14:paraId="1037BBCB" w14:textId="78873091" w:rsidR="009001E6" w:rsidRDefault="001E6C14" w:rsidP="009A4706">
      <w:pPr>
        <w:spacing w:line="360" w:lineRule="auto"/>
        <w:jc w:val="both"/>
        <w:rPr>
          <w:b/>
          <w:bCs/>
          <w:sz w:val="24"/>
          <w:szCs w:val="24"/>
        </w:rPr>
      </w:pPr>
      <w:r>
        <w:rPr>
          <w:b/>
          <w:bCs/>
          <w:sz w:val="24"/>
          <w:szCs w:val="24"/>
        </w:rPr>
        <w:t>ESSAY ONE</w:t>
      </w:r>
    </w:p>
    <w:p w14:paraId="03AAF93F" w14:textId="77777777" w:rsidR="00F30390" w:rsidRPr="00E91A66" w:rsidRDefault="00F30390" w:rsidP="00F30390">
      <w:pPr>
        <w:spacing w:line="360" w:lineRule="auto"/>
        <w:jc w:val="both"/>
        <w:rPr>
          <w:b/>
          <w:bCs/>
          <w:sz w:val="24"/>
          <w:szCs w:val="24"/>
        </w:rPr>
      </w:pPr>
      <w:r w:rsidRPr="00E91A66">
        <w:rPr>
          <w:b/>
          <w:bCs/>
          <w:sz w:val="24"/>
          <w:szCs w:val="24"/>
        </w:rPr>
        <w:t>Introduction</w:t>
      </w:r>
    </w:p>
    <w:p w14:paraId="51289311" w14:textId="7A06F75C" w:rsidR="00F30390" w:rsidRDefault="00F30390" w:rsidP="00F30390">
      <w:pPr>
        <w:spacing w:line="360" w:lineRule="auto"/>
        <w:jc w:val="both"/>
        <w:rPr>
          <w:sz w:val="24"/>
          <w:szCs w:val="24"/>
        </w:rPr>
      </w:pPr>
      <w:r>
        <w:rPr>
          <w:sz w:val="24"/>
          <w:szCs w:val="24"/>
        </w:rPr>
        <w:t>Professions are recognised for serving a role within society. In recent decades, there has been a notable drive within western societies towards the ‘professionalisation’ of policing. It is widely recognised that professions have certain features that separate themselves from trades, crafts, or occupations (</w:t>
      </w:r>
      <w:r w:rsidRPr="00611951">
        <w:rPr>
          <w:sz w:val="24"/>
          <w:szCs w:val="24"/>
        </w:rPr>
        <w:t>Green &amp; Gates 2014</w:t>
      </w:r>
      <w:r>
        <w:rPr>
          <w:sz w:val="24"/>
          <w:szCs w:val="24"/>
        </w:rPr>
        <w:t xml:space="preserve">). Such features may include </w:t>
      </w:r>
      <w:bookmarkStart w:id="0" w:name="_Hlk126081178"/>
      <w:r>
        <w:rPr>
          <w:sz w:val="24"/>
          <w:szCs w:val="24"/>
        </w:rPr>
        <w:t>institutional training, code of ethics</w:t>
      </w:r>
      <w:bookmarkEnd w:id="0"/>
      <w:r>
        <w:rPr>
          <w:sz w:val="24"/>
          <w:szCs w:val="24"/>
        </w:rPr>
        <w:t>, professional association, work autonomy and evidence-based practice (</w:t>
      </w:r>
      <w:proofErr w:type="spellStart"/>
      <w:r w:rsidRPr="00611951">
        <w:rPr>
          <w:sz w:val="24"/>
          <w:szCs w:val="24"/>
        </w:rPr>
        <w:t>Holdaway</w:t>
      </w:r>
      <w:proofErr w:type="spellEnd"/>
      <w:r w:rsidRPr="00611951">
        <w:rPr>
          <w:sz w:val="24"/>
          <w:szCs w:val="24"/>
        </w:rPr>
        <w:t xml:space="preserve"> 2017</w:t>
      </w:r>
      <w:r>
        <w:rPr>
          <w:sz w:val="24"/>
          <w:szCs w:val="24"/>
        </w:rPr>
        <w:t>). Other longstanding widely accepted as professions can act as a guide to how policing can transform to a profession. Professions demonstrate self-regulated groups, that are accountable, constantly evolving and membership often requires completion of an intensiv</w:t>
      </w:r>
      <w:r w:rsidR="005742EC">
        <w:rPr>
          <w:sz w:val="24"/>
          <w:szCs w:val="24"/>
        </w:rPr>
        <w:t>e</w:t>
      </w:r>
      <w:r>
        <w:rPr>
          <w:sz w:val="24"/>
          <w:szCs w:val="24"/>
        </w:rPr>
        <w:t xml:space="preserve"> educational programme (often a degree) (</w:t>
      </w:r>
      <w:r w:rsidRPr="00611951">
        <w:rPr>
          <w:sz w:val="24"/>
          <w:szCs w:val="24"/>
        </w:rPr>
        <w:t>Green &amp; Gates 2014</w:t>
      </w:r>
      <w:r>
        <w:rPr>
          <w:sz w:val="24"/>
          <w:szCs w:val="24"/>
        </w:rPr>
        <w:t>). In the article I will consider and explore the effects that this move to ‘professionalism’ may have on the organisational culture within policing and examine the impacts this may have on officers’ wellbeing and resilience.</w:t>
      </w:r>
    </w:p>
    <w:p w14:paraId="1C9EE153" w14:textId="77777777" w:rsidR="00F30390" w:rsidRPr="002D4FB6" w:rsidRDefault="00F30390" w:rsidP="00F30390">
      <w:pPr>
        <w:spacing w:line="360" w:lineRule="auto"/>
        <w:jc w:val="both"/>
        <w:rPr>
          <w:sz w:val="24"/>
          <w:szCs w:val="24"/>
        </w:rPr>
      </w:pPr>
    </w:p>
    <w:p w14:paraId="1636E115" w14:textId="77777777" w:rsidR="00F30390" w:rsidRPr="002D4FB6" w:rsidRDefault="00F30390" w:rsidP="00F30390">
      <w:pPr>
        <w:rPr>
          <w:b/>
          <w:bCs/>
          <w:sz w:val="24"/>
          <w:szCs w:val="24"/>
        </w:rPr>
      </w:pPr>
      <w:r>
        <w:rPr>
          <w:b/>
          <w:bCs/>
          <w:sz w:val="24"/>
          <w:szCs w:val="24"/>
        </w:rPr>
        <w:t>Impacts of Organisational Culture Change</w:t>
      </w:r>
    </w:p>
    <w:p w14:paraId="52659162" w14:textId="77777777" w:rsidR="00F30390" w:rsidRDefault="00F30390" w:rsidP="00F30390">
      <w:pPr>
        <w:spacing w:line="360" w:lineRule="auto"/>
        <w:jc w:val="both"/>
        <w:rPr>
          <w:rFonts w:cstheme="minorHAnsi"/>
          <w:sz w:val="24"/>
          <w:szCs w:val="24"/>
        </w:rPr>
      </w:pPr>
      <w:r>
        <w:rPr>
          <w:sz w:val="24"/>
          <w:szCs w:val="24"/>
        </w:rPr>
        <w:t xml:space="preserve">An </w:t>
      </w:r>
      <w:bookmarkStart w:id="1" w:name="_Hlk126073710"/>
      <w:r>
        <w:rPr>
          <w:sz w:val="24"/>
          <w:szCs w:val="24"/>
        </w:rPr>
        <w:t>organisation’s culture can be referred to ‘</w:t>
      </w:r>
      <w:bookmarkEnd w:id="1"/>
      <w:r>
        <w:rPr>
          <w:sz w:val="24"/>
          <w:szCs w:val="24"/>
        </w:rPr>
        <w:t xml:space="preserve">organisation’s values and how things are done’. </w:t>
      </w:r>
      <w:r w:rsidRPr="002D4FB6">
        <w:rPr>
          <w:rFonts w:cstheme="minorHAnsi"/>
          <w:sz w:val="24"/>
          <w:szCs w:val="24"/>
        </w:rPr>
        <w:t>Employee attitudes, behaviours and decision making are shaped by organisational culture and are essential to deliver organisational outcomes.</w:t>
      </w:r>
      <w:r>
        <w:rPr>
          <w:rFonts w:cstheme="minorHAnsi"/>
          <w:sz w:val="24"/>
          <w:szCs w:val="24"/>
        </w:rPr>
        <w:t xml:space="preserve"> Research into the impacts of cultural change across a variety of progressions has been of interest to academics in recent years (with a significant body of research conducted in healthcare). The reason behind this focus is clear – in the private sector organisational changes enable competitive advantage over competitors (</w:t>
      </w:r>
      <w:r w:rsidRPr="00B07A18">
        <w:rPr>
          <w:rFonts w:cstheme="minorHAnsi"/>
          <w:sz w:val="24"/>
          <w:szCs w:val="24"/>
        </w:rPr>
        <w:t>Jones et al 2005</w:t>
      </w:r>
      <w:r>
        <w:rPr>
          <w:rFonts w:cstheme="minorHAnsi"/>
          <w:sz w:val="24"/>
          <w:szCs w:val="24"/>
        </w:rPr>
        <w:t>). In contrast, public sector organisations (law enforcement, healthcare, education etc) provides essential public services – the driving factor behind organisational change is a focus on service delivery improvement for the public they serve (Johnson et al 2016). In the private sector an ineffective organisation could lead to loss of earnings, jobs and ultimately closure of business. In the public sector ineffectiveness may lead to harm to the public, loss of public confidence and even disorder.</w:t>
      </w:r>
    </w:p>
    <w:p w14:paraId="1D8743A1" w14:textId="77777777" w:rsidR="00F30390" w:rsidRPr="00B07A18" w:rsidRDefault="00F30390" w:rsidP="00F30390">
      <w:pPr>
        <w:spacing w:line="360" w:lineRule="auto"/>
        <w:jc w:val="both"/>
        <w:rPr>
          <w:rFonts w:cstheme="minorHAnsi"/>
          <w:sz w:val="24"/>
          <w:szCs w:val="24"/>
        </w:rPr>
      </w:pPr>
      <w:proofErr w:type="spellStart"/>
      <w:r>
        <w:rPr>
          <w:rFonts w:cstheme="minorHAnsi"/>
          <w:sz w:val="24"/>
          <w:szCs w:val="24"/>
        </w:rPr>
        <w:lastRenderedPageBreak/>
        <w:t>Wynen</w:t>
      </w:r>
      <w:proofErr w:type="spellEnd"/>
      <w:r>
        <w:rPr>
          <w:rFonts w:cstheme="minorHAnsi"/>
          <w:sz w:val="24"/>
          <w:szCs w:val="24"/>
        </w:rPr>
        <w:t xml:space="preserve"> et al (2017) studied the effects of successive reforms within public organisational culture and results suggest that successive reforms may have unintended, detrimental effects on an organisation – these effects may potentially be disruptive resulting in employees stress and anxiety. Current evidence strongly correlates organisational </w:t>
      </w:r>
      <w:r w:rsidRPr="002D4FB6">
        <w:rPr>
          <w:rFonts w:cstheme="minorHAnsi"/>
          <w:sz w:val="24"/>
          <w:szCs w:val="24"/>
        </w:rPr>
        <w:t xml:space="preserve">culture </w:t>
      </w:r>
      <w:r>
        <w:rPr>
          <w:rFonts w:cstheme="minorHAnsi"/>
          <w:sz w:val="24"/>
          <w:szCs w:val="24"/>
        </w:rPr>
        <w:t>with</w:t>
      </w:r>
      <w:r w:rsidRPr="002D4FB6">
        <w:rPr>
          <w:rFonts w:cstheme="minorHAnsi"/>
          <w:sz w:val="24"/>
          <w:szCs w:val="24"/>
        </w:rPr>
        <w:t xml:space="preserve"> employee morale, job satisfaction, engagement, service quality and turnover (Johnson, A. et al. 201</w:t>
      </w:r>
      <w:r>
        <w:rPr>
          <w:rFonts w:cstheme="minorHAnsi"/>
          <w:sz w:val="24"/>
          <w:szCs w:val="24"/>
        </w:rPr>
        <w:t xml:space="preserve">6) </w:t>
      </w:r>
    </w:p>
    <w:p w14:paraId="693A47F6" w14:textId="77777777" w:rsidR="00F30390" w:rsidRDefault="00F30390" w:rsidP="00F30390">
      <w:pPr>
        <w:spacing w:line="360" w:lineRule="auto"/>
        <w:jc w:val="both"/>
        <w:rPr>
          <w:rFonts w:ascii="Calibri" w:hAnsi="Calibri" w:cs="Calibri"/>
          <w:sz w:val="24"/>
          <w:szCs w:val="24"/>
        </w:rPr>
      </w:pPr>
      <w:r>
        <w:rPr>
          <w:rFonts w:ascii="Calibri" w:hAnsi="Calibri" w:cs="Calibri"/>
          <w:sz w:val="24"/>
          <w:szCs w:val="24"/>
        </w:rPr>
        <w:t xml:space="preserve">Recognising the negative consequences of culture change to organisations effectiveness and the wellbeing of the workforce; </w:t>
      </w:r>
      <w:r w:rsidRPr="002D4FB6">
        <w:rPr>
          <w:rFonts w:ascii="Calibri" w:hAnsi="Calibri" w:cs="Calibri"/>
          <w:sz w:val="24"/>
          <w:szCs w:val="24"/>
        </w:rPr>
        <w:t>Meyer et al (2010) found that initiatives taken explain and gain support prior to its implementation gained higher levels of employee approval and commitment.</w:t>
      </w:r>
      <w:r>
        <w:rPr>
          <w:rFonts w:ascii="Calibri" w:hAnsi="Calibri" w:cs="Calibri"/>
          <w:sz w:val="24"/>
          <w:szCs w:val="24"/>
        </w:rPr>
        <w:t xml:space="preserve"> This work further corroborated findings by </w:t>
      </w:r>
      <w:r w:rsidRPr="00B07A18">
        <w:rPr>
          <w:rFonts w:ascii="Calibri" w:hAnsi="Calibri" w:cs="Calibri"/>
          <w:sz w:val="24"/>
          <w:szCs w:val="24"/>
        </w:rPr>
        <w:t xml:space="preserve">Jones et al </w:t>
      </w:r>
      <w:r>
        <w:rPr>
          <w:rFonts w:ascii="Calibri" w:hAnsi="Calibri" w:cs="Calibri"/>
          <w:sz w:val="24"/>
          <w:szCs w:val="24"/>
        </w:rPr>
        <w:t>(</w:t>
      </w:r>
      <w:r w:rsidRPr="00B07A18">
        <w:rPr>
          <w:rFonts w:ascii="Calibri" w:hAnsi="Calibri" w:cs="Calibri"/>
          <w:sz w:val="24"/>
          <w:szCs w:val="24"/>
        </w:rPr>
        <w:t>2005</w:t>
      </w:r>
      <w:r>
        <w:rPr>
          <w:rFonts w:ascii="Calibri" w:hAnsi="Calibri" w:cs="Calibri"/>
          <w:sz w:val="24"/>
          <w:szCs w:val="24"/>
        </w:rPr>
        <w:t>)</w:t>
      </w:r>
      <w:r w:rsidRPr="00B07A18">
        <w:rPr>
          <w:rFonts w:ascii="Calibri" w:hAnsi="Calibri" w:cs="Calibri"/>
          <w:sz w:val="24"/>
          <w:szCs w:val="24"/>
        </w:rPr>
        <w:t xml:space="preserve"> that readiness for change should be </w:t>
      </w:r>
      <w:proofErr w:type="spellStart"/>
      <w:r w:rsidRPr="00B07A18">
        <w:rPr>
          <w:rFonts w:ascii="Calibri" w:hAnsi="Calibri" w:cs="Calibri"/>
          <w:sz w:val="24"/>
          <w:szCs w:val="24"/>
        </w:rPr>
        <w:t>assessed</w:t>
      </w:r>
      <w:proofErr w:type="spellEnd"/>
      <w:r w:rsidRPr="00B07A18">
        <w:rPr>
          <w:rFonts w:ascii="Calibri" w:hAnsi="Calibri" w:cs="Calibri"/>
          <w:sz w:val="24"/>
          <w:szCs w:val="24"/>
        </w:rPr>
        <w:t xml:space="preserve"> and communicated with employees prior to implementation to maximise positive reception / adoption.</w:t>
      </w:r>
    </w:p>
    <w:p w14:paraId="7BE7855A" w14:textId="77777777" w:rsidR="00F30390" w:rsidRDefault="00F30390" w:rsidP="00F30390">
      <w:pPr>
        <w:spacing w:line="360" w:lineRule="auto"/>
        <w:rPr>
          <w:sz w:val="24"/>
          <w:szCs w:val="24"/>
        </w:rPr>
      </w:pPr>
    </w:p>
    <w:p w14:paraId="7BF3B77E" w14:textId="77777777" w:rsidR="00F30390" w:rsidRDefault="00F30390" w:rsidP="00F30390">
      <w:pPr>
        <w:spacing w:line="360" w:lineRule="auto"/>
        <w:jc w:val="both"/>
        <w:rPr>
          <w:b/>
          <w:bCs/>
          <w:sz w:val="24"/>
          <w:szCs w:val="24"/>
        </w:rPr>
      </w:pPr>
      <w:bookmarkStart w:id="2" w:name="_Hlk126066128"/>
      <w:r>
        <w:rPr>
          <w:b/>
          <w:bCs/>
          <w:sz w:val="24"/>
          <w:szCs w:val="24"/>
        </w:rPr>
        <w:t xml:space="preserve">Impacts of </w:t>
      </w:r>
      <w:bookmarkEnd w:id="2"/>
      <w:r>
        <w:rPr>
          <w:b/>
          <w:bCs/>
          <w:sz w:val="24"/>
          <w:szCs w:val="24"/>
        </w:rPr>
        <w:t>Officer Perception</w:t>
      </w:r>
    </w:p>
    <w:p w14:paraId="4FD348E5" w14:textId="77777777" w:rsidR="00F30390" w:rsidRDefault="00F30390" w:rsidP="00F30390">
      <w:pPr>
        <w:spacing w:line="360" w:lineRule="auto"/>
        <w:jc w:val="both"/>
        <w:rPr>
          <w:sz w:val="24"/>
          <w:szCs w:val="24"/>
        </w:rPr>
      </w:pPr>
      <w:r w:rsidRPr="00611951">
        <w:rPr>
          <w:sz w:val="24"/>
          <w:szCs w:val="24"/>
        </w:rPr>
        <w:t>Duran et al (2009</w:t>
      </w:r>
      <w:r>
        <w:rPr>
          <w:sz w:val="24"/>
          <w:szCs w:val="24"/>
        </w:rPr>
        <w:t xml:space="preserve">) notes Police officers are susceptible to as job context or ‘organisational stressors’ </w:t>
      </w:r>
      <w:proofErr w:type="gramStart"/>
      <w:r>
        <w:rPr>
          <w:sz w:val="24"/>
          <w:szCs w:val="24"/>
        </w:rPr>
        <w:t>An</w:t>
      </w:r>
      <w:proofErr w:type="gramEnd"/>
      <w:r>
        <w:rPr>
          <w:sz w:val="24"/>
          <w:szCs w:val="24"/>
        </w:rPr>
        <w:t xml:space="preserve"> officer may experience organisational stressors with increasing workloads, excessive demands, perceived lack of support or resources</w:t>
      </w:r>
      <w:r w:rsidRPr="002D4FB6">
        <w:rPr>
          <w:rFonts w:ascii="Calibri" w:hAnsi="Calibri" w:cs="Calibri"/>
        </w:rPr>
        <w:t xml:space="preserve"> </w:t>
      </w:r>
      <w:r>
        <w:rPr>
          <w:rFonts w:ascii="Calibri" w:hAnsi="Calibri" w:cs="Calibri"/>
        </w:rPr>
        <w:t xml:space="preserve">(Aleksandra et al 2014. </w:t>
      </w:r>
      <w:proofErr w:type="spellStart"/>
      <w:r w:rsidRPr="00611951">
        <w:rPr>
          <w:sz w:val="24"/>
          <w:szCs w:val="24"/>
        </w:rPr>
        <w:t>Brunetto</w:t>
      </w:r>
      <w:proofErr w:type="spellEnd"/>
      <w:r w:rsidRPr="00611951">
        <w:rPr>
          <w:sz w:val="24"/>
          <w:szCs w:val="24"/>
        </w:rPr>
        <w:t>, Y. et al. (2022</w:t>
      </w:r>
      <w:r>
        <w:rPr>
          <w:sz w:val="24"/>
          <w:szCs w:val="24"/>
        </w:rPr>
        <w:t xml:space="preserve">) found, high officer perceived organisational support leads to greater resilience and low officer perceived organisational support leads to high stress. Similar results are also corroborated by </w:t>
      </w:r>
      <w:r w:rsidRPr="00611951">
        <w:rPr>
          <w:sz w:val="24"/>
          <w:szCs w:val="24"/>
        </w:rPr>
        <w:t xml:space="preserve">Panaccio and </w:t>
      </w:r>
      <w:proofErr w:type="spellStart"/>
      <w:r w:rsidRPr="00611951">
        <w:rPr>
          <w:sz w:val="24"/>
          <w:szCs w:val="24"/>
        </w:rPr>
        <w:t>Vandenberghe</w:t>
      </w:r>
      <w:proofErr w:type="spellEnd"/>
      <w:r w:rsidRPr="00815FBA">
        <w:rPr>
          <w:sz w:val="24"/>
          <w:szCs w:val="24"/>
        </w:rPr>
        <w:t>, (2009</w:t>
      </w:r>
      <w:r>
        <w:rPr>
          <w:sz w:val="24"/>
          <w:szCs w:val="24"/>
        </w:rPr>
        <w:t xml:space="preserve">), who found a positive relationship between organisational support and wellbeing. Further, </w:t>
      </w:r>
      <w:r w:rsidRPr="00611951">
        <w:rPr>
          <w:sz w:val="24"/>
          <w:szCs w:val="24"/>
        </w:rPr>
        <w:t>Wolter et al (2019</w:t>
      </w:r>
      <w:r>
        <w:rPr>
          <w:sz w:val="24"/>
          <w:szCs w:val="24"/>
        </w:rPr>
        <w:t>) states “</w:t>
      </w:r>
      <w:r w:rsidRPr="00436116">
        <w:rPr>
          <w:i/>
          <w:iCs/>
          <w:sz w:val="24"/>
          <w:szCs w:val="24"/>
        </w:rPr>
        <w:t>A supportive and fair organizational climate based on shared values is required to foster mental health in the context of police work</w:t>
      </w:r>
      <w:r>
        <w:rPr>
          <w:sz w:val="24"/>
          <w:szCs w:val="24"/>
        </w:rPr>
        <w:t xml:space="preserve">” who note the association between officer welfare and job resources. </w:t>
      </w:r>
      <w:proofErr w:type="spellStart"/>
      <w:r w:rsidRPr="002D4FB6">
        <w:rPr>
          <w:sz w:val="24"/>
          <w:szCs w:val="24"/>
        </w:rPr>
        <w:t>Vuorensyrjae</w:t>
      </w:r>
      <w:proofErr w:type="spellEnd"/>
      <w:r>
        <w:rPr>
          <w:sz w:val="24"/>
          <w:szCs w:val="24"/>
        </w:rPr>
        <w:t xml:space="preserve"> and</w:t>
      </w:r>
      <w:r w:rsidRPr="002D4FB6">
        <w:rPr>
          <w:sz w:val="24"/>
          <w:szCs w:val="24"/>
        </w:rPr>
        <w:t xml:space="preserve"> </w:t>
      </w:r>
      <w:proofErr w:type="spellStart"/>
      <w:r w:rsidRPr="002D4FB6">
        <w:rPr>
          <w:sz w:val="24"/>
          <w:szCs w:val="24"/>
        </w:rPr>
        <w:t>Maelkiae</w:t>
      </w:r>
      <w:proofErr w:type="spellEnd"/>
      <w:r w:rsidRPr="002D4FB6">
        <w:rPr>
          <w:sz w:val="24"/>
          <w:szCs w:val="24"/>
        </w:rPr>
        <w:t xml:space="preserve"> (2011)</w:t>
      </w:r>
      <w:r>
        <w:rPr>
          <w:sz w:val="24"/>
          <w:szCs w:val="24"/>
        </w:rPr>
        <w:t xml:space="preserve"> conclude that an organisational culture that adopts professional practices that recognise and promote job resources are of crucial importance to sustain officer performance and capabilities.  </w:t>
      </w:r>
    </w:p>
    <w:p w14:paraId="77A05739" w14:textId="77777777" w:rsidR="00F30390" w:rsidRDefault="00F30390" w:rsidP="00F30390">
      <w:pPr>
        <w:spacing w:line="360" w:lineRule="auto"/>
        <w:jc w:val="both"/>
        <w:rPr>
          <w:sz w:val="24"/>
          <w:szCs w:val="24"/>
        </w:rPr>
      </w:pPr>
    </w:p>
    <w:p w14:paraId="5D3F2456" w14:textId="77777777" w:rsidR="00F30390" w:rsidRPr="009A4706" w:rsidRDefault="00F30390" w:rsidP="00F30390">
      <w:pPr>
        <w:spacing w:line="360" w:lineRule="auto"/>
        <w:jc w:val="both"/>
        <w:rPr>
          <w:b/>
          <w:bCs/>
          <w:sz w:val="24"/>
          <w:szCs w:val="24"/>
        </w:rPr>
      </w:pPr>
      <w:r>
        <w:rPr>
          <w:b/>
          <w:bCs/>
          <w:sz w:val="24"/>
          <w:szCs w:val="24"/>
        </w:rPr>
        <w:t>Police Entry Educational Programme</w:t>
      </w:r>
    </w:p>
    <w:p w14:paraId="5A61D02E" w14:textId="77777777" w:rsidR="00F30390" w:rsidRDefault="00F30390" w:rsidP="00F30390">
      <w:pPr>
        <w:spacing w:line="360" w:lineRule="auto"/>
        <w:jc w:val="both"/>
        <w:rPr>
          <w:sz w:val="24"/>
          <w:szCs w:val="24"/>
        </w:rPr>
      </w:pPr>
    </w:p>
    <w:p w14:paraId="757C65DA" w14:textId="77777777" w:rsidR="00F30390" w:rsidRDefault="00F30390" w:rsidP="00F30390">
      <w:pPr>
        <w:spacing w:line="360" w:lineRule="auto"/>
        <w:jc w:val="both"/>
        <w:rPr>
          <w:sz w:val="24"/>
          <w:szCs w:val="24"/>
        </w:rPr>
      </w:pPr>
      <w:r>
        <w:rPr>
          <w:sz w:val="24"/>
          <w:szCs w:val="24"/>
        </w:rPr>
        <w:lastRenderedPageBreak/>
        <w:t xml:space="preserve">The UK police have long shared features of professions, however, to align further with the concept of a profession, the policing the Collage of Policing was established in 2012 (CoP 2012), bringing professional development, standardised code of ethics and evidence-based practice under one national governing body. It is recognised that a professionalised police workforce should contain highly skilled, educated and emotionally aware officers to apply the law fairly and consistently to ensure support of the public. </w:t>
      </w:r>
      <w:r w:rsidRPr="00611951">
        <w:rPr>
          <w:sz w:val="24"/>
          <w:szCs w:val="24"/>
        </w:rPr>
        <w:t>Cockcroft (2020</w:t>
      </w:r>
      <w:r>
        <w:rPr>
          <w:sz w:val="24"/>
          <w:szCs w:val="24"/>
        </w:rPr>
        <w:t>) states ‘</w:t>
      </w:r>
      <w:r w:rsidRPr="00815FBA">
        <w:rPr>
          <w:i/>
          <w:iCs/>
          <w:sz w:val="24"/>
          <w:szCs w:val="24"/>
        </w:rPr>
        <w:t>’issues of professionalisation and ethics are very much tied to wider concerns regarding police legitimacy</w:t>
      </w:r>
      <w:r>
        <w:rPr>
          <w:sz w:val="24"/>
          <w:szCs w:val="24"/>
        </w:rPr>
        <w:t xml:space="preserve">”. To further this objective in 2020, newly recruited officer </w:t>
      </w:r>
      <w:proofErr w:type="gramStart"/>
      <w:r>
        <w:rPr>
          <w:sz w:val="24"/>
          <w:szCs w:val="24"/>
        </w:rPr>
        <w:t>were</w:t>
      </w:r>
      <w:proofErr w:type="gramEnd"/>
      <w:r>
        <w:rPr>
          <w:sz w:val="24"/>
          <w:szCs w:val="24"/>
        </w:rPr>
        <w:t xml:space="preserve"> requirement to obtain a university qualification in Policing alongside day-to-day operational duties. Evidence indicates </w:t>
      </w:r>
      <w:r w:rsidRPr="002D4FB6">
        <w:rPr>
          <w:sz w:val="24"/>
          <w:szCs w:val="24"/>
        </w:rPr>
        <w:t>students (of various occupations) are subject to higher mental health ailments (anxiety, depression, emotional distress) than the public</w:t>
      </w:r>
      <w:r>
        <w:rPr>
          <w:rFonts w:ascii="Calibri" w:hAnsi="Calibri" w:cs="Calibri"/>
          <w:sz w:val="24"/>
          <w:szCs w:val="24"/>
        </w:rPr>
        <w:t xml:space="preserve"> – this </w:t>
      </w:r>
      <w:r w:rsidRPr="002D4FB6">
        <w:rPr>
          <w:rFonts w:ascii="Calibri" w:hAnsi="Calibri" w:cs="Calibri"/>
          <w:sz w:val="24"/>
          <w:szCs w:val="24"/>
        </w:rPr>
        <w:t xml:space="preserve">has been attributed to organisational, systemic, and departmental pressures </w:t>
      </w:r>
      <w:r w:rsidRPr="002D4FB6">
        <w:rPr>
          <w:sz w:val="24"/>
          <w:szCs w:val="24"/>
        </w:rPr>
        <w:t>(</w:t>
      </w:r>
      <w:proofErr w:type="spellStart"/>
      <w:r w:rsidRPr="002D4FB6">
        <w:rPr>
          <w:rFonts w:ascii="Calibri" w:hAnsi="Calibri" w:cs="Calibri"/>
          <w:sz w:val="24"/>
          <w:szCs w:val="24"/>
        </w:rPr>
        <w:t>Bekkouche</w:t>
      </w:r>
      <w:proofErr w:type="spellEnd"/>
      <w:r w:rsidRPr="002D4FB6">
        <w:rPr>
          <w:rFonts w:ascii="Calibri" w:hAnsi="Calibri" w:cs="Calibri"/>
          <w:sz w:val="24"/>
          <w:szCs w:val="24"/>
        </w:rPr>
        <w:t xml:space="preserve"> et al 2022, </w:t>
      </w:r>
      <w:proofErr w:type="spellStart"/>
      <w:r w:rsidRPr="002D4FB6">
        <w:rPr>
          <w:rFonts w:ascii="Calibri" w:hAnsi="Calibri" w:cs="Calibri"/>
          <w:sz w:val="24"/>
          <w:szCs w:val="24"/>
        </w:rPr>
        <w:t>Frese</w:t>
      </w:r>
      <w:proofErr w:type="spellEnd"/>
      <w:r w:rsidRPr="002D4FB6">
        <w:rPr>
          <w:rFonts w:ascii="Calibri" w:hAnsi="Calibri" w:cs="Calibri"/>
          <w:sz w:val="24"/>
          <w:szCs w:val="24"/>
        </w:rPr>
        <w:t xml:space="preserve"> et al 2018)</w:t>
      </w:r>
      <w:r>
        <w:rPr>
          <w:rFonts w:ascii="Calibri" w:hAnsi="Calibri" w:cs="Calibri"/>
          <w:sz w:val="24"/>
          <w:szCs w:val="24"/>
        </w:rPr>
        <w:t xml:space="preserve">. Further, </w:t>
      </w:r>
      <w:r w:rsidRPr="00B07A18">
        <w:rPr>
          <w:sz w:val="24"/>
          <w:szCs w:val="24"/>
        </w:rPr>
        <w:t xml:space="preserve">academic commitments outside of </w:t>
      </w:r>
      <w:r>
        <w:rPr>
          <w:sz w:val="24"/>
          <w:szCs w:val="24"/>
        </w:rPr>
        <w:t>operational</w:t>
      </w:r>
      <w:r w:rsidRPr="00B07A18">
        <w:rPr>
          <w:sz w:val="24"/>
          <w:szCs w:val="24"/>
        </w:rPr>
        <w:t xml:space="preserve"> hours has the potential for work-family </w:t>
      </w:r>
      <w:r>
        <w:rPr>
          <w:sz w:val="24"/>
          <w:szCs w:val="24"/>
        </w:rPr>
        <w:t xml:space="preserve">conflict. </w:t>
      </w:r>
      <w:r w:rsidRPr="00B07A18">
        <w:rPr>
          <w:sz w:val="24"/>
          <w:szCs w:val="24"/>
        </w:rPr>
        <w:t>Conflicts may include time restraints, missed family activities, additional stress from work to home life (Kelly et al 2011).</w:t>
      </w:r>
      <w:r>
        <w:rPr>
          <w:sz w:val="24"/>
          <w:szCs w:val="24"/>
        </w:rPr>
        <w:t xml:space="preserve"> </w:t>
      </w:r>
      <w:r w:rsidRPr="00B07A18">
        <w:rPr>
          <w:sz w:val="24"/>
          <w:szCs w:val="24"/>
        </w:rPr>
        <w:t xml:space="preserve">These are further </w:t>
      </w:r>
      <w:r>
        <w:rPr>
          <w:sz w:val="24"/>
          <w:szCs w:val="24"/>
        </w:rPr>
        <w:t>contributary factors</w:t>
      </w:r>
      <w:r w:rsidRPr="00B07A18">
        <w:rPr>
          <w:sz w:val="24"/>
          <w:szCs w:val="24"/>
        </w:rPr>
        <w:t xml:space="preserve"> to an occupation where a strong global evidence base exists</w:t>
      </w:r>
      <w:r>
        <w:rPr>
          <w:sz w:val="24"/>
          <w:szCs w:val="24"/>
        </w:rPr>
        <w:t xml:space="preserve"> that shows</w:t>
      </w:r>
      <w:r w:rsidRPr="00B07A18">
        <w:rPr>
          <w:sz w:val="24"/>
          <w:szCs w:val="24"/>
        </w:rPr>
        <w:t xml:space="preserve"> police officer </w:t>
      </w:r>
      <w:r>
        <w:rPr>
          <w:sz w:val="24"/>
          <w:szCs w:val="24"/>
        </w:rPr>
        <w:t xml:space="preserve">are susceptible to </w:t>
      </w:r>
      <w:r w:rsidRPr="00B07A18">
        <w:rPr>
          <w:sz w:val="24"/>
          <w:szCs w:val="24"/>
        </w:rPr>
        <w:t xml:space="preserve">detrimental </w:t>
      </w:r>
      <w:r>
        <w:rPr>
          <w:sz w:val="24"/>
          <w:szCs w:val="24"/>
        </w:rPr>
        <w:t>effects on their</w:t>
      </w:r>
      <w:r w:rsidRPr="00B07A18">
        <w:rPr>
          <w:sz w:val="24"/>
          <w:szCs w:val="24"/>
        </w:rPr>
        <w:t xml:space="preserve"> psychological and physical health </w:t>
      </w:r>
      <w:r>
        <w:rPr>
          <w:sz w:val="24"/>
          <w:szCs w:val="24"/>
        </w:rPr>
        <w:t xml:space="preserve">via </w:t>
      </w:r>
      <w:r w:rsidRPr="00B07A18">
        <w:rPr>
          <w:sz w:val="24"/>
          <w:szCs w:val="24"/>
        </w:rPr>
        <w:t>exposure to various unavoidable work-related stressors (Jackman et al 2020)</w:t>
      </w:r>
      <w:r>
        <w:rPr>
          <w:sz w:val="24"/>
          <w:szCs w:val="24"/>
        </w:rPr>
        <w:t>. T</w:t>
      </w:r>
      <w:r w:rsidRPr="00B07A18">
        <w:rPr>
          <w:sz w:val="24"/>
          <w:szCs w:val="24"/>
        </w:rPr>
        <w:t xml:space="preserve">he </w:t>
      </w:r>
      <w:r>
        <w:rPr>
          <w:sz w:val="24"/>
          <w:szCs w:val="24"/>
        </w:rPr>
        <w:t xml:space="preserve">potential </w:t>
      </w:r>
      <w:r w:rsidRPr="00B07A18">
        <w:rPr>
          <w:sz w:val="24"/>
          <w:szCs w:val="24"/>
        </w:rPr>
        <w:t>impact</w:t>
      </w:r>
      <w:r>
        <w:rPr>
          <w:sz w:val="24"/>
          <w:szCs w:val="24"/>
        </w:rPr>
        <w:t>s</w:t>
      </w:r>
      <w:r w:rsidRPr="00B07A18">
        <w:rPr>
          <w:sz w:val="24"/>
          <w:szCs w:val="24"/>
        </w:rPr>
        <w:t xml:space="preserve"> </w:t>
      </w:r>
      <w:r>
        <w:rPr>
          <w:sz w:val="24"/>
          <w:szCs w:val="24"/>
        </w:rPr>
        <w:t>of additional academic study on</w:t>
      </w:r>
      <w:r w:rsidRPr="00B07A18">
        <w:rPr>
          <w:sz w:val="24"/>
          <w:szCs w:val="24"/>
        </w:rPr>
        <w:t xml:space="preserve"> officer</w:t>
      </w:r>
      <w:r>
        <w:rPr>
          <w:sz w:val="24"/>
          <w:szCs w:val="24"/>
        </w:rPr>
        <w:t xml:space="preserve"> work-</w:t>
      </w:r>
      <w:r w:rsidRPr="00B07A18">
        <w:rPr>
          <w:sz w:val="24"/>
          <w:szCs w:val="24"/>
        </w:rPr>
        <w:t>family</w:t>
      </w:r>
      <w:r>
        <w:rPr>
          <w:sz w:val="24"/>
          <w:szCs w:val="24"/>
        </w:rPr>
        <w:t xml:space="preserve"> conflict</w:t>
      </w:r>
      <w:r w:rsidRPr="00B07A18">
        <w:rPr>
          <w:sz w:val="24"/>
          <w:szCs w:val="24"/>
        </w:rPr>
        <w:t xml:space="preserve"> life </w:t>
      </w:r>
      <w:r>
        <w:rPr>
          <w:sz w:val="24"/>
          <w:szCs w:val="24"/>
        </w:rPr>
        <w:t>or wellbeing have not been explored.</w:t>
      </w:r>
    </w:p>
    <w:p w14:paraId="405C40AD" w14:textId="77777777" w:rsidR="00F30390" w:rsidRPr="00436116" w:rsidRDefault="00F30390" w:rsidP="00F30390">
      <w:pPr>
        <w:spacing w:line="360" w:lineRule="auto"/>
        <w:jc w:val="both"/>
        <w:rPr>
          <w:sz w:val="24"/>
          <w:szCs w:val="24"/>
        </w:rPr>
      </w:pPr>
    </w:p>
    <w:p w14:paraId="2E29F6A7" w14:textId="77777777" w:rsidR="00F30390" w:rsidRPr="00E91A66" w:rsidRDefault="00F30390" w:rsidP="00F30390">
      <w:pPr>
        <w:spacing w:line="360" w:lineRule="auto"/>
        <w:jc w:val="both"/>
        <w:rPr>
          <w:b/>
          <w:bCs/>
          <w:sz w:val="24"/>
          <w:szCs w:val="24"/>
        </w:rPr>
      </w:pPr>
      <w:r w:rsidRPr="00E91A66">
        <w:rPr>
          <w:b/>
          <w:bCs/>
          <w:sz w:val="24"/>
          <w:szCs w:val="24"/>
        </w:rPr>
        <w:t>Conclusion</w:t>
      </w:r>
    </w:p>
    <w:p w14:paraId="1AE83B4A" w14:textId="77777777" w:rsidR="00F30390" w:rsidRDefault="00F30390" w:rsidP="00F30390">
      <w:pPr>
        <w:spacing w:line="360" w:lineRule="auto"/>
        <w:jc w:val="both"/>
        <w:rPr>
          <w:sz w:val="24"/>
          <w:szCs w:val="24"/>
        </w:rPr>
      </w:pPr>
      <w:r>
        <w:rPr>
          <w:sz w:val="24"/>
          <w:szCs w:val="24"/>
        </w:rPr>
        <w:t xml:space="preserve">Organisation culture change in any environment is challenging. Organisational culture is vital to </w:t>
      </w:r>
      <w:r w:rsidRPr="003932AE">
        <w:rPr>
          <w:sz w:val="24"/>
          <w:szCs w:val="24"/>
        </w:rPr>
        <w:t>an organi</w:t>
      </w:r>
      <w:r>
        <w:rPr>
          <w:sz w:val="24"/>
          <w:szCs w:val="24"/>
        </w:rPr>
        <w:t>s</w:t>
      </w:r>
      <w:r w:rsidRPr="003932AE">
        <w:rPr>
          <w:sz w:val="24"/>
          <w:szCs w:val="24"/>
        </w:rPr>
        <w:t>ation’s success or failure</w:t>
      </w:r>
      <w:r>
        <w:rPr>
          <w:sz w:val="24"/>
          <w:szCs w:val="24"/>
        </w:rPr>
        <w:t>. It can result in various benefits and/ or detrimental effects. Evidence indicates t</w:t>
      </w:r>
      <w:r w:rsidRPr="003932AE">
        <w:rPr>
          <w:sz w:val="24"/>
          <w:szCs w:val="24"/>
        </w:rPr>
        <w:t>he question of whether organisational culture</w:t>
      </w:r>
      <w:r>
        <w:rPr>
          <w:sz w:val="24"/>
          <w:szCs w:val="24"/>
        </w:rPr>
        <w:t xml:space="preserve"> change</w:t>
      </w:r>
      <w:r w:rsidRPr="003932AE">
        <w:rPr>
          <w:sz w:val="24"/>
          <w:szCs w:val="24"/>
        </w:rPr>
        <w:t xml:space="preserve"> will positively or negatively impact officer wellbeing will likely be determined by the officer’s perception of the change</w:t>
      </w:r>
      <w:r>
        <w:rPr>
          <w:sz w:val="24"/>
          <w:szCs w:val="24"/>
        </w:rPr>
        <w:t>. Positive perceptions of change are likely to increase job satisfaction, produce a productive, resilient, healthy workforce, which would serve organisational objectives. Conversely, prolonged negative officer perceptions of change may manifest in short and long maladaptive mental and physical health wellbeing and resilience which may result in harm to the organisations effectiveness.</w:t>
      </w:r>
    </w:p>
    <w:p w14:paraId="137DD1A6" w14:textId="26B7E98B" w:rsidR="00F30390" w:rsidRDefault="00F30390" w:rsidP="00F30390">
      <w:pPr>
        <w:spacing w:line="360" w:lineRule="auto"/>
        <w:jc w:val="both"/>
        <w:rPr>
          <w:sz w:val="24"/>
          <w:szCs w:val="24"/>
        </w:rPr>
      </w:pPr>
      <w:r>
        <w:rPr>
          <w:sz w:val="24"/>
          <w:szCs w:val="24"/>
        </w:rPr>
        <w:lastRenderedPageBreak/>
        <w:t>O</w:t>
      </w:r>
      <w:r w:rsidRPr="003932AE">
        <w:rPr>
          <w:sz w:val="24"/>
          <w:szCs w:val="24"/>
        </w:rPr>
        <w:t xml:space="preserve">rganisations should seek to gain insight from their employees regarding any organisational changes and be clear and transparent in how </w:t>
      </w:r>
      <w:r>
        <w:rPr>
          <w:sz w:val="24"/>
          <w:szCs w:val="24"/>
        </w:rPr>
        <w:t>changes</w:t>
      </w:r>
      <w:r w:rsidRPr="003932AE">
        <w:rPr>
          <w:sz w:val="24"/>
          <w:szCs w:val="24"/>
        </w:rPr>
        <w:t xml:space="preserve"> will affect current working practices to </w:t>
      </w:r>
      <w:r>
        <w:rPr>
          <w:sz w:val="24"/>
          <w:szCs w:val="24"/>
        </w:rPr>
        <w:t xml:space="preserve">promote positive effects and </w:t>
      </w:r>
      <w:r w:rsidRPr="003932AE">
        <w:rPr>
          <w:sz w:val="24"/>
          <w:szCs w:val="24"/>
        </w:rPr>
        <w:t>alleviate potential negative impacts on officer wellbeing and resilience.</w:t>
      </w:r>
      <w:r>
        <w:rPr>
          <w:sz w:val="24"/>
          <w:szCs w:val="24"/>
        </w:rPr>
        <w:t xml:space="preserve"> </w:t>
      </w:r>
      <w:r w:rsidRPr="00B07A18">
        <w:rPr>
          <w:sz w:val="24"/>
          <w:szCs w:val="24"/>
        </w:rPr>
        <w:t xml:space="preserve">Research into the impacts of the professionalisation of policing and officer wellbeing and resilience is lacking. Research into this area across forces may yield learnings on best practices to further refine and serve </w:t>
      </w:r>
      <w:r>
        <w:rPr>
          <w:sz w:val="24"/>
          <w:szCs w:val="24"/>
        </w:rPr>
        <w:t>the organisations objectives.</w:t>
      </w:r>
    </w:p>
    <w:p w14:paraId="5CE08B6B" w14:textId="77777777" w:rsidR="00F30390" w:rsidRPr="00E91A66" w:rsidRDefault="00F30390" w:rsidP="00F30390">
      <w:pPr>
        <w:spacing w:line="360" w:lineRule="auto"/>
        <w:rPr>
          <w:sz w:val="24"/>
          <w:szCs w:val="24"/>
        </w:rPr>
      </w:pPr>
      <w:r w:rsidRPr="00E91A66">
        <w:rPr>
          <w:sz w:val="24"/>
          <w:szCs w:val="24"/>
        </w:rPr>
        <w:t xml:space="preserve">Word Count: </w:t>
      </w:r>
      <w:r>
        <w:rPr>
          <w:sz w:val="24"/>
          <w:szCs w:val="24"/>
        </w:rPr>
        <w:t>1025</w:t>
      </w:r>
    </w:p>
    <w:p w14:paraId="2D5177F7" w14:textId="77777777" w:rsidR="00F30390" w:rsidRPr="00E91A66" w:rsidRDefault="00F30390" w:rsidP="00F30390">
      <w:pPr>
        <w:spacing w:line="360" w:lineRule="auto"/>
        <w:rPr>
          <w:sz w:val="24"/>
          <w:szCs w:val="24"/>
        </w:rPr>
      </w:pPr>
    </w:p>
    <w:p w14:paraId="29740E62" w14:textId="77777777" w:rsidR="00F30390" w:rsidRDefault="00F30390" w:rsidP="00F30390">
      <w:pPr>
        <w:spacing w:line="360" w:lineRule="auto"/>
        <w:rPr>
          <w:b/>
          <w:bCs/>
          <w:sz w:val="24"/>
          <w:szCs w:val="24"/>
        </w:rPr>
      </w:pPr>
      <w:r w:rsidRPr="00E91A66">
        <w:rPr>
          <w:b/>
          <w:bCs/>
          <w:sz w:val="24"/>
          <w:szCs w:val="24"/>
        </w:rPr>
        <w:t>Bibliography</w:t>
      </w:r>
    </w:p>
    <w:p w14:paraId="64587C4C"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Aleksandra </w:t>
      </w:r>
      <w:proofErr w:type="spellStart"/>
      <w:r>
        <w:rPr>
          <w:rFonts w:ascii="Calibri" w:hAnsi="Calibri" w:cs="Calibri"/>
          <w:sz w:val="22"/>
          <w:szCs w:val="22"/>
        </w:rPr>
        <w:t>Basinska</w:t>
      </w:r>
      <w:proofErr w:type="spellEnd"/>
      <w:r>
        <w:rPr>
          <w:rFonts w:ascii="Calibri" w:hAnsi="Calibri" w:cs="Calibri"/>
          <w:sz w:val="22"/>
          <w:szCs w:val="22"/>
        </w:rPr>
        <w:t xml:space="preserve">, B., </w:t>
      </w:r>
      <w:proofErr w:type="spellStart"/>
      <w:r>
        <w:rPr>
          <w:rFonts w:ascii="Calibri" w:hAnsi="Calibri" w:cs="Calibri"/>
          <w:sz w:val="22"/>
          <w:szCs w:val="22"/>
        </w:rPr>
        <w:t>Wiciak</w:t>
      </w:r>
      <w:proofErr w:type="spellEnd"/>
      <w:r>
        <w:rPr>
          <w:rFonts w:ascii="Calibri" w:hAnsi="Calibri" w:cs="Calibri"/>
          <w:sz w:val="22"/>
          <w:szCs w:val="22"/>
        </w:rPr>
        <w:t xml:space="preserve">, I. and Maria </w:t>
      </w:r>
      <w:proofErr w:type="spellStart"/>
      <w:r>
        <w:rPr>
          <w:rFonts w:ascii="Calibri" w:hAnsi="Calibri" w:cs="Calibri"/>
          <w:sz w:val="22"/>
          <w:szCs w:val="22"/>
        </w:rPr>
        <w:t>Dåderman</w:t>
      </w:r>
      <w:proofErr w:type="spellEnd"/>
      <w:r>
        <w:rPr>
          <w:rFonts w:ascii="Calibri" w:hAnsi="Calibri" w:cs="Calibri"/>
          <w:sz w:val="22"/>
          <w:szCs w:val="22"/>
        </w:rPr>
        <w:t xml:space="preserve">, A. (2014) ‘Fatigue and burnout in police officers: the mediating role of emotions’, </w:t>
      </w:r>
      <w:proofErr w:type="gramStart"/>
      <w:r>
        <w:rPr>
          <w:rFonts w:ascii="Calibri" w:hAnsi="Calibri" w:cs="Calibri"/>
          <w:sz w:val="22"/>
          <w:szCs w:val="22"/>
        </w:rPr>
        <w:t>Policing :</w:t>
      </w:r>
      <w:proofErr w:type="gramEnd"/>
      <w:r>
        <w:rPr>
          <w:rFonts w:ascii="Calibri" w:hAnsi="Calibri" w:cs="Calibri"/>
          <w:sz w:val="22"/>
          <w:szCs w:val="22"/>
        </w:rPr>
        <w:t xml:space="preserve"> an international journal of police strategies &amp; management, 37(3), pp. 665–680.</w:t>
      </w:r>
    </w:p>
    <w:p w14:paraId="31A56061"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Available at: </w:t>
      </w:r>
      <w:hyperlink r:id="rId6" w:history="1">
        <w:r>
          <w:rPr>
            <w:rStyle w:val="Hyperlink"/>
            <w:rFonts w:ascii="Calibri" w:hAnsi="Calibri" w:cs="Calibri"/>
            <w:sz w:val="22"/>
            <w:szCs w:val="22"/>
          </w:rPr>
          <w:t>https://doi.org/10.1108/PIJPSM-10-2013-0105</w:t>
        </w:r>
      </w:hyperlink>
      <w:r>
        <w:rPr>
          <w:rFonts w:ascii="Calibri" w:hAnsi="Calibri" w:cs="Calibri"/>
          <w:sz w:val="22"/>
          <w:szCs w:val="22"/>
        </w:rPr>
        <w:t>.</w:t>
      </w:r>
    </w:p>
    <w:p w14:paraId="306F2AE0"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(Accessed 31st January 2023)</w:t>
      </w:r>
    </w:p>
    <w:p w14:paraId="33CCB1B6" w14:textId="77777777" w:rsidR="00F30390" w:rsidRDefault="00F30390" w:rsidP="00F30390">
      <w:pPr>
        <w:pStyle w:val="NormalWeb"/>
        <w:spacing w:before="0" w:beforeAutospacing="0" w:after="0" w:afterAutospacing="0"/>
        <w:rPr>
          <w:rFonts w:ascii="Calibri" w:hAnsi="Calibri" w:cs="Calibri"/>
          <w:sz w:val="22"/>
          <w:szCs w:val="22"/>
        </w:rPr>
      </w:pPr>
    </w:p>
    <w:p w14:paraId="4ECA60E4"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Anders, R. et al. (2022) ‘Profiling Police Forces against Stress: Risk and Protective Factors for Post-Traumatic Stress Disorder and Burnout in Police Officers’, International journal of environmental research and public health, 19(15), p. 9218–.</w:t>
      </w:r>
    </w:p>
    <w:p w14:paraId="44F3F97F"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Available at: </w:t>
      </w:r>
      <w:hyperlink r:id="rId7" w:history="1">
        <w:r>
          <w:rPr>
            <w:rStyle w:val="Hyperlink"/>
            <w:rFonts w:ascii="Calibri" w:hAnsi="Calibri" w:cs="Calibri"/>
            <w:sz w:val="22"/>
            <w:szCs w:val="22"/>
          </w:rPr>
          <w:t>https://doi.org/10.3390/ijerph19159218</w:t>
        </w:r>
      </w:hyperlink>
      <w:r>
        <w:rPr>
          <w:rFonts w:ascii="Calibri" w:hAnsi="Calibri" w:cs="Calibri"/>
          <w:sz w:val="22"/>
          <w:szCs w:val="22"/>
        </w:rPr>
        <w:t>.</w:t>
      </w:r>
    </w:p>
    <w:p w14:paraId="5EB761D7"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(Accessed 31st January 2023)</w:t>
      </w:r>
    </w:p>
    <w:p w14:paraId="3C3153BE" w14:textId="77777777" w:rsidR="00F30390" w:rsidRPr="002D4FB6" w:rsidRDefault="00F30390" w:rsidP="00F30390">
      <w:pPr>
        <w:pStyle w:val="NormalWeb"/>
        <w:spacing w:before="0" w:beforeAutospacing="0" w:after="0" w:afterAutospacing="0"/>
        <w:rPr>
          <w:rFonts w:ascii="Calibri" w:hAnsi="Calibri" w:cs="Calibri"/>
          <w:sz w:val="22"/>
          <w:szCs w:val="22"/>
        </w:rPr>
      </w:pPr>
    </w:p>
    <w:p w14:paraId="4B66634F" w14:textId="77777777" w:rsidR="00F30390" w:rsidRDefault="00F30390" w:rsidP="00F30390">
      <w:pPr>
        <w:pStyle w:val="NormalWeb"/>
        <w:spacing w:before="0" w:beforeAutospacing="0" w:after="0" w:afterAutospacing="0"/>
        <w:rPr>
          <w:rFonts w:ascii="Calibri" w:hAnsi="Calibri" w:cs="Calibri"/>
          <w:sz w:val="22"/>
          <w:szCs w:val="22"/>
        </w:rPr>
      </w:pPr>
      <w:proofErr w:type="spellStart"/>
      <w:r>
        <w:rPr>
          <w:rFonts w:ascii="Calibri" w:hAnsi="Calibri" w:cs="Calibri"/>
          <w:sz w:val="22"/>
          <w:szCs w:val="22"/>
        </w:rPr>
        <w:t>Bekkouche</w:t>
      </w:r>
      <w:proofErr w:type="spellEnd"/>
      <w:r>
        <w:rPr>
          <w:rFonts w:ascii="Calibri" w:hAnsi="Calibri" w:cs="Calibri"/>
          <w:sz w:val="22"/>
          <w:szCs w:val="22"/>
        </w:rPr>
        <w:t xml:space="preserve">, N.S., Schmid, R.F. and </w:t>
      </w:r>
      <w:proofErr w:type="spellStart"/>
      <w:r>
        <w:rPr>
          <w:rFonts w:ascii="Calibri" w:hAnsi="Calibri" w:cs="Calibri"/>
          <w:sz w:val="22"/>
          <w:szCs w:val="22"/>
        </w:rPr>
        <w:t>Carliner</w:t>
      </w:r>
      <w:proofErr w:type="spellEnd"/>
      <w:r>
        <w:rPr>
          <w:rFonts w:ascii="Calibri" w:hAnsi="Calibri" w:cs="Calibri"/>
          <w:sz w:val="22"/>
          <w:szCs w:val="22"/>
        </w:rPr>
        <w:t>, S. (2022) ‘“Simmering Pressure”: How Systemic Stress Impacts Graduate Student Mental Health’, Performance improvement quarterly, 34(4), pp. 547–572.</w:t>
      </w:r>
    </w:p>
    <w:p w14:paraId="31FCABE3"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Available at: </w:t>
      </w:r>
      <w:hyperlink r:id="rId8" w:history="1">
        <w:r>
          <w:rPr>
            <w:rStyle w:val="Hyperlink"/>
            <w:rFonts w:ascii="Calibri" w:hAnsi="Calibri" w:cs="Calibri"/>
            <w:sz w:val="22"/>
            <w:szCs w:val="22"/>
          </w:rPr>
          <w:t>https://doi.org/10.1002/piq.21365</w:t>
        </w:r>
      </w:hyperlink>
      <w:r>
        <w:rPr>
          <w:rFonts w:ascii="Calibri" w:hAnsi="Calibri" w:cs="Calibri"/>
          <w:sz w:val="22"/>
          <w:szCs w:val="22"/>
        </w:rPr>
        <w:t>.</w:t>
      </w:r>
    </w:p>
    <w:p w14:paraId="455AE34E"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(Accessed 31st January 2023)</w:t>
      </w:r>
    </w:p>
    <w:p w14:paraId="4ACEF7E2" w14:textId="77777777" w:rsidR="00F30390" w:rsidRPr="002D4FB6" w:rsidRDefault="00F30390" w:rsidP="00F30390">
      <w:pPr>
        <w:pStyle w:val="NormalWeb"/>
        <w:spacing w:before="0" w:beforeAutospacing="0" w:after="0" w:afterAutospacing="0"/>
        <w:rPr>
          <w:rFonts w:ascii="Calibri" w:hAnsi="Calibri" w:cs="Calibri"/>
          <w:sz w:val="22"/>
          <w:szCs w:val="22"/>
        </w:rPr>
      </w:pPr>
    </w:p>
    <w:p w14:paraId="01087D0F"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proofErr w:type="spellStart"/>
      <w:r w:rsidRPr="00611951">
        <w:rPr>
          <w:rFonts w:asciiTheme="minorHAnsi" w:hAnsiTheme="minorHAnsi" w:cstheme="minorHAnsi"/>
          <w:sz w:val="22"/>
          <w:szCs w:val="22"/>
        </w:rPr>
        <w:t>Brunetto</w:t>
      </w:r>
      <w:proofErr w:type="spellEnd"/>
      <w:r w:rsidRPr="00611951">
        <w:rPr>
          <w:rFonts w:asciiTheme="minorHAnsi" w:hAnsiTheme="minorHAnsi" w:cstheme="minorHAnsi"/>
          <w:sz w:val="22"/>
          <w:szCs w:val="22"/>
        </w:rPr>
        <w:t>, Y. et al. (2022) ‘Managing emotional labour: the importance of organisational support for managing police officers in England and Italy’,</w:t>
      </w:r>
    </w:p>
    <w:p w14:paraId="3DB267C4"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sidRPr="00611951">
        <w:rPr>
          <w:rFonts w:asciiTheme="minorHAnsi" w:hAnsiTheme="minorHAnsi" w:cstheme="minorHAnsi"/>
          <w:sz w:val="22"/>
          <w:szCs w:val="22"/>
        </w:rPr>
        <w:t>International journal of human resource management, ahead-of-print(ahead-of-print), pp. 1–23.</w:t>
      </w:r>
    </w:p>
    <w:p w14:paraId="00439057" w14:textId="77777777" w:rsidR="00F30390" w:rsidRDefault="00F30390" w:rsidP="00F30390">
      <w:pPr>
        <w:pStyle w:val="NormalWeb"/>
        <w:spacing w:before="0" w:beforeAutospacing="0" w:after="0" w:afterAutospacing="0"/>
        <w:rPr>
          <w:rFonts w:asciiTheme="minorHAnsi" w:hAnsiTheme="minorHAnsi" w:cstheme="minorHAnsi"/>
          <w:sz w:val="22"/>
          <w:szCs w:val="22"/>
        </w:rPr>
      </w:pPr>
      <w:r w:rsidRPr="00611951">
        <w:rPr>
          <w:rFonts w:asciiTheme="minorHAnsi" w:hAnsiTheme="minorHAnsi" w:cstheme="minorHAnsi"/>
          <w:sz w:val="22"/>
          <w:szCs w:val="22"/>
        </w:rPr>
        <w:t xml:space="preserve">Available at: </w:t>
      </w:r>
      <w:hyperlink r:id="rId9" w:history="1">
        <w:r w:rsidRPr="00611951">
          <w:rPr>
            <w:rStyle w:val="Hyperlink"/>
            <w:rFonts w:asciiTheme="minorHAnsi" w:hAnsiTheme="minorHAnsi" w:cstheme="minorHAnsi"/>
            <w:sz w:val="22"/>
            <w:szCs w:val="22"/>
          </w:rPr>
          <w:t>https://doi.org/10.1080/09585192.2022.2047755</w:t>
        </w:r>
      </w:hyperlink>
      <w:r w:rsidRPr="00611951">
        <w:rPr>
          <w:rFonts w:asciiTheme="minorHAnsi" w:hAnsiTheme="minorHAnsi" w:cstheme="minorHAnsi"/>
          <w:sz w:val="22"/>
          <w:szCs w:val="22"/>
        </w:rPr>
        <w:t>.</w:t>
      </w:r>
    </w:p>
    <w:p w14:paraId="3B051925"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(Accessed 13</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4DA27B7B"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p>
    <w:p w14:paraId="6D67FA25"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 xml:space="preserve">Bryant, R. and Bryant, </w:t>
      </w:r>
      <w:proofErr w:type="gramStart"/>
      <w:r w:rsidRPr="00611951">
        <w:rPr>
          <w:rFonts w:asciiTheme="minorHAnsi" w:hAnsiTheme="minorHAnsi" w:cstheme="minorHAnsi"/>
          <w:color w:val="000000"/>
          <w:sz w:val="22"/>
          <w:szCs w:val="22"/>
        </w:rPr>
        <w:t>S.(</w:t>
      </w:r>
      <w:proofErr w:type="gramEnd"/>
      <w:r w:rsidRPr="00611951">
        <w:rPr>
          <w:rFonts w:asciiTheme="minorHAnsi" w:hAnsiTheme="minorHAnsi" w:cstheme="minorHAnsi"/>
          <w:color w:val="000000"/>
          <w:sz w:val="22"/>
          <w:szCs w:val="22"/>
        </w:rPr>
        <w:t>2020) Blackstone’s handbook for policing students. 15th edition.</w:t>
      </w:r>
    </w:p>
    <w:p w14:paraId="48F43CD3"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Edited by R. Bryant and S. Bryant. Oxford: Oxford University Press. pp 20-21</w:t>
      </w:r>
    </w:p>
    <w:p w14:paraId="5CCE4D55" w14:textId="77777777" w:rsidR="00F30390" w:rsidRDefault="00F30390" w:rsidP="00F30390">
      <w:pPr>
        <w:pStyle w:val="NormalWeb"/>
        <w:spacing w:before="0" w:beforeAutospacing="0" w:after="0" w:afterAutospacing="0"/>
        <w:rPr>
          <w:rFonts w:asciiTheme="minorHAnsi" w:hAnsiTheme="minorHAnsi" w:cstheme="minorHAnsi"/>
        </w:rPr>
      </w:pPr>
      <w:r>
        <w:rPr>
          <w:rFonts w:asciiTheme="minorHAnsi" w:hAnsiTheme="minorHAnsi" w:cstheme="minorHAnsi"/>
          <w:sz w:val="22"/>
          <w:szCs w:val="22"/>
        </w:rPr>
        <w:t>(Accessed 13</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7179982F" w14:textId="77777777" w:rsidR="00F30390" w:rsidRPr="00611951" w:rsidRDefault="00F30390" w:rsidP="00F30390">
      <w:pPr>
        <w:pStyle w:val="NormalWeb"/>
        <w:spacing w:before="0" w:beforeAutospacing="0" w:after="0" w:afterAutospacing="0"/>
        <w:rPr>
          <w:rFonts w:asciiTheme="minorHAnsi" w:hAnsiTheme="minorHAnsi" w:cstheme="minorHAnsi"/>
        </w:rPr>
      </w:pPr>
    </w:p>
    <w:p w14:paraId="60D028E6"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Blakemore, B. and Simpson, K. (2012) ‘A Comparison of the Effectiveness of Pre- and Post-Employment Modes of Higher Education for Student Police Officers’,</w:t>
      </w:r>
    </w:p>
    <w:p w14:paraId="2CBDFA10"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Police journal (Chichester), pp. 1–13.</w:t>
      </w:r>
    </w:p>
    <w:p w14:paraId="0F2F10FB" w14:textId="77777777" w:rsidR="00F30390"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 xml:space="preserve">Available at: </w:t>
      </w:r>
      <w:hyperlink r:id="rId10" w:history="1">
        <w:r w:rsidRPr="00611951">
          <w:rPr>
            <w:rStyle w:val="Hyperlink"/>
            <w:rFonts w:asciiTheme="minorHAnsi" w:hAnsiTheme="minorHAnsi" w:cstheme="minorHAnsi"/>
            <w:sz w:val="22"/>
            <w:szCs w:val="22"/>
          </w:rPr>
          <w:t>https://doi.org/10.1350/pojo.2010.00.0.481</w:t>
        </w:r>
      </w:hyperlink>
      <w:r w:rsidRPr="00611951">
        <w:rPr>
          <w:rFonts w:asciiTheme="minorHAnsi" w:hAnsiTheme="minorHAnsi" w:cstheme="minorHAnsi"/>
          <w:color w:val="000000"/>
          <w:sz w:val="22"/>
          <w:szCs w:val="22"/>
        </w:rPr>
        <w:t>.</w:t>
      </w:r>
    </w:p>
    <w:p w14:paraId="1BAB2682"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(Accessed 14</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0FF0FAFB" w14:textId="77777777" w:rsidR="00F30390" w:rsidRPr="00611951" w:rsidRDefault="00F30390" w:rsidP="00F30390">
      <w:pPr>
        <w:pStyle w:val="NormalWeb"/>
        <w:spacing w:before="0" w:beforeAutospacing="0" w:after="0" w:afterAutospacing="0"/>
        <w:rPr>
          <w:rFonts w:asciiTheme="minorHAnsi" w:hAnsiTheme="minorHAnsi" w:cstheme="minorHAnsi"/>
        </w:rPr>
      </w:pPr>
      <w:r w:rsidRPr="00611951">
        <w:rPr>
          <w:rFonts w:asciiTheme="minorHAnsi" w:hAnsiTheme="minorHAnsi" w:cstheme="minorHAnsi"/>
        </w:rPr>
        <w:t> </w:t>
      </w:r>
    </w:p>
    <w:p w14:paraId="2AD93A0A"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Cockcroft, T. (2020) Police occupational culture: research and practice</w:t>
      </w:r>
    </w:p>
    <w:p w14:paraId="6A9456B7"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lastRenderedPageBreak/>
        <w:t xml:space="preserve"> Bristol: Policy Press. PP 127-133</w:t>
      </w:r>
    </w:p>
    <w:p w14:paraId="57CF9673"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hyperlink r:id="rId11" w:history="1">
        <w:r w:rsidRPr="00611951">
          <w:rPr>
            <w:rStyle w:val="Hyperlink"/>
            <w:rFonts w:asciiTheme="minorHAnsi" w:hAnsiTheme="minorHAnsi" w:cstheme="minorHAnsi"/>
            <w:sz w:val="22"/>
            <w:szCs w:val="22"/>
          </w:rPr>
          <w:t>Full details and actions for Police Occupational Culture: Research and Practice (uwtsd.ac.uk)</w:t>
        </w:r>
      </w:hyperlink>
    </w:p>
    <w:p w14:paraId="51CBB02A" w14:textId="77777777" w:rsidR="00F30390" w:rsidRDefault="00F30390" w:rsidP="00F30390">
      <w:pPr>
        <w:pStyle w:val="NormalWeb"/>
        <w:spacing w:before="0" w:beforeAutospacing="0" w:after="0" w:afterAutospacing="0"/>
        <w:rPr>
          <w:rStyle w:val="Hyperlink"/>
          <w:rFonts w:asciiTheme="minorHAnsi" w:hAnsiTheme="minorHAnsi" w:cstheme="minorHAnsi"/>
          <w:sz w:val="22"/>
          <w:szCs w:val="22"/>
        </w:rPr>
      </w:pPr>
      <w:hyperlink r:id="rId12" w:history="1">
        <w:r w:rsidRPr="00611951">
          <w:rPr>
            <w:rStyle w:val="Hyperlink"/>
            <w:rFonts w:asciiTheme="minorHAnsi" w:hAnsiTheme="minorHAnsi" w:cstheme="minorHAnsi"/>
            <w:sz w:val="22"/>
            <w:szCs w:val="22"/>
          </w:rPr>
          <w:t xml:space="preserve">- </w:t>
        </w:r>
        <w:proofErr w:type="spellStart"/>
        <w:r w:rsidRPr="00611951">
          <w:rPr>
            <w:rStyle w:val="Hyperlink"/>
            <w:rFonts w:asciiTheme="minorHAnsi" w:hAnsiTheme="minorHAnsi" w:cstheme="minorHAnsi"/>
            <w:sz w:val="22"/>
            <w:szCs w:val="22"/>
          </w:rPr>
          <w:t>VleReader</w:t>
        </w:r>
        <w:proofErr w:type="spellEnd"/>
      </w:hyperlink>
    </w:p>
    <w:p w14:paraId="0E3214CD" w14:textId="77777777" w:rsidR="00F30390" w:rsidRDefault="00F30390" w:rsidP="00F30390">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(Accessed 14</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3254B246" w14:textId="77777777" w:rsidR="00F30390" w:rsidRDefault="00F30390" w:rsidP="00F30390">
      <w:pPr>
        <w:pStyle w:val="NormalWeb"/>
        <w:spacing w:before="0" w:beforeAutospacing="0" w:after="0" w:afterAutospacing="0"/>
        <w:rPr>
          <w:rFonts w:asciiTheme="minorHAnsi" w:hAnsiTheme="minorHAnsi" w:cstheme="minorHAnsi"/>
          <w:sz w:val="22"/>
          <w:szCs w:val="22"/>
        </w:rPr>
      </w:pPr>
    </w:p>
    <w:p w14:paraId="7647EAF0"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Collage of Policing (2013). Available </w:t>
      </w:r>
      <w:proofErr w:type="gramStart"/>
      <w:r>
        <w:rPr>
          <w:rFonts w:ascii="Calibri" w:hAnsi="Calibri" w:cs="Calibri"/>
          <w:sz w:val="22"/>
          <w:szCs w:val="22"/>
        </w:rPr>
        <w:t>at;</w:t>
      </w:r>
      <w:proofErr w:type="gramEnd"/>
    </w:p>
    <w:p w14:paraId="400CEC47" w14:textId="77777777" w:rsidR="00F30390" w:rsidRDefault="00F30390" w:rsidP="00F30390">
      <w:pPr>
        <w:pStyle w:val="NormalWeb"/>
        <w:spacing w:before="0" w:beforeAutospacing="0" w:after="0" w:afterAutospacing="0"/>
        <w:rPr>
          <w:rFonts w:ascii="Calibri" w:hAnsi="Calibri" w:cs="Calibri"/>
          <w:sz w:val="22"/>
          <w:szCs w:val="22"/>
        </w:rPr>
      </w:pPr>
      <w:hyperlink r:id="rId13" w:history="1">
        <w:r>
          <w:rPr>
            <w:rStyle w:val="Hyperlink"/>
            <w:rFonts w:ascii="Calibri" w:hAnsi="Calibri" w:cs="Calibri"/>
            <w:sz w:val="22"/>
            <w:szCs w:val="22"/>
          </w:rPr>
          <w:t>Police use of force | College of Policing</w:t>
        </w:r>
      </w:hyperlink>
    </w:p>
    <w:p w14:paraId="4AD139A2" w14:textId="77777777" w:rsidR="00F30390" w:rsidRPr="002D4FB6"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(Accessed 24th November 2022)</w:t>
      </w:r>
    </w:p>
    <w:p w14:paraId="579CCD86" w14:textId="77777777" w:rsidR="00F30390" w:rsidRPr="00611951" w:rsidRDefault="00F30390" w:rsidP="00F30390">
      <w:pPr>
        <w:pStyle w:val="NormalWeb"/>
        <w:spacing w:before="0" w:beforeAutospacing="0" w:after="0" w:afterAutospacing="0"/>
        <w:rPr>
          <w:rFonts w:asciiTheme="minorHAnsi" w:hAnsiTheme="minorHAnsi" w:cstheme="minorHAnsi"/>
        </w:rPr>
      </w:pPr>
      <w:r w:rsidRPr="00611951">
        <w:rPr>
          <w:rFonts w:asciiTheme="minorHAnsi" w:hAnsiTheme="minorHAnsi" w:cstheme="minorHAnsi"/>
        </w:rPr>
        <w:t> </w:t>
      </w:r>
    </w:p>
    <w:p w14:paraId="35856712"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 xml:space="preserve">Duran, F., Woodhams, J. and </w:t>
      </w:r>
      <w:proofErr w:type="spellStart"/>
      <w:r w:rsidRPr="00611951">
        <w:rPr>
          <w:rFonts w:asciiTheme="minorHAnsi" w:hAnsiTheme="minorHAnsi" w:cstheme="minorHAnsi"/>
          <w:color w:val="000000"/>
          <w:sz w:val="22"/>
          <w:szCs w:val="22"/>
        </w:rPr>
        <w:t>Bishopp</w:t>
      </w:r>
      <w:proofErr w:type="spellEnd"/>
      <w:r w:rsidRPr="00611951">
        <w:rPr>
          <w:rFonts w:asciiTheme="minorHAnsi" w:hAnsiTheme="minorHAnsi" w:cstheme="minorHAnsi"/>
          <w:color w:val="000000"/>
          <w:sz w:val="22"/>
          <w:szCs w:val="22"/>
        </w:rPr>
        <w:t>, D. (2019) ‘An Interview Study of the Experiences of Police Officers in Regard to Psychological Contract and Wellbeing’,</w:t>
      </w:r>
    </w:p>
    <w:p w14:paraId="59CFEBC3"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Journal of police and criminal psychology, 34(2), pp. 184–198.</w:t>
      </w:r>
    </w:p>
    <w:p w14:paraId="189489F5" w14:textId="77777777" w:rsidR="00F30390"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 xml:space="preserve">Available at: </w:t>
      </w:r>
      <w:hyperlink r:id="rId14" w:history="1">
        <w:r w:rsidRPr="00611951">
          <w:rPr>
            <w:rStyle w:val="Hyperlink"/>
            <w:rFonts w:asciiTheme="minorHAnsi" w:hAnsiTheme="minorHAnsi" w:cstheme="minorHAnsi"/>
            <w:sz w:val="22"/>
            <w:szCs w:val="22"/>
          </w:rPr>
          <w:t>https://doi.org/10.1007/s11896-018-9275-z</w:t>
        </w:r>
      </w:hyperlink>
      <w:r w:rsidRPr="00611951">
        <w:rPr>
          <w:rFonts w:asciiTheme="minorHAnsi" w:hAnsiTheme="minorHAnsi" w:cstheme="minorHAnsi"/>
          <w:color w:val="000000"/>
          <w:sz w:val="22"/>
          <w:szCs w:val="22"/>
        </w:rPr>
        <w:t>.</w:t>
      </w:r>
    </w:p>
    <w:p w14:paraId="157D47FC"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(Accessed 13</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023F4912" w14:textId="77777777" w:rsidR="00F30390" w:rsidRPr="00611951" w:rsidRDefault="00F30390" w:rsidP="00F30390">
      <w:pPr>
        <w:pStyle w:val="NormalWeb"/>
        <w:spacing w:before="0" w:beforeAutospacing="0" w:after="0" w:afterAutospacing="0"/>
        <w:rPr>
          <w:rFonts w:asciiTheme="minorHAnsi" w:hAnsiTheme="minorHAnsi" w:cstheme="minorHAnsi"/>
        </w:rPr>
      </w:pPr>
      <w:r w:rsidRPr="00611951">
        <w:rPr>
          <w:rFonts w:asciiTheme="minorHAnsi" w:hAnsiTheme="minorHAnsi" w:cstheme="minorHAnsi"/>
        </w:rPr>
        <w:t> </w:t>
      </w:r>
    </w:p>
    <w:p w14:paraId="50E2E5B2"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 xml:space="preserve">Evans, R., </w:t>
      </w:r>
      <w:proofErr w:type="spellStart"/>
      <w:r w:rsidRPr="00611951">
        <w:rPr>
          <w:rFonts w:asciiTheme="minorHAnsi" w:hAnsiTheme="minorHAnsi" w:cstheme="minorHAnsi"/>
          <w:color w:val="000000"/>
          <w:sz w:val="22"/>
          <w:szCs w:val="22"/>
        </w:rPr>
        <w:t>Pistrang</w:t>
      </w:r>
      <w:proofErr w:type="spellEnd"/>
      <w:r w:rsidRPr="00611951">
        <w:rPr>
          <w:rFonts w:asciiTheme="minorHAnsi" w:hAnsiTheme="minorHAnsi" w:cstheme="minorHAnsi"/>
          <w:color w:val="000000"/>
          <w:sz w:val="22"/>
          <w:szCs w:val="22"/>
        </w:rPr>
        <w:t>, N. and Billings, J. (2013) ‘Police officers’ experiences of supportive and unsupportive social interactions following traumatic incidents’,</w:t>
      </w:r>
    </w:p>
    <w:p w14:paraId="2B92B350"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 xml:space="preserve">European journal of </w:t>
      </w:r>
      <w:proofErr w:type="spellStart"/>
      <w:r w:rsidRPr="00611951">
        <w:rPr>
          <w:rFonts w:asciiTheme="minorHAnsi" w:hAnsiTheme="minorHAnsi" w:cstheme="minorHAnsi"/>
          <w:color w:val="000000"/>
          <w:sz w:val="22"/>
          <w:szCs w:val="22"/>
        </w:rPr>
        <w:t>psychotraumatology</w:t>
      </w:r>
      <w:proofErr w:type="spellEnd"/>
      <w:r w:rsidRPr="00611951">
        <w:rPr>
          <w:rFonts w:asciiTheme="minorHAnsi" w:hAnsiTheme="minorHAnsi" w:cstheme="minorHAnsi"/>
          <w:color w:val="000000"/>
          <w:sz w:val="22"/>
          <w:szCs w:val="22"/>
        </w:rPr>
        <w:t>, 4(1), pp. 19696–9.</w:t>
      </w:r>
    </w:p>
    <w:p w14:paraId="35F5BFC8" w14:textId="77777777" w:rsidR="00F30390"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 xml:space="preserve">Available at: </w:t>
      </w:r>
      <w:hyperlink r:id="rId15" w:history="1">
        <w:r w:rsidRPr="00611951">
          <w:rPr>
            <w:rStyle w:val="Hyperlink"/>
            <w:rFonts w:asciiTheme="minorHAnsi" w:hAnsiTheme="minorHAnsi" w:cstheme="minorHAnsi"/>
            <w:sz w:val="22"/>
            <w:szCs w:val="22"/>
          </w:rPr>
          <w:t>https://doi.org/10.3402/ejpt.v4i0.19696</w:t>
        </w:r>
      </w:hyperlink>
      <w:r w:rsidRPr="00611951">
        <w:rPr>
          <w:rFonts w:asciiTheme="minorHAnsi" w:hAnsiTheme="minorHAnsi" w:cstheme="minorHAnsi"/>
          <w:color w:val="000000"/>
          <w:sz w:val="22"/>
          <w:szCs w:val="22"/>
        </w:rPr>
        <w:t>.</w:t>
      </w:r>
    </w:p>
    <w:p w14:paraId="2FCB2C95"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(Accessed 13</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207A0A33" w14:textId="77777777" w:rsidR="00F30390" w:rsidRPr="00611951" w:rsidRDefault="00F30390" w:rsidP="00F30390">
      <w:pPr>
        <w:pStyle w:val="NormalWeb"/>
        <w:spacing w:before="0" w:beforeAutospacing="0" w:after="0" w:afterAutospacing="0"/>
        <w:rPr>
          <w:rFonts w:asciiTheme="minorHAnsi" w:hAnsiTheme="minorHAnsi" w:cstheme="minorHAnsi"/>
        </w:rPr>
      </w:pPr>
      <w:r w:rsidRPr="00611951">
        <w:rPr>
          <w:rFonts w:asciiTheme="minorHAnsi" w:hAnsiTheme="minorHAnsi" w:cstheme="minorHAnsi"/>
        </w:rPr>
        <w:t> </w:t>
      </w:r>
    </w:p>
    <w:p w14:paraId="04E6179B"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Farr-Wharton, B. et al. (2021) ‘Leadership matters to the police: Managing emotional labour through authentic leadership’,</w:t>
      </w:r>
    </w:p>
    <w:p w14:paraId="0A2436F4" w14:textId="77777777" w:rsidR="00F30390"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Public money &amp; management, ahead-of-print(ahead-of-print), pp. 1–9.</w:t>
      </w:r>
    </w:p>
    <w:p w14:paraId="2A5CF779" w14:textId="77777777" w:rsidR="00F30390"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 xml:space="preserve">Available at: </w:t>
      </w:r>
      <w:hyperlink r:id="rId16" w:history="1">
        <w:r w:rsidRPr="00611951">
          <w:rPr>
            <w:rStyle w:val="Hyperlink"/>
            <w:rFonts w:asciiTheme="minorHAnsi" w:hAnsiTheme="minorHAnsi" w:cstheme="minorHAnsi"/>
            <w:sz w:val="22"/>
            <w:szCs w:val="22"/>
          </w:rPr>
          <w:t>https://doi.org/10.1080/09540962.2021.1940481</w:t>
        </w:r>
      </w:hyperlink>
      <w:r w:rsidRPr="00611951">
        <w:rPr>
          <w:rFonts w:asciiTheme="minorHAnsi" w:hAnsiTheme="minorHAnsi" w:cstheme="minorHAnsi"/>
          <w:color w:val="000000"/>
          <w:sz w:val="22"/>
          <w:szCs w:val="22"/>
        </w:rPr>
        <w:t>.</w:t>
      </w:r>
    </w:p>
    <w:p w14:paraId="4B8EA5B6"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Pr>
          <w:rFonts w:asciiTheme="minorHAnsi" w:hAnsiTheme="minorHAnsi" w:cstheme="minorHAnsi"/>
          <w:sz w:val="22"/>
          <w:szCs w:val="22"/>
        </w:rPr>
        <w:t>(Accessed 13</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3A781F45" w14:textId="77777777" w:rsidR="00F30390" w:rsidRDefault="00F30390" w:rsidP="00F30390">
      <w:pPr>
        <w:pStyle w:val="NormalWeb"/>
        <w:spacing w:before="0" w:beforeAutospacing="0" w:after="0" w:afterAutospacing="0"/>
        <w:rPr>
          <w:rFonts w:asciiTheme="minorHAnsi" w:hAnsiTheme="minorHAnsi" w:cstheme="minorHAnsi"/>
          <w:color w:val="000000"/>
          <w:sz w:val="22"/>
          <w:szCs w:val="22"/>
        </w:rPr>
      </w:pPr>
    </w:p>
    <w:p w14:paraId="2D545FFA"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Gomes, G.P., Ribeiro, </w:t>
      </w:r>
      <w:proofErr w:type="gramStart"/>
      <w:r>
        <w:rPr>
          <w:rFonts w:ascii="Calibri" w:hAnsi="Calibri" w:cs="Calibri"/>
          <w:sz w:val="22"/>
          <w:szCs w:val="22"/>
        </w:rPr>
        <w:t>N.</w:t>
      </w:r>
      <w:proofErr w:type="gramEnd"/>
      <w:r>
        <w:rPr>
          <w:rFonts w:ascii="Calibri" w:hAnsi="Calibri" w:cs="Calibri"/>
          <w:sz w:val="22"/>
          <w:szCs w:val="22"/>
        </w:rPr>
        <w:t xml:space="preserve"> and Gomes, D.R. (2022) ‘The Impact of Burnout on Police Officers’ Performance and Turnover Intention: The Moderating Role of Compassion Satisfaction’, Administrative sciences, 12(3), p. 92–.</w:t>
      </w:r>
    </w:p>
    <w:p w14:paraId="18F2BF5B"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Available at: </w:t>
      </w:r>
      <w:hyperlink r:id="rId17" w:history="1">
        <w:r>
          <w:rPr>
            <w:rStyle w:val="Hyperlink"/>
            <w:rFonts w:ascii="Calibri" w:hAnsi="Calibri" w:cs="Calibri"/>
            <w:sz w:val="22"/>
            <w:szCs w:val="22"/>
          </w:rPr>
          <w:t>https://doi.org/10.3390/admsci12030092</w:t>
        </w:r>
      </w:hyperlink>
      <w:r>
        <w:rPr>
          <w:rFonts w:ascii="Calibri" w:hAnsi="Calibri" w:cs="Calibri"/>
          <w:sz w:val="22"/>
          <w:szCs w:val="22"/>
        </w:rPr>
        <w:t>.</w:t>
      </w:r>
    </w:p>
    <w:p w14:paraId="33A3CF1D"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(Accessed 31st January 2023)</w:t>
      </w:r>
    </w:p>
    <w:p w14:paraId="2E4D6932" w14:textId="77777777" w:rsidR="00F30390" w:rsidRPr="00611951" w:rsidRDefault="00F30390" w:rsidP="00F30390">
      <w:pPr>
        <w:pStyle w:val="NormalWeb"/>
        <w:spacing w:before="0" w:beforeAutospacing="0" w:after="0" w:afterAutospacing="0"/>
        <w:rPr>
          <w:rFonts w:asciiTheme="minorHAnsi" w:hAnsiTheme="minorHAnsi" w:cstheme="minorHAnsi"/>
        </w:rPr>
      </w:pPr>
    </w:p>
    <w:p w14:paraId="6AC97EF3"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 xml:space="preserve">Green, T. and Gates, A. (2014) ‘Understanding the Process of Professionalisation in the Police Organisation’, </w:t>
      </w:r>
    </w:p>
    <w:p w14:paraId="4F181DAC"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Police journal (Chichester), 87(2), pp. 75–91.</w:t>
      </w:r>
    </w:p>
    <w:p w14:paraId="6B3730D0" w14:textId="77777777" w:rsidR="00F30390"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 xml:space="preserve">Available at: </w:t>
      </w:r>
      <w:hyperlink r:id="rId18" w:history="1">
        <w:r w:rsidRPr="00611951">
          <w:rPr>
            <w:rStyle w:val="Hyperlink"/>
            <w:rFonts w:asciiTheme="minorHAnsi" w:hAnsiTheme="minorHAnsi" w:cstheme="minorHAnsi"/>
            <w:sz w:val="22"/>
            <w:szCs w:val="22"/>
          </w:rPr>
          <w:t>https://doi.org/10.1350/pojo.2014.87.2.662</w:t>
        </w:r>
      </w:hyperlink>
      <w:r w:rsidRPr="00611951">
        <w:rPr>
          <w:rFonts w:asciiTheme="minorHAnsi" w:hAnsiTheme="minorHAnsi" w:cstheme="minorHAnsi"/>
          <w:color w:val="000000"/>
          <w:sz w:val="22"/>
          <w:szCs w:val="22"/>
        </w:rPr>
        <w:t>.</w:t>
      </w:r>
    </w:p>
    <w:p w14:paraId="3F5899E4"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Pr>
          <w:rFonts w:asciiTheme="minorHAnsi" w:hAnsiTheme="minorHAnsi" w:cstheme="minorHAnsi"/>
          <w:sz w:val="22"/>
          <w:szCs w:val="22"/>
        </w:rPr>
        <w:t>(Accessed 13</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4514A342"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p>
    <w:p w14:paraId="43C7F63D"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proofErr w:type="spellStart"/>
      <w:r w:rsidRPr="00611951">
        <w:rPr>
          <w:rFonts w:asciiTheme="minorHAnsi" w:hAnsiTheme="minorHAnsi" w:cstheme="minorHAnsi"/>
          <w:sz w:val="22"/>
          <w:szCs w:val="22"/>
        </w:rPr>
        <w:t>Holdaway</w:t>
      </w:r>
      <w:proofErr w:type="spellEnd"/>
      <w:r w:rsidRPr="00611951">
        <w:rPr>
          <w:rFonts w:asciiTheme="minorHAnsi" w:hAnsiTheme="minorHAnsi" w:cstheme="minorHAnsi"/>
          <w:sz w:val="22"/>
          <w:szCs w:val="22"/>
        </w:rPr>
        <w:t xml:space="preserve">, S. (2017) ‘The re-professionalization of the police in England and Wales’, </w:t>
      </w:r>
    </w:p>
    <w:p w14:paraId="693E6523"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sidRPr="00611951">
        <w:rPr>
          <w:rFonts w:asciiTheme="minorHAnsi" w:hAnsiTheme="minorHAnsi" w:cstheme="minorHAnsi"/>
          <w:sz w:val="22"/>
          <w:szCs w:val="22"/>
        </w:rPr>
        <w:t>Criminology &amp; criminal justice, 17(5), pp. 588–604.</w:t>
      </w:r>
    </w:p>
    <w:p w14:paraId="19BAEDE6" w14:textId="77777777" w:rsidR="00F30390" w:rsidRDefault="00F30390" w:rsidP="00F30390">
      <w:pPr>
        <w:pStyle w:val="NormalWeb"/>
        <w:spacing w:before="0" w:beforeAutospacing="0" w:after="0" w:afterAutospacing="0"/>
        <w:rPr>
          <w:rStyle w:val="Hyperlink"/>
          <w:rFonts w:asciiTheme="minorHAnsi" w:hAnsiTheme="minorHAnsi" w:cstheme="minorHAnsi"/>
          <w:sz w:val="22"/>
          <w:szCs w:val="22"/>
        </w:rPr>
      </w:pPr>
      <w:r w:rsidRPr="00611951">
        <w:rPr>
          <w:rFonts w:asciiTheme="minorHAnsi" w:hAnsiTheme="minorHAnsi" w:cstheme="minorHAnsi"/>
          <w:sz w:val="22"/>
          <w:szCs w:val="22"/>
        </w:rPr>
        <w:t xml:space="preserve">Available at: </w:t>
      </w:r>
      <w:hyperlink r:id="rId19" w:history="1">
        <w:r w:rsidRPr="00611951">
          <w:rPr>
            <w:rStyle w:val="Hyperlink"/>
            <w:rFonts w:asciiTheme="minorHAnsi" w:hAnsiTheme="minorHAnsi" w:cstheme="minorHAnsi"/>
            <w:sz w:val="22"/>
            <w:szCs w:val="22"/>
          </w:rPr>
          <w:t>https://doi.org/10.1177/1748895817690214</w:t>
        </w:r>
      </w:hyperlink>
    </w:p>
    <w:p w14:paraId="33453F89"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(Accessed 14</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02A34057" w14:textId="77777777" w:rsidR="00F30390" w:rsidRPr="00611951" w:rsidRDefault="00F30390" w:rsidP="00F30390">
      <w:pPr>
        <w:pStyle w:val="NormalWeb"/>
        <w:spacing w:before="0" w:beforeAutospacing="0" w:after="0" w:afterAutospacing="0"/>
        <w:rPr>
          <w:rFonts w:asciiTheme="minorHAnsi" w:hAnsiTheme="minorHAnsi" w:cstheme="minorHAnsi"/>
        </w:rPr>
      </w:pPr>
      <w:r w:rsidRPr="00611951">
        <w:rPr>
          <w:rFonts w:asciiTheme="minorHAnsi" w:hAnsiTheme="minorHAnsi" w:cstheme="minorHAnsi"/>
        </w:rPr>
        <w:t> </w:t>
      </w:r>
    </w:p>
    <w:p w14:paraId="4BE80DB7"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sidRPr="00611951">
        <w:rPr>
          <w:rFonts w:asciiTheme="minorHAnsi" w:hAnsiTheme="minorHAnsi" w:cstheme="minorHAnsi"/>
          <w:sz w:val="22"/>
          <w:szCs w:val="22"/>
        </w:rPr>
        <w:t>Jackman, P.C. et al. (2020) ‘The relationship between psychological wellbeing, social support, and personality in an English police force’,</w:t>
      </w:r>
    </w:p>
    <w:p w14:paraId="20630398"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sidRPr="00611951">
        <w:rPr>
          <w:rFonts w:asciiTheme="minorHAnsi" w:hAnsiTheme="minorHAnsi" w:cstheme="minorHAnsi"/>
          <w:sz w:val="22"/>
          <w:szCs w:val="22"/>
        </w:rPr>
        <w:t>International journal of police science &amp; management, 22(2), pp. 183–193.</w:t>
      </w:r>
    </w:p>
    <w:p w14:paraId="118DAE18" w14:textId="77777777" w:rsidR="00F30390" w:rsidRDefault="00F30390" w:rsidP="00F30390">
      <w:pPr>
        <w:pStyle w:val="NormalWeb"/>
        <w:spacing w:before="0" w:beforeAutospacing="0" w:after="0" w:afterAutospacing="0"/>
        <w:rPr>
          <w:rFonts w:asciiTheme="minorHAnsi" w:hAnsiTheme="minorHAnsi" w:cstheme="minorHAnsi"/>
          <w:sz w:val="22"/>
          <w:szCs w:val="22"/>
        </w:rPr>
      </w:pPr>
      <w:r w:rsidRPr="00611951">
        <w:rPr>
          <w:rFonts w:asciiTheme="minorHAnsi" w:hAnsiTheme="minorHAnsi" w:cstheme="minorHAnsi"/>
          <w:sz w:val="22"/>
          <w:szCs w:val="22"/>
        </w:rPr>
        <w:t xml:space="preserve">Available at: </w:t>
      </w:r>
      <w:hyperlink r:id="rId20" w:history="1">
        <w:r w:rsidRPr="00611951">
          <w:rPr>
            <w:rStyle w:val="Hyperlink"/>
            <w:rFonts w:asciiTheme="minorHAnsi" w:hAnsiTheme="minorHAnsi" w:cstheme="minorHAnsi"/>
            <w:sz w:val="22"/>
            <w:szCs w:val="22"/>
          </w:rPr>
          <w:t>https://doi.org/10.1177/1461355720907620</w:t>
        </w:r>
      </w:hyperlink>
      <w:r w:rsidRPr="00611951">
        <w:rPr>
          <w:rFonts w:asciiTheme="minorHAnsi" w:hAnsiTheme="minorHAnsi" w:cstheme="minorHAnsi"/>
          <w:sz w:val="22"/>
          <w:szCs w:val="22"/>
        </w:rPr>
        <w:t>.</w:t>
      </w:r>
    </w:p>
    <w:p w14:paraId="035C9A53" w14:textId="77777777" w:rsidR="00F30390" w:rsidRDefault="00F30390" w:rsidP="00F30390">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(Accessed 13</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12992032" w14:textId="77777777" w:rsidR="00F30390" w:rsidRDefault="00F30390" w:rsidP="00F30390">
      <w:pPr>
        <w:pStyle w:val="NormalWeb"/>
        <w:spacing w:before="0" w:beforeAutospacing="0" w:after="0" w:afterAutospacing="0"/>
        <w:rPr>
          <w:rFonts w:asciiTheme="minorHAnsi" w:hAnsiTheme="minorHAnsi" w:cstheme="minorHAnsi"/>
          <w:sz w:val="22"/>
          <w:szCs w:val="22"/>
        </w:rPr>
      </w:pPr>
    </w:p>
    <w:p w14:paraId="1774E0EE" w14:textId="58C09CA9"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Johnson, A. et al. (2016) ‘Time to change: a review of organisational culture change in health care organisations’, Journal of organizational </w:t>
      </w:r>
      <w:proofErr w:type="gramStart"/>
      <w:r>
        <w:rPr>
          <w:rFonts w:ascii="Calibri" w:hAnsi="Calibri" w:cs="Calibri"/>
          <w:sz w:val="22"/>
          <w:szCs w:val="22"/>
        </w:rPr>
        <w:t>effectiveness :</w:t>
      </w:r>
      <w:proofErr w:type="gramEnd"/>
      <w:r>
        <w:rPr>
          <w:rFonts w:ascii="Calibri" w:hAnsi="Calibri" w:cs="Calibri"/>
          <w:sz w:val="22"/>
          <w:szCs w:val="22"/>
        </w:rPr>
        <w:t xml:space="preserve"> people and performance, 3(3), pp. 265–288. Available at: </w:t>
      </w:r>
      <w:hyperlink r:id="rId21" w:history="1">
        <w:r>
          <w:rPr>
            <w:rStyle w:val="Hyperlink"/>
            <w:rFonts w:ascii="Calibri" w:hAnsi="Calibri" w:cs="Calibri"/>
            <w:sz w:val="22"/>
            <w:szCs w:val="22"/>
          </w:rPr>
          <w:t>https://doi.org/10.1108/JOEPP-06-2016-0040</w:t>
        </w:r>
      </w:hyperlink>
      <w:r>
        <w:rPr>
          <w:rFonts w:ascii="Calibri" w:hAnsi="Calibri" w:cs="Calibri"/>
          <w:sz w:val="22"/>
          <w:szCs w:val="22"/>
        </w:rPr>
        <w:t>.</w:t>
      </w:r>
    </w:p>
    <w:p w14:paraId="79E5B7DD" w14:textId="06C2B0BA"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(Accessed 31st January 2023)</w:t>
      </w:r>
    </w:p>
    <w:p w14:paraId="76027E9F" w14:textId="77777777" w:rsidR="00F9105A" w:rsidRDefault="00F9105A" w:rsidP="00F30390">
      <w:pPr>
        <w:pStyle w:val="NormalWeb"/>
        <w:spacing w:before="0" w:beforeAutospacing="0" w:after="0" w:afterAutospacing="0"/>
        <w:rPr>
          <w:rFonts w:ascii="Calibri" w:hAnsi="Calibri" w:cs="Calibri"/>
          <w:sz w:val="22"/>
          <w:szCs w:val="22"/>
        </w:rPr>
      </w:pPr>
    </w:p>
    <w:p w14:paraId="7CCB9C55"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Jones, R.A., </w:t>
      </w:r>
      <w:proofErr w:type="spellStart"/>
      <w:r>
        <w:rPr>
          <w:rFonts w:ascii="Calibri" w:hAnsi="Calibri" w:cs="Calibri"/>
          <w:sz w:val="22"/>
          <w:szCs w:val="22"/>
        </w:rPr>
        <w:t>Jimmieson</w:t>
      </w:r>
      <w:proofErr w:type="spellEnd"/>
      <w:r>
        <w:rPr>
          <w:rFonts w:ascii="Calibri" w:hAnsi="Calibri" w:cs="Calibri"/>
          <w:sz w:val="22"/>
          <w:szCs w:val="22"/>
        </w:rPr>
        <w:t xml:space="preserve">, N.L. and Griffiths, A. (2005) ‘The Impact of Organizational Culture and Reshaping Capabilities on Change Implementation Success: The Mediating Role of Readiness for Change’, Journal of management studies, 42(2), pp. 361–386. Available at: </w:t>
      </w:r>
      <w:hyperlink r:id="rId22" w:history="1">
        <w:r>
          <w:rPr>
            <w:rStyle w:val="Hyperlink"/>
            <w:rFonts w:ascii="Calibri" w:hAnsi="Calibri" w:cs="Calibri"/>
            <w:sz w:val="22"/>
            <w:szCs w:val="22"/>
          </w:rPr>
          <w:t>https://doi.org/10.1111/j.1467-6486.2005.00500.x</w:t>
        </w:r>
      </w:hyperlink>
      <w:r>
        <w:rPr>
          <w:rFonts w:ascii="Calibri" w:hAnsi="Calibri" w:cs="Calibri"/>
          <w:sz w:val="22"/>
          <w:szCs w:val="22"/>
        </w:rPr>
        <w:t>.</w:t>
      </w:r>
    </w:p>
    <w:p w14:paraId="2A395D3F"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(Accessed 2</w:t>
      </w:r>
      <w:r w:rsidRPr="00B07A18">
        <w:rPr>
          <w:rFonts w:ascii="Calibri" w:hAnsi="Calibri" w:cs="Calibri"/>
          <w:sz w:val="22"/>
          <w:szCs w:val="22"/>
          <w:vertAlign w:val="superscript"/>
        </w:rPr>
        <w:t>nd</w:t>
      </w:r>
      <w:r>
        <w:rPr>
          <w:rFonts w:ascii="Calibri" w:hAnsi="Calibri" w:cs="Calibri"/>
          <w:sz w:val="22"/>
          <w:szCs w:val="22"/>
        </w:rPr>
        <w:t xml:space="preserve"> February 2023)</w:t>
      </w:r>
    </w:p>
    <w:p w14:paraId="75BAF0CE" w14:textId="77777777" w:rsidR="00F30390" w:rsidRDefault="00F30390" w:rsidP="00F30390">
      <w:pPr>
        <w:pStyle w:val="NormalWeb"/>
        <w:spacing w:before="0" w:beforeAutospacing="0" w:after="0" w:afterAutospacing="0"/>
        <w:rPr>
          <w:rFonts w:ascii="Calibri" w:hAnsi="Calibri" w:cs="Calibri"/>
          <w:sz w:val="22"/>
          <w:szCs w:val="22"/>
        </w:rPr>
      </w:pPr>
    </w:p>
    <w:p w14:paraId="1FB51483"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Kelly, E.L., Moen, P. and Tranby, E. (2011) ‘Changing workplaces to reduce work-family conflict: Schedule control in a white-collar organization’, American sociological review, 76(2), pp. 265–290. Available at: </w:t>
      </w:r>
      <w:hyperlink r:id="rId23" w:history="1">
        <w:r>
          <w:rPr>
            <w:rStyle w:val="Hyperlink"/>
            <w:rFonts w:ascii="Calibri" w:hAnsi="Calibri" w:cs="Calibri"/>
            <w:sz w:val="22"/>
            <w:szCs w:val="22"/>
          </w:rPr>
          <w:t>https://doi.org/10.1177/0003122411400056</w:t>
        </w:r>
      </w:hyperlink>
      <w:r>
        <w:rPr>
          <w:rFonts w:ascii="Calibri" w:hAnsi="Calibri" w:cs="Calibri"/>
          <w:sz w:val="22"/>
          <w:szCs w:val="22"/>
        </w:rPr>
        <w:t>.</w:t>
      </w:r>
    </w:p>
    <w:p w14:paraId="00E09ADE"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(Accessed 2</w:t>
      </w:r>
      <w:r w:rsidRPr="00B07A18">
        <w:rPr>
          <w:rFonts w:ascii="Calibri" w:hAnsi="Calibri" w:cs="Calibri"/>
          <w:sz w:val="22"/>
          <w:szCs w:val="22"/>
          <w:vertAlign w:val="superscript"/>
        </w:rPr>
        <w:t>nd</w:t>
      </w:r>
      <w:r>
        <w:rPr>
          <w:rFonts w:ascii="Calibri" w:hAnsi="Calibri" w:cs="Calibri"/>
          <w:sz w:val="22"/>
          <w:szCs w:val="22"/>
        </w:rPr>
        <w:t xml:space="preserve"> February 2023)</w:t>
      </w:r>
    </w:p>
    <w:p w14:paraId="43A1EFBE" w14:textId="77777777" w:rsidR="00F30390" w:rsidRDefault="00F30390" w:rsidP="00F30390">
      <w:pPr>
        <w:pStyle w:val="NormalWeb"/>
        <w:spacing w:before="0" w:beforeAutospacing="0" w:after="0" w:afterAutospacing="0"/>
        <w:rPr>
          <w:rFonts w:ascii="Calibri" w:hAnsi="Calibri" w:cs="Calibri"/>
          <w:sz w:val="22"/>
          <w:szCs w:val="22"/>
        </w:rPr>
      </w:pPr>
    </w:p>
    <w:p w14:paraId="36773599"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Meyer, J.P. et al. (2010) ‘Person–organization (culture) fit and employee commitment under conditions of organizational change: A longitudinal study’, Journal of vocational </w:t>
      </w:r>
      <w:proofErr w:type="spellStart"/>
      <w:r>
        <w:rPr>
          <w:rFonts w:ascii="Calibri" w:hAnsi="Calibri" w:cs="Calibri"/>
          <w:sz w:val="22"/>
          <w:szCs w:val="22"/>
        </w:rPr>
        <w:t>behavior</w:t>
      </w:r>
      <w:proofErr w:type="spellEnd"/>
      <w:r>
        <w:rPr>
          <w:rFonts w:ascii="Calibri" w:hAnsi="Calibri" w:cs="Calibri"/>
          <w:sz w:val="22"/>
          <w:szCs w:val="22"/>
        </w:rPr>
        <w:t xml:space="preserve">, 76(3), pp. 458–473. Available at: </w:t>
      </w:r>
      <w:hyperlink r:id="rId24" w:history="1">
        <w:r>
          <w:rPr>
            <w:rStyle w:val="Hyperlink"/>
            <w:rFonts w:ascii="Calibri" w:hAnsi="Calibri" w:cs="Calibri"/>
            <w:sz w:val="22"/>
            <w:szCs w:val="22"/>
          </w:rPr>
          <w:t>https://doi.org/10.1016/j.jvb.2010.01.001</w:t>
        </w:r>
      </w:hyperlink>
      <w:r>
        <w:rPr>
          <w:rFonts w:ascii="Calibri" w:hAnsi="Calibri" w:cs="Calibri"/>
          <w:sz w:val="22"/>
          <w:szCs w:val="22"/>
        </w:rPr>
        <w:t>.</w:t>
      </w:r>
    </w:p>
    <w:p w14:paraId="16501144" w14:textId="77777777" w:rsidR="00F30390" w:rsidRDefault="00F30390" w:rsidP="00F30390">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(Accessed </w:t>
      </w:r>
      <w:proofErr w:type="gramStart"/>
      <w:r>
        <w:rPr>
          <w:rFonts w:asciiTheme="minorHAnsi" w:hAnsiTheme="minorHAnsi" w:cstheme="minorHAnsi"/>
          <w:sz w:val="22"/>
          <w:szCs w:val="22"/>
        </w:rPr>
        <w:t>31</w:t>
      </w:r>
      <w:r w:rsidRPr="002D4FB6">
        <w:rPr>
          <w:rFonts w:asciiTheme="minorHAnsi" w:hAnsiTheme="minorHAnsi" w:cstheme="minorHAnsi"/>
          <w:sz w:val="22"/>
          <w:szCs w:val="22"/>
          <w:vertAlign w:val="superscript"/>
        </w:rPr>
        <w:t>th</w:t>
      </w:r>
      <w:proofErr w:type="gramEnd"/>
      <w:r>
        <w:rPr>
          <w:rFonts w:asciiTheme="minorHAnsi" w:hAnsiTheme="minorHAnsi" w:cstheme="minorHAnsi"/>
          <w:sz w:val="22"/>
          <w:szCs w:val="22"/>
        </w:rPr>
        <w:t xml:space="preserve"> January 2023)</w:t>
      </w:r>
    </w:p>
    <w:p w14:paraId="18B319A6" w14:textId="77777777" w:rsidR="00F30390" w:rsidRPr="00611951" w:rsidRDefault="00F30390" w:rsidP="00F30390">
      <w:pPr>
        <w:pStyle w:val="NormalWeb"/>
        <w:spacing w:before="0" w:beforeAutospacing="0" w:after="0" w:afterAutospacing="0"/>
        <w:rPr>
          <w:rFonts w:asciiTheme="minorHAnsi" w:hAnsiTheme="minorHAnsi" w:cstheme="minorHAnsi"/>
        </w:rPr>
      </w:pPr>
    </w:p>
    <w:p w14:paraId="29EBB4C5"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sidRPr="00611951">
        <w:rPr>
          <w:rFonts w:asciiTheme="minorHAnsi" w:hAnsiTheme="minorHAnsi" w:cstheme="minorHAnsi"/>
          <w:sz w:val="22"/>
          <w:szCs w:val="22"/>
        </w:rPr>
        <w:t xml:space="preserve">Panaccio, A. and </w:t>
      </w:r>
      <w:proofErr w:type="spellStart"/>
      <w:r w:rsidRPr="00611951">
        <w:rPr>
          <w:rFonts w:asciiTheme="minorHAnsi" w:hAnsiTheme="minorHAnsi" w:cstheme="minorHAnsi"/>
          <w:sz w:val="22"/>
          <w:szCs w:val="22"/>
        </w:rPr>
        <w:t>Vandenberghe</w:t>
      </w:r>
      <w:proofErr w:type="spellEnd"/>
      <w:r w:rsidRPr="00611951">
        <w:rPr>
          <w:rFonts w:asciiTheme="minorHAnsi" w:hAnsiTheme="minorHAnsi" w:cstheme="minorHAnsi"/>
          <w:sz w:val="22"/>
          <w:szCs w:val="22"/>
        </w:rPr>
        <w:t>, C. (2009) ‘Perceived organizational support, organizational commitment and psychological well-being: A longitudinal study’,</w:t>
      </w:r>
    </w:p>
    <w:p w14:paraId="5282BDA3"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sidRPr="00611951">
        <w:rPr>
          <w:rFonts w:asciiTheme="minorHAnsi" w:hAnsiTheme="minorHAnsi" w:cstheme="minorHAnsi"/>
          <w:sz w:val="22"/>
          <w:szCs w:val="22"/>
        </w:rPr>
        <w:t xml:space="preserve">Journal of vocational </w:t>
      </w:r>
      <w:proofErr w:type="spellStart"/>
      <w:r w:rsidRPr="00611951">
        <w:rPr>
          <w:rFonts w:asciiTheme="minorHAnsi" w:hAnsiTheme="minorHAnsi" w:cstheme="minorHAnsi"/>
          <w:sz w:val="22"/>
          <w:szCs w:val="22"/>
        </w:rPr>
        <w:t>behavior</w:t>
      </w:r>
      <w:proofErr w:type="spellEnd"/>
      <w:r w:rsidRPr="00611951">
        <w:rPr>
          <w:rFonts w:asciiTheme="minorHAnsi" w:hAnsiTheme="minorHAnsi" w:cstheme="minorHAnsi"/>
          <w:sz w:val="22"/>
          <w:szCs w:val="22"/>
        </w:rPr>
        <w:t>., 75(2), pp. 224–236.</w:t>
      </w:r>
    </w:p>
    <w:p w14:paraId="7CB1E868" w14:textId="77777777" w:rsidR="00F30390" w:rsidRDefault="00F30390" w:rsidP="00F30390">
      <w:pPr>
        <w:pStyle w:val="NormalWeb"/>
        <w:spacing w:before="0" w:beforeAutospacing="0" w:after="0" w:afterAutospacing="0"/>
        <w:rPr>
          <w:rFonts w:asciiTheme="minorHAnsi" w:hAnsiTheme="minorHAnsi" w:cstheme="minorHAnsi"/>
          <w:sz w:val="22"/>
          <w:szCs w:val="22"/>
        </w:rPr>
      </w:pPr>
      <w:r w:rsidRPr="00611951">
        <w:rPr>
          <w:rFonts w:asciiTheme="minorHAnsi" w:hAnsiTheme="minorHAnsi" w:cstheme="minorHAnsi"/>
          <w:sz w:val="22"/>
          <w:szCs w:val="22"/>
        </w:rPr>
        <w:t xml:space="preserve">Available at: </w:t>
      </w:r>
      <w:hyperlink r:id="rId25" w:history="1">
        <w:r w:rsidRPr="00611951">
          <w:rPr>
            <w:rStyle w:val="Hyperlink"/>
            <w:rFonts w:asciiTheme="minorHAnsi" w:hAnsiTheme="minorHAnsi" w:cstheme="minorHAnsi"/>
            <w:sz w:val="22"/>
            <w:szCs w:val="22"/>
          </w:rPr>
          <w:t>https://doi.org/10.1016/j.jvb.2009.06.002</w:t>
        </w:r>
      </w:hyperlink>
      <w:r w:rsidRPr="00611951">
        <w:rPr>
          <w:rFonts w:asciiTheme="minorHAnsi" w:hAnsiTheme="minorHAnsi" w:cstheme="minorHAnsi"/>
          <w:sz w:val="22"/>
          <w:szCs w:val="22"/>
        </w:rPr>
        <w:t>.</w:t>
      </w:r>
    </w:p>
    <w:p w14:paraId="502DE7F3"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(Accessed 14</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0C282D06"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r w:rsidRPr="00611951">
        <w:rPr>
          <w:rFonts w:asciiTheme="minorHAnsi" w:hAnsiTheme="minorHAnsi" w:cstheme="minorHAnsi"/>
          <w:sz w:val="22"/>
          <w:szCs w:val="22"/>
        </w:rPr>
        <w:t> </w:t>
      </w:r>
    </w:p>
    <w:p w14:paraId="7C53E730"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 xml:space="preserve">U-turn on decision for new police officers to complete a degree. Lincolnshire Police and Crime commissioner. Available </w:t>
      </w:r>
      <w:proofErr w:type="gramStart"/>
      <w:r w:rsidRPr="00611951">
        <w:rPr>
          <w:rFonts w:asciiTheme="minorHAnsi" w:hAnsiTheme="minorHAnsi" w:cstheme="minorHAnsi"/>
          <w:color w:val="000000"/>
          <w:sz w:val="22"/>
          <w:szCs w:val="22"/>
        </w:rPr>
        <w:t>at;</w:t>
      </w:r>
      <w:proofErr w:type="gramEnd"/>
    </w:p>
    <w:p w14:paraId="39D91C7E" w14:textId="77777777" w:rsidR="00F30390" w:rsidRPr="00611951" w:rsidRDefault="00F30390" w:rsidP="00F30390">
      <w:pPr>
        <w:pStyle w:val="NormalWeb"/>
        <w:spacing w:before="0" w:beforeAutospacing="0" w:after="0" w:afterAutospacing="0"/>
        <w:rPr>
          <w:rFonts w:asciiTheme="minorHAnsi" w:hAnsiTheme="minorHAnsi" w:cstheme="minorHAnsi"/>
          <w:sz w:val="22"/>
          <w:szCs w:val="22"/>
        </w:rPr>
      </w:pPr>
      <w:hyperlink r:id="rId26" w:history="1">
        <w:r w:rsidRPr="00611951">
          <w:rPr>
            <w:rStyle w:val="Hyperlink"/>
            <w:rFonts w:asciiTheme="minorHAnsi" w:hAnsiTheme="minorHAnsi" w:cstheme="minorHAnsi"/>
            <w:sz w:val="22"/>
            <w:szCs w:val="22"/>
          </w:rPr>
          <w:t>U-turn on decision for new police officers to complete a degree (lincolnshire-pcc.gov.uk)</w:t>
        </w:r>
      </w:hyperlink>
    </w:p>
    <w:p w14:paraId="5926D195" w14:textId="77777777" w:rsidR="00F30390" w:rsidRDefault="00F30390" w:rsidP="00F30390">
      <w:pPr>
        <w:pStyle w:val="NormalWeb"/>
        <w:spacing w:before="0" w:beforeAutospacing="0" w:after="0" w:afterAutospacing="0"/>
        <w:rPr>
          <w:rFonts w:asciiTheme="minorHAnsi" w:hAnsiTheme="minorHAnsi" w:cstheme="minorHAnsi"/>
          <w:color w:val="000000"/>
          <w:sz w:val="22"/>
          <w:szCs w:val="22"/>
        </w:rPr>
      </w:pPr>
      <w:r>
        <w:rPr>
          <w:rFonts w:asciiTheme="minorHAnsi" w:hAnsiTheme="minorHAnsi" w:cstheme="minorHAnsi"/>
          <w:color w:val="000000"/>
          <w:sz w:val="22"/>
          <w:szCs w:val="22"/>
        </w:rPr>
        <w:t>(</w:t>
      </w:r>
      <w:r w:rsidRPr="00611951">
        <w:rPr>
          <w:rFonts w:asciiTheme="minorHAnsi" w:hAnsiTheme="minorHAnsi" w:cstheme="minorHAnsi"/>
          <w:color w:val="000000"/>
          <w:sz w:val="22"/>
          <w:szCs w:val="22"/>
        </w:rPr>
        <w:t>Accessed 13th November 2022</w:t>
      </w:r>
      <w:r>
        <w:rPr>
          <w:rFonts w:asciiTheme="minorHAnsi" w:hAnsiTheme="minorHAnsi" w:cstheme="minorHAnsi"/>
          <w:color w:val="000000"/>
          <w:sz w:val="22"/>
          <w:szCs w:val="22"/>
        </w:rPr>
        <w:t>)</w:t>
      </w:r>
    </w:p>
    <w:p w14:paraId="414329BB" w14:textId="77777777" w:rsidR="00F30390" w:rsidRDefault="00F30390" w:rsidP="00F30390">
      <w:pPr>
        <w:pStyle w:val="NormalWeb"/>
        <w:spacing w:before="0" w:beforeAutospacing="0" w:after="0" w:afterAutospacing="0"/>
        <w:rPr>
          <w:rFonts w:asciiTheme="minorHAnsi" w:hAnsiTheme="minorHAnsi" w:cstheme="minorHAnsi"/>
          <w:color w:val="000000"/>
          <w:sz w:val="22"/>
          <w:szCs w:val="22"/>
        </w:rPr>
      </w:pPr>
    </w:p>
    <w:p w14:paraId="48A4B44A"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roofErr w:type="spellStart"/>
      <w:r>
        <w:rPr>
          <w:rFonts w:ascii="Calibri" w:hAnsi="Calibri" w:cs="Calibri"/>
          <w:sz w:val="22"/>
          <w:szCs w:val="22"/>
        </w:rPr>
        <w:t>Vuorensyrjae</w:t>
      </w:r>
      <w:proofErr w:type="spellEnd"/>
      <w:r>
        <w:rPr>
          <w:rFonts w:ascii="Calibri" w:hAnsi="Calibri" w:cs="Calibri"/>
          <w:sz w:val="22"/>
          <w:szCs w:val="22"/>
        </w:rPr>
        <w:t xml:space="preserve">, M. and </w:t>
      </w:r>
      <w:proofErr w:type="spellStart"/>
      <w:r>
        <w:rPr>
          <w:rFonts w:ascii="Calibri" w:hAnsi="Calibri" w:cs="Calibri"/>
          <w:sz w:val="22"/>
          <w:szCs w:val="22"/>
        </w:rPr>
        <w:t>Maelkiae</w:t>
      </w:r>
      <w:proofErr w:type="spellEnd"/>
      <w:r>
        <w:rPr>
          <w:rFonts w:ascii="Calibri" w:hAnsi="Calibri" w:cs="Calibri"/>
          <w:sz w:val="22"/>
          <w:szCs w:val="22"/>
        </w:rPr>
        <w:t xml:space="preserve">, M. (2011) ‘Nonlinearity of the effects of police stressors on police officer burnout’, </w:t>
      </w:r>
      <w:proofErr w:type="gramStart"/>
      <w:r>
        <w:rPr>
          <w:rFonts w:ascii="Calibri" w:hAnsi="Calibri" w:cs="Calibri"/>
          <w:sz w:val="22"/>
          <w:szCs w:val="22"/>
        </w:rPr>
        <w:t>Policing :</w:t>
      </w:r>
      <w:proofErr w:type="gramEnd"/>
      <w:r>
        <w:rPr>
          <w:rFonts w:ascii="Calibri" w:hAnsi="Calibri" w:cs="Calibri"/>
          <w:sz w:val="22"/>
          <w:szCs w:val="22"/>
        </w:rPr>
        <w:t xml:space="preserve"> an international journal of police strategies &amp; management, 34(3), pp. 382–402.</w:t>
      </w:r>
    </w:p>
    <w:p w14:paraId="71A54E0D"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Available at: </w:t>
      </w:r>
      <w:hyperlink r:id="rId27" w:history="1">
        <w:r>
          <w:rPr>
            <w:rStyle w:val="Hyperlink"/>
            <w:rFonts w:ascii="Calibri" w:hAnsi="Calibri" w:cs="Calibri"/>
            <w:sz w:val="22"/>
            <w:szCs w:val="22"/>
          </w:rPr>
          <w:t>https://doi.org/10.1108/13639511111157474</w:t>
        </w:r>
      </w:hyperlink>
      <w:r>
        <w:rPr>
          <w:rFonts w:ascii="Calibri" w:hAnsi="Calibri" w:cs="Calibri"/>
          <w:sz w:val="22"/>
          <w:szCs w:val="22"/>
        </w:rPr>
        <w:t>.</w:t>
      </w:r>
    </w:p>
    <w:p w14:paraId="6DB03A63" w14:textId="77777777"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(Accessed 31st January 2023)</w:t>
      </w:r>
    </w:p>
    <w:p w14:paraId="1CBCD6F0" w14:textId="77777777" w:rsidR="00F30390" w:rsidRPr="00611951" w:rsidRDefault="00F30390" w:rsidP="00F30390">
      <w:pPr>
        <w:pStyle w:val="NormalWeb"/>
        <w:spacing w:before="0" w:beforeAutospacing="0" w:after="0" w:afterAutospacing="0"/>
        <w:rPr>
          <w:rFonts w:asciiTheme="minorHAnsi" w:hAnsiTheme="minorHAnsi" w:cstheme="minorHAnsi"/>
        </w:rPr>
      </w:pPr>
    </w:p>
    <w:p w14:paraId="138E691E"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Wolter, C. et al. (2019) ‘Job Demands, Job Resources, and Well-being in Police Officers—a Resource-Oriented Approach,</w:t>
      </w:r>
    </w:p>
    <w:p w14:paraId="596352A7" w14:textId="77777777" w:rsidR="00F30390" w:rsidRPr="00611951" w:rsidRDefault="00F30390" w:rsidP="00F30390">
      <w:pPr>
        <w:pStyle w:val="NormalWeb"/>
        <w:spacing w:before="0" w:beforeAutospacing="0" w:after="0" w:afterAutospacing="0"/>
        <w:rPr>
          <w:rFonts w:asciiTheme="minorHAnsi" w:hAnsiTheme="minorHAnsi" w:cstheme="minorHAnsi"/>
          <w:color w:val="000000"/>
          <w:sz w:val="22"/>
          <w:szCs w:val="22"/>
        </w:rPr>
      </w:pPr>
      <w:r w:rsidRPr="00611951">
        <w:rPr>
          <w:rFonts w:asciiTheme="minorHAnsi" w:hAnsiTheme="minorHAnsi" w:cstheme="minorHAnsi"/>
          <w:color w:val="000000"/>
          <w:sz w:val="22"/>
          <w:szCs w:val="22"/>
        </w:rPr>
        <w:t>Journal of police and criminal psychology, 34(1), pp. 45–54.</w:t>
      </w:r>
    </w:p>
    <w:p w14:paraId="5266B7B2" w14:textId="77777777" w:rsidR="00F30390" w:rsidRDefault="00F30390" w:rsidP="00F30390">
      <w:pPr>
        <w:pStyle w:val="NormalWeb"/>
        <w:spacing w:before="0" w:beforeAutospacing="0" w:after="0" w:afterAutospacing="0"/>
        <w:rPr>
          <w:rStyle w:val="Hyperlink"/>
          <w:rFonts w:asciiTheme="minorHAnsi" w:hAnsiTheme="minorHAnsi" w:cstheme="minorHAnsi"/>
          <w:sz w:val="22"/>
          <w:szCs w:val="22"/>
        </w:rPr>
      </w:pPr>
      <w:r w:rsidRPr="00611951">
        <w:rPr>
          <w:rFonts w:asciiTheme="minorHAnsi" w:hAnsiTheme="minorHAnsi" w:cstheme="minorHAnsi"/>
          <w:color w:val="000000"/>
          <w:sz w:val="22"/>
          <w:szCs w:val="22"/>
        </w:rPr>
        <w:t xml:space="preserve">Available at: </w:t>
      </w:r>
      <w:hyperlink r:id="rId28" w:history="1">
        <w:r w:rsidRPr="00611951">
          <w:rPr>
            <w:rStyle w:val="Hyperlink"/>
            <w:rFonts w:asciiTheme="minorHAnsi" w:hAnsiTheme="minorHAnsi" w:cstheme="minorHAnsi"/>
            <w:sz w:val="22"/>
            <w:szCs w:val="22"/>
          </w:rPr>
          <w:t>https://doi.org/10.1007/s11896-018-9265-1</w:t>
        </w:r>
      </w:hyperlink>
    </w:p>
    <w:p w14:paraId="49A1F823" w14:textId="77777777" w:rsidR="00F30390" w:rsidRDefault="00F30390" w:rsidP="00F30390">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(Accessed 13</w:t>
      </w:r>
      <w:r w:rsidRPr="002D4FB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65B933B3" w14:textId="77777777" w:rsidR="00F30390" w:rsidRDefault="00F30390" w:rsidP="00F30390">
      <w:pPr>
        <w:pStyle w:val="NormalWeb"/>
        <w:spacing w:before="0" w:beforeAutospacing="0" w:after="0" w:afterAutospacing="0"/>
        <w:rPr>
          <w:rFonts w:asciiTheme="minorHAnsi" w:hAnsiTheme="minorHAnsi" w:cstheme="minorHAnsi"/>
          <w:sz w:val="22"/>
          <w:szCs w:val="22"/>
        </w:rPr>
      </w:pPr>
    </w:p>
    <w:p w14:paraId="0D0143D4" w14:textId="77777777" w:rsidR="00F30390" w:rsidRDefault="00F30390" w:rsidP="00F30390">
      <w:pPr>
        <w:pStyle w:val="NormalWeb"/>
        <w:spacing w:before="0" w:beforeAutospacing="0" w:after="0" w:afterAutospacing="0"/>
        <w:rPr>
          <w:rFonts w:ascii="Calibri" w:hAnsi="Calibri" w:cs="Calibri"/>
          <w:sz w:val="22"/>
          <w:szCs w:val="22"/>
        </w:rPr>
      </w:pPr>
      <w:proofErr w:type="spellStart"/>
      <w:r>
        <w:rPr>
          <w:rFonts w:ascii="Calibri" w:hAnsi="Calibri" w:cs="Calibri"/>
          <w:sz w:val="22"/>
          <w:szCs w:val="22"/>
        </w:rPr>
        <w:t>Wynen</w:t>
      </w:r>
      <w:proofErr w:type="spellEnd"/>
      <w:r>
        <w:rPr>
          <w:rFonts w:ascii="Calibri" w:hAnsi="Calibri" w:cs="Calibri"/>
          <w:sz w:val="22"/>
          <w:szCs w:val="22"/>
        </w:rPr>
        <w:t xml:space="preserve">, J., </w:t>
      </w:r>
      <w:proofErr w:type="spellStart"/>
      <w:r>
        <w:rPr>
          <w:rFonts w:ascii="Calibri" w:hAnsi="Calibri" w:cs="Calibri"/>
          <w:sz w:val="22"/>
          <w:szCs w:val="22"/>
        </w:rPr>
        <w:t>Verhoest</w:t>
      </w:r>
      <w:proofErr w:type="spellEnd"/>
      <w:r>
        <w:rPr>
          <w:rFonts w:ascii="Calibri" w:hAnsi="Calibri" w:cs="Calibri"/>
          <w:sz w:val="22"/>
          <w:szCs w:val="22"/>
        </w:rPr>
        <w:t xml:space="preserve">, K. and </w:t>
      </w:r>
      <w:proofErr w:type="spellStart"/>
      <w:r>
        <w:rPr>
          <w:rFonts w:ascii="Calibri" w:hAnsi="Calibri" w:cs="Calibri"/>
          <w:sz w:val="22"/>
          <w:szCs w:val="22"/>
        </w:rPr>
        <w:t>Kleizen</w:t>
      </w:r>
      <w:proofErr w:type="spellEnd"/>
      <w:r>
        <w:rPr>
          <w:rFonts w:ascii="Calibri" w:hAnsi="Calibri" w:cs="Calibri"/>
          <w:sz w:val="22"/>
          <w:szCs w:val="22"/>
        </w:rPr>
        <w:t xml:space="preserve">, B. (2017) ‘More reforms, less innovation? The impact of structural reform histories on innovation-oriented cultures in public organizations’, </w:t>
      </w:r>
      <w:proofErr w:type="gramStart"/>
      <w:r>
        <w:rPr>
          <w:rFonts w:ascii="Calibri" w:hAnsi="Calibri" w:cs="Calibri"/>
          <w:sz w:val="22"/>
          <w:szCs w:val="22"/>
        </w:rPr>
        <w:t>Public</w:t>
      </w:r>
      <w:proofErr w:type="gramEnd"/>
      <w:r>
        <w:rPr>
          <w:rFonts w:ascii="Calibri" w:hAnsi="Calibri" w:cs="Calibri"/>
          <w:sz w:val="22"/>
          <w:szCs w:val="22"/>
        </w:rPr>
        <w:t xml:space="preserve"> management review, 19(8), pp. 1142–1164. Available at: </w:t>
      </w:r>
      <w:hyperlink r:id="rId29" w:history="1">
        <w:r>
          <w:rPr>
            <w:rStyle w:val="Hyperlink"/>
            <w:rFonts w:ascii="Calibri" w:hAnsi="Calibri" w:cs="Calibri"/>
            <w:sz w:val="22"/>
            <w:szCs w:val="22"/>
          </w:rPr>
          <w:t>https://doi.org/10.1080/14719037.2016.1266021</w:t>
        </w:r>
      </w:hyperlink>
      <w:r>
        <w:rPr>
          <w:rFonts w:ascii="Calibri" w:hAnsi="Calibri" w:cs="Calibri"/>
          <w:sz w:val="22"/>
          <w:szCs w:val="22"/>
        </w:rPr>
        <w:t>.</w:t>
      </w:r>
    </w:p>
    <w:p w14:paraId="0493E1C7" w14:textId="7046E5D2" w:rsidR="00F30390" w:rsidRDefault="00F30390" w:rsidP="00F30390">
      <w:pPr>
        <w:pStyle w:val="NormalWeb"/>
        <w:spacing w:before="0" w:beforeAutospacing="0" w:after="0" w:afterAutospacing="0"/>
        <w:rPr>
          <w:rFonts w:ascii="Calibri" w:hAnsi="Calibri" w:cs="Calibri"/>
          <w:sz w:val="22"/>
          <w:szCs w:val="22"/>
        </w:rPr>
      </w:pPr>
      <w:r>
        <w:rPr>
          <w:rFonts w:ascii="Calibri" w:hAnsi="Calibri" w:cs="Calibri"/>
          <w:sz w:val="22"/>
          <w:szCs w:val="22"/>
        </w:rPr>
        <w:t>(Accessed 31st January 2023)</w:t>
      </w:r>
    </w:p>
    <w:p w14:paraId="67D4BBA7" w14:textId="672FD653" w:rsidR="00F9105A" w:rsidRPr="00F9105A" w:rsidRDefault="00F9105A" w:rsidP="00F9105A">
      <w:pPr>
        <w:rPr>
          <w:rFonts w:ascii="Calibri" w:eastAsia="Times New Roman" w:hAnsi="Calibri" w:cs="Calibri"/>
          <w:lang w:eastAsia="en-GB"/>
        </w:rPr>
      </w:pPr>
      <w:r>
        <w:rPr>
          <w:rFonts w:ascii="Calibri" w:hAnsi="Calibri" w:cs="Calibri"/>
        </w:rPr>
        <w:br w:type="page"/>
      </w:r>
    </w:p>
    <w:p w14:paraId="0841FB58" w14:textId="3AC84E57" w:rsidR="00E91A66" w:rsidRPr="00256A16" w:rsidRDefault="00256A16" w:rsidP="009A4706">
      <w:pPr>
        <w:spacing w:line="360" w:lineRule="auto"/>
        <w:rPr>
          <w:b/>
          <w:bCs/>
          <w:sz w:val="24"/>
          <w:szCs w:val="24"/>
        </w:rPr>
      </w:pPr>
      <w:r w:rsidRPr="00256A16">
        <w:rPr>
          <w:b/>
          <w:bCs/>
          <w:sz w:val="24"/>
          <w:szCs w:val="24"/>
        </w:rPr>
        <w:lastRenderedPageBreak/>
        <w:t>ESSAY 2</w:t>
      </w:r>
    </w:p>
    <w:p w14:paraId="3172328D" w14:textId="29D459A9" w:rsidR="00256A16" w:rsidRDefault="00256A16" w:rsidP="009A4706">
      <w:pPr>
        <w:spacing w:line="360" w:lineRule="auto"/>
        <w:rPr>
          <w:sz w:val="24"/>
          <w:szCs w:val="24"/>
        </w:rPr>
      </w:pPr>
    </w:p>
    <w:p w14:paraId="22FD986B" w14:textId="5CAB5E2B" w:rsidR="00256A16" w:rsidRPr="00E91A66" w:rsidRDefault="00256A16" w:rsidP="00256A16">
      <w:pPr>
        <w:spacing w:line="360" w:lineRule="auto"/>
        <w:jc w:val="both"/>
        <w:rPr>
          <w:b/>
          <w:bCs/>
          <w:sz w:val="24"/>
          <w:szCs w:val="24"/>
        </w:rPr>
      </w:pPr>
      <w:r w:rsidRPr="00E91A66">
        <w:rPr>
          <w:b/>
          <w:bCs/>
          <w:sz w:val="24"/>
          <w:szCs w:val="24"/>
        </w:rPr>
        <w:t>Introductio</w:t>
      </w:r>
      <w:r w:rsidR="005742EC">
        <w:rPr>
          <w:b/>
          <w:bCs/>
          <w:sz w:val="24"/>
          <w:szCs w:val="24"/>
        </w:rPr>
        <w:t>n</w:t>
      </w:r>
    </w:p>
    <w:p w14:paraId="75CCF3AB" w14:textId="77777777" w:rsidR="00256A16" w:rsidRDefault="00256A16" w:rsidP="00256A16">
      <w:pPr>
        <w:spacing w:line="360" w:lineRule="auto"/>
        <w:jc w:val="both"/>
        <w:rPr>
          <w:sz w:val="24"/>
          <w:szCs w:val="24"/>
        </w:rPr>
      </w:pPr>
      <w:r>
        <w:rPr>
          <w:sz w:val="24"/>
          <w:szCs w:val="24"/>
        </w:rPr>
        <w:t>UK Police operate with the consent of the public which leads into the concept of Police legitimacy - the perception and judgements the public form of the rightfulness of police conduct. For police to operate effectively it is desirably to gain public trust and foster an obligation to obey the police (</w:t>
      </w:r>
      <w:r w:rsidRPr="009A2249">
        <w:rPr>
          <w:sz w:val="24"/>
          <w:szCs w:val="24"/>
        </w:rPr>
        <w:t>Worden &amp; McLean 2017</w:t>
      </w:r>
      <w:r>
        <w:rPr>
          <w:sz w:val="24"/>
          <w:szCs w:val="24"/>
        </w:rPr>
        <w:t>). The impact of public perception on policing is a crucial consideration for law makers, police authorities, and practitioners such as response officers. Response officers are in direct contact with the public daily. This article will discuss and evaluate the impacts of public perception on response policing with consideration to some of the drivers affecting public perception including officer general conduct, use of force, technology, and the media.</w:t>
      </w:r>
    </w:p>
    <w:p w14:paraId="52ACED2B" w14:textId="77777777" w:rsidR="00256A16" w:rsidRPr="007A7A32" w:rsidRDefault="00256A16" w:rsidP="00256A16">
      <w:pPr>
        <w:spacing w:line="360" w:lineRule="auto"/>
        <w:jc w:val="both"/>
        <w:rPr>
          <w:sz w:val="24"/>
          <w:szCs w:val="24"/>
        </w:rPr>
      </w:pPr>
    </w:p>
    <w:p w14:paraId="4F1362D0" w14:textId="77777777" w:rsidR="00256A16" w:rsidRPr="00E91A66" w:rsidRDefault="00256A16" w:rsidP="00256A16">
      <w:pPr>
        <w:spacing w:line="360" w:lineRule="auto"/>
        <w:jc w:val="both"/>
        <w:rPr>
          <w:b/>
          <w:bCs/>
          <w:sz w:val="24"/>
          <w:szCs w:val="24"/>
        </w:rPr>
      </w:pPr>
      <w:r>
        <w:rPr>
          <w:b/>
          <w:bCs/>
          <w:sz w:val="24"/>
          <w:szCs w:val="24"/>
        </w:rPr>
        <w:t>Officer conduct</w:t>
      </w:r>
    </w:p>
    <w:p w14:paraId="35C29763" w14:textId="77777777" w:rsidR="00256A16" w:rsidRDefault="00256A16" w:rsidP="00256A16">
      <w:pPr>
        <w:spacing w:line="360" w:lineRule="auto"/>
        <w:jc w:val="both"/>
        <w:rPr>
          <w:sz w:val="24"/>
          <w:szCs w:val="24"/>
        </w:rPr>
      </w:pPr>
      <w:proofErr w:type="spellStart"/>
      <w:r w:rsidRPr="009A2249">
        <w:rPr>
          <w:sz w:val="24"/>
          <w:szCs w:val="24"/>
        </w:rPr>
        <w:t>Skogan</w:t>
      </w:r>
      <w:proofErr w:type="spellEnd"/>
      <w:r w:rsidRPr="009A2249">
        <w:rPr>
          <w:sz w:val="24"/>
          <w:szCs w:val="24"/>
        </w:rPr>
        <w:t xml:space="preserve"> (2006)</w:t>
      </w:r>
      <w:r>
        <w:rPr>
          <w:sz w:val="24"/>
          <w:szCs w:val="24"/>
        </w:rPr>
        <w:t xml:space="preserve"> studied the impact of positive and negative personal experiences of citizens with direct contact with police officers. Negative experiences include a perception that officers were unfair, inattentive, impolite, displayed inappropriate behaviour, and unwilling to explain their actions. Their findings suggest the impact that a poor experience was up to fourteen times greater than the impact of a positive experience. This effect is referred to as a negative bias – i.e., negative events are of higher impact; negative signals given more attention, and poor experiences are learned more quickly. </w:t>
      </w:r>
      <w:proofErr w:type="spellStart"/>
      <w:r>
        <w:rPr>
          <w:sz w:val="24"/>
          <w:szCs w:val="24"/>
        </w:rPr>
        <w:t>Skogan</w:t>
      </w:r>
      <w:proofErr w:type="spellEnd"/>
      <w:r>
        <w:rPr>
          <w:sz w:val="24"/>
          <w:szCs w:val="24"/>
        </w:rPr>
        <w:t xml:space="preserve"> (2006) succinctly notes “</w:t>
      </w:r>
      <w:r w:rsidRPr="000A5FAC">
        <w:rPr>
          <w:i/>
          <w:iCs/>
          <w:sz w:val="24"/>
          <w:szCs w:val="24"/>
        </w:rPr>
        <w:t>At its worst, the police may get essentially no credit for delivering professional service, while bad experiences can deeply influence peoples’ views of their performance and even legitimacy</w:t>
      </w:r>
      <w:r>
        <w:rPr>
          <w:sz w:val="24"/>
          <w:szCs w:val="24"/>
        </w:rPr>
        <w:t>”.</w:t>
      </w:r>
    </w:p>
    <w:p w14:paraId="053671EE" w14:textId="77777777" w:rsidR="00256A16" w:rsidRDefault="00256A16" w:rsidP="00256A16">
      <w:pPr>
        <w:spacing w:line="360" w:lineRule="auto"/>
        <w:jc w:val="both"/>
        <w:rPr>
          <w:sz w:val="24"/>
          <w:szCs w:val="24"/>
        </w:rPr>
      </w:pPr>
    </w:p>
    <w:p w14:paraId="14BD7D72" w14:textId="070755B1" w:rsidR="00256A16" w:rsidRDefault="00256A16" w:rsidP="00256A16">
      <w:pPr>
        <w:spacing w:line="360" w:lineRule="auto"/>
        <w:jc w:val="both"/>
        <w:rPr>
          <w:sz w:val="24"/>
          <w:szCs w:val="24"/>
        </w:rPr>
      </w:pPr>
      <w:r>
        <w:rPr>
          <w:sz w:val="24"/>
          <w:szCs w:val="24"/>
        </w:rPr>
        <w:t xml:space="preserve">While negative bias is well documented </w:t>
      </w:r>
      <w:r w:rsidRPr="009A2249">
        <w:rPr>
          <w:sz w:val="24"/>
          <w:szCs w:val="24"/>
        </w:rPr>
        <w:t>(Li et al 2016) extensive empirical evidence suggests that</w:t>
      </w:r>
      <w:r>
        <w:rPr>
          <w:sz w:val="24"/>
          <w:szCs w:val="24"/>
        </w:rPr>
        <w:t xml:space="preserve"> </w:t>
      </w:r>
      <w:r w:rsidRPr="009A2249">
        <w:rPr>
          <w:sz w:val="24"/>
          <w:szCs w:val="24"/>
        </w:rPr>
        <w:t>the impact of positive nonenforcement contact from even a single event with a uniformed officer can notably improve public attitudes toward police</w:t>
      </w:r>
      <w:r>
        <w:rPr>
          <w:sz w:val="24"/>
          <w:szCs w:val="24"/>
        </w:rPr>
        <w:t xml:space="preserve"> </w:t>
      </w:r>
      <w:r w:rsidRPr="009A2249">
        <w:rPr>
          <w:sz w:val="24"/>
          <w:szCs w:val="24"/>
        </w:rPr>
        <w:t>(Peyton et al 2019</w:t>
      </w:r>
      <w:r>
        <w:rPr>
          <w:sz w:val="24"/>
          <w:szCs w:val="24"/>
        </w:rPr>
        <w:t>)</w:t>
      </w:r>
      <w:r w:rsidRPr="009A2249">
        <w:rPr>
          <w:sz w:val="24"/>
          <w:szCs w:val="24"/>
        </w:rPr>
        <w:t>. This positive public perception can assist officers in their duties. F</w:t>
      </w:r>
      <w:r>
        <w:rPr>
          <w:sz w:val="24"/>
          <w:szCs w:val="24"/>
        </w:rPr>
        <w:t>or example</w:t>
      </w:r>
      <w:r w:rsidRPr="009A2249">
        <w:rPr>
          <w:sz w:val="24"/>
          <w:szCs w:val="24"/>
        </w:rPr>
        <w:t xml:space="preserve">, positive public perception can lead to desirable outcomes such as compliance with the law, increased </w:t>
      </w:r>
      <w:r w:rsidRPr="009A2249">
        <w:rPr>
          <w:sz w:val="24"/>
          <w:szCs w:val="24"/>
        </w:rPr>
        <w:lastRenderedPageBreak/>
        <w:t>likelihood to volunteer information, co-operation, accepting police directions and decisions in encounters (</w:t>
      </w:r>
      <w:proofErr w:type="spellStart"/>
      <w:r w:rsidRPr="009A2249">
        <w:rPr>
          <w:sz w:val="24"/>
          <w:szCs w:val="24"/>
        </w:rPr>
        <w:t>Takenebe</w:t>
      </w:r>
      <w:proofErr w:type="spellEnd"/>
      <w:r w:rsidRPr="009A2249">
        <w:rPr>
          <w:sz w:val="24"/>
          <w:szCs w:val="24"/>
        </w:rPr>
        <w:t xml:space="preserve"> 2013; Worden &amp; McLean 2017).</w:t>
      </w:r>
      <w:r>
        <w:rPr>
          <w:sz w:val="24"/>
          <w:szCs w:val="24"/>
        </w:rPr>
        <w:t xml:space="preserve"> Positive police perception therefore reinforces the concept of police </w:t>
      </w:r>
      <w:r w:rsidRPr="009A2249">
        <w:rPr>
          <w:sz w:val="24"/>
          <w:szCs w:val="24"/>
        </w:rPr>
        <w:t>legitimacy</w:t>
      </w:r>
      <w:r>
        <w:rPr>
          <w:sz w:val="24"/>
          <w:szCs w:val="24"/>
        </w:rPr>
        <w:t>.</w:t>
      </w:r>
    </w:p>
    <w:p w14:paraId="3F6F2438" w14:textId="77777777" w:rsidR="00256A16" w:rsidRDefault="00256A16" w:rsidP="00256A16">
      <w:pPr>
        <w:spacing w:line="360" w:lineRule="auto"/>
        <w:jc w:val="both"/>
        <w:rPr>
          <w:sz w:val="24"/>
          <w:szCs w:val="24"/>
        </w:rPr>
      </w:pPr>
    </w:p>
    <w:p w14:paraId="44824AEA" w14:textId="77777777" w:rsidR="00256A16" w:rsidRDefault="00256A16" w:rsidP="00256A16">
      <w:pPr>
        <w:spacing w:line="360" w:lineRule="auto"/>
        <w:jc w:val="both"/>
        <w:rPr>
          <w:b/>
          <w:bCs/>
          <w:sz w:val="24"/>
          <w:szCs w:val="24"/>
        </w:rPr>
      </w:pPr>
      <w:r>
        <w:rPr>
          <w:b/>
          <w:bCs/>
          <w:sz w:val="24"/>
          <w:szCs w:val="24"/>
        </w:rPr>
        <w:t>Officer Use-of-Force</w:t>
      </w:r>
    </w:p>
    <w:p w14:paraId="5580DE4E" w14:textId="77777777" w:rsidR="00256A16" w:rsidRDefault="00256A16" w:rsidP="00256A16">
      <w:pPr>
        <w:spacing w:line="360" w:lineRule="auto"/>
        <w:jc w:val="both"/>
        <w:rPr>
          <w:sz w:val="24"/>
          <w:szCs w:val="24"/>
        </w:rPr>
      </w:pPr>
      <w:r>
        <w:rPr>
          <w:sz w:val="24"/>
          <w:szCs w:val="24"/>
        </w:rPr>
        <w:t xml:space="preserve">In the course of their duties, Officers are often required to effect an arrest, detain a subject, prevent injury, or maintain public order. To do so a level of force may be required and is protected in various pieces of UK </w:t>
      </w:r>
      <w:r w:rsidRPr="009A2249">
        <w:rPr>
          <w:sz w:val="24"/>
          <w:szCs w:val="24"/>
        </w:rPr>
        <w:t xml:space="preserve">law (Common Law, Criminal Law Act 1967, PACE 1984). The use of force should be necessary, reasonable, and proportionate to the circumstances – otherwise it may be deemed excessive and unlawful (CoP 2013). A significant body of research has been conducted into the public perception following police use-of-force (Moule 2020, </w:t>
      </w:r>
      <w:proofErr w:type="spellStart"/>
      <w:r w:rsidRPr="009A2249">
        <w:rPr>
          <w:sz w:val="24"/>
          <w:szCs w:val="24"/>
        </w:rPr>
        <w:t>Socia</w:t>
      </w:r>
      <w:proofErr w:type="spellEnd"/>
      <w:r w:rsidRPr="009A2249">
        <w:rPr>
          <w:sz w:val="24"/>
          <w:szCs w:val="24"/>
        </w:rPr>
        <w:t xml:space="preserve"> et al 2021, Perez et al 2021). Research has shown that when police are perceived by the public as unfair, this affects public trust and confidence (</w:t>
      </w:r>
      <w:proofErr w:type="spellStart"/>
      <w:r w:rsidRPr="009A2249">
        <w:rPr>
          <w:sz w:val="24"/>
          <w:szCs w:val="24"/>
        </w:rPr>
        <w:t>Staubli</w:t>
      </w:r>
      <w:proofErr w:type="spellEnd"/>
      <w:r w:rsidRPr="009A2249">
        <w:rPr>
          <w:sz w:val="24"/>
          <w:szCs w:val="24"/>
        </w:rPr>
        <w:t xml:space="preserve"> 2017). </w:t>
      </w:r>
      <w:proofErr w:type="spellStart"/>
      <w:r w:rsidRPr="009A2249">
        <w:rPr>
          <w:sz w:val="24"/>
          <w:szCs w:val="24"/>
        </w:rPr>
        <w:t>Socia</w:t>
      </w:r>
      <w:proofErr w:type="spellEnd"/>
      <w:r w:rsidRPr="009A2249">
        <w:rPr>
          <w:sz w:val="24"/>
          <w:szCs w:val="24"/>
        </w:rPr>
        <w:t xml:space="preserve"> et al (2021) found that negative public perception has further adverse impacts to policing including difficulty engaging with the community and unwillingness to follow directions.</w:t>
      </w:r>
    </w:p>
    <w:p w14:paraId="4BDD345F" w14:textId="77777777" w:rsidR="00256A16" w:rsidRPr="009A2249" w:rsidRDefault="00256A16" w:rsidP="00256A16">
      <w:pPr>
        <w:spacing w:line="360" w:lineRule="auto"/>
        <w:jc w:val="both"/>
        <w:rPr>
          <w:sz w:val="24"/>
          <w:szCs w:val="24"/>
        </w:rPr>
      </w:pPr>
    </w:p>
    <w:p w14:paraId="002EF8C8" w14:textId="77777777" w:rsidR="00256A16" w:rsidRDefault="00256A16" w:rsidP="00256A16">
      <w:pPr>
        <w:spacing w:line="360" w:lineRule="auto"/>
        <w:jc w:val="both"/>
        <w:rPr>
          <w:sz w:val="24"/>
          <w:szCs w:val="24"/>
        </w:rPr>
      </w:pPr>
      <w:proofErr w:type="spellStart"/>
      <w:r w:rsidRPr="009A2249">
        <w:rPr>
          <w:sz w:val="24"/>
          <w:szCs w:val="24"/>
        </w:rPr>
        <w:t>Mourtgos</w:t>
      </w:r>
      <w:proofErr w:type="spellEnd"/>
      <w:r w:rsidRPr="009A2249">
        <w:rPr>
          <w:sz w:val="24"/>
          <w:szCs w:val="24"/>
        </w:rPr>
        <w:t xml:space="preserve"> and Adam’s (2020) explored the gap between public perception and reasonable justifiable use-f-force. They found a substantial portion of American public surveyed, disapprove of police use-of-force even in circumstances where such actions would be legally reasonably, proportionate, and justifiable. Perceptions of police use-of-force are subjective and this divergent public perception of use-of-force places officers in unenviable situations where using legally justifiable actions may negatively impact public perception, police legitimacy and community sense of procedural justice.  Officers responding to incidents </w:t>
      </w:r>
      <w:proofErr w:type="gramStart"/>
      <w:r w:rsidRPr="009A2249">
        <w:rPr>
          <w:sz w:val="24"/>
          <w:szCs w:val="24"/>
        </w:rPr>
        <w:t>have to</w:t>
      </w:r>
      <w:proofErr w:type="gramEnd"/>
      <w:r w:rsidRPr="009A2249">
        <w:rPr>
          <w:sz w:val="24"/>
          <w:szCs w:val="24"/>
        </w:rPr>
        <w:t xml:space="preserve"> balance public safety while maintaining support of the public which can often be in conflict (</w:t>
      </w:r>
      <w:proofErr w:type="spellStart"/>
      <w:r w:rsidRPr="009A2249">
        <w:rPr>
          <w:sz w:val="24"/>
          <w:szCs w:val="24"/>
        </w:rPr>
        <w:t>Bragias</w:t>
      </w:r>
      <w:proofErr w:type="spellEnd"/>
      <w:r w:rsidRPr="009A2249">
        <w:rPr>
          <w:sz w:val="24"/>
          <w:szCs w:val="24"/>
        </w:rPr>
        <w:t xml:space="preserve"> et al (2021).</w:t>
      </w:r>
      <w:r>
        <w:rPr>
          <w:sz w:val="24"/>
          <w:szCs w:val="24"/>
        </w:rPr>
        <w:t xml:space="preserve"> </w:t>
      </w:r>
    </w:p>
    <w:p w14:paraId="250AC316" w14:textId="77777777" w:rsidR="00256A16" w:rsidRDefault="00256A16" w:rsidP="00256A16">
      <w:pPr>
        <w:spacing w:line="360" w:lineRule="auto"/>
        <w:jc w:val="both"/>
        <w:rPr>
          <w:b/>
          <w:bCs/>
          <w:sz w:val="24"/>
          <w:szCs w:val="24"/>
        </w:rPr>
      </w:pPr>
    </w:p>
    <w:p w14:paraId="28EADFD6" w14:textId="77777777" w:rsidR="00256A16" w:rsidRDefault="00256A16" w:rsidP="00256A16">
      <w:pPr>
        <w:spacing w:line="360" w:lineRule="auto"/>
        <w:jc w:val="both"/>
        <w:rPr>
          <w:b/>
          <w:bCs/>
          <w:sz w:val="24"/>
          <w:szCs w:val="24"/>
        </w:rPr>
      </w:pPr>
      <w:r>
        <w:rPr>
          <w:b/>
          <w:bCs/>
          <w:sz w:val="24"/>
          <w:szCs w:val="24"/>
        </w:rPr>
        <w:t>Utilization of Body Worn Video</w:t>
      </w:r>
    </w:p>
    <w:p w14:paraId="5599E97C" w14:textId="77777777" w:rsidR="00256A16" w:rsidRPr="009A2249" w:rsidRDefault="00256A16" w:rsidP="00256A16">
      <w:pPr>
        <w:spacing w:line="360" w:lineRule="auto"/>
        <w:jc w:val="both"/>
        <w:rPr>
          <w:sz w:val="24"/>
          <w:szCs w:val="24"/>
        </w:rPr>
      </w:pPr>
      <w:r>
        <w:rPr>
          <w:sz w:val="24"/>
          <w:szCs w:val="24"/>
        </w:rPr>
        <w:t xml:space="preserve">As technology evolves, new opportunities are created for police organisations to adopt technology where a benefit is </w:t>
      </w:r>
      <w:r w:rsidRPr="009A2249">
        <w:rPr>
          <w:sz w:val="24"/>
          <w:szCs w:val="24"/>
        </w:rPr>
        <w:t xml:space="preserve">believed. In 2017, South Wales Police began the widespread </w:t>
      </w:r>
      <w:r w:rsidRPr="009A2249">
        <w:rPr>
          <w:sz w:val="24"/>
          <w:szCs w:val="24"/>
        </w:rPr>
        <w:lastRenderedPageBreak/>
        <w:t>rollout of Body worn video (BWV) to all frontline officers (BBC News 2017). BWV provide many benefits such as capturing audio, visual evidence and may assist in reducing complaints (Ariel et al 2015, 2016). BWV has been proposed to as tool that may help enhance public perceptions of police and police legitimacy (</w:t>
      </w:r>
      <w:proofErr w:type="spellStart"/>
      <w:r w:rsidRPr="009A2249">
        <w:rPr>
          <w:sz w:val="24"/>
          <w:szCs w:val="24"/>
        </w:rPr>
        <w:t>Saulneir</w:t>
      </w:r>
      <w:proofErr w:type="spellEnd"/>
      <w:r w:rsidRPr="009A2249">
        <w:rPr>
          <w:sz w:val="24"/>
          <w:szCs w:val="24"/>
        </w:rPr>
        <w:t xml:space="preserve"> et al 2020). While adoption of the technology across UK police force is relatively new, there is a growing body of</w:t>
      </w:r>
      <w:r>
        <w:rPr>
          <w:sz w:val="24"/>
          <w:szCs w:val="24"/>
        </w:rPr>
        <w:t xml:space="preserve"> research that support the theory that BWV is widely accepted by the public and significantly enhance perceptions of </w:t>
      </w:r>
      <w:r w:rsidRPr="009A2249">
        <w:rPr>
          <w:sz w:val="24"/>
          <w:szCs w:val="24"/>
        </w:rPr>
        <w:t>procedural justice (Clare et al 2019, Demir 2021, Ariel 2015). Demir (2021) suggests public approval for officer use of BWV draws from ‘self-awareness theory’ – people behave well when they are being watched; and ‘deterrence theory’ – being aware of negative consequences leads people to abide by the law. It has also been proposed that BWV awareness provides public reassurance that the officer will conduct themselves professionally as their actions are recorded and accountable (Clare et al 2019). If these findings are consistent this has a favourable impact of improving public perception of response policing by</w:t>
      </w:r>
      <w:r>
        <w:rPr>
          <w:sz w:val="24"/>
          <w:szCs w:val="24"/>
        </w:rPr>
        <w:t xml:space="preserve"> </w:t>
      </w:r>
      <w:r w:rsidRPr="009A2249">
        <w:rPr>
          <w:sz w:val="24"/>
          <w:szCs w:val="24"/>
        </w:rPr>
        <w:t>way of increasing the likelihood of positive encounters.</w:t>
      </w:r>
    </w:p>
    <w:p w14:paraId="0C9F2499" w14:textId="77777777" w:rsidR="00256A16" w:rsidRPr="009A2249" w:rsidRDefault="00256A16" w:rsidP="00256A16">
      <w:pPr>
        <w:spacing w:line="360" w:lineRule="auto"/>
        <w:jc w:val="both"/>
        <w:rPr>
          <w:sz w:val="24"/>
          <w:szCs w:val="24"/>
        </w:rPr>
      </w:pPr>
    </w:p>
    <w:p w14:paraId="504BC04C" w14:textId="77777777" w:rsidR="00256A16" w:rsidRPr="009A2249" w:rsidRDefault="00256A16" w:rsidP="00256A16">
      <w:pPr>
        <w:spacing w:line="360" w:lineRule="auto"/>
        <w:jc w:val="both"/>
        <w:rPr>
          <w:b/>
          <w:bCs/>
          <w:sz w:val="24"/>
          <w:szCs w:val="24"/>
        </w:rPr>
      </w:pPr>
      <w:r w:rsidRPr="009A2249">
        <w:rPr>
          <w:b/>
          <w:bCs/>
          <w:sz w:val="24"/>
          <w:szCs w:val="24"/>
        </w:rPr>
        <w:t>Social Media</w:t>
      </w:r>
    </w:p>
    <w:p w14:paraId="051CFEBA" w14:textId="77777777" w:rsidR="00256A16" w:rsidRDefault="00256A16" w:rsidP="00256A16">
      <w:pPr>
        <w:spacing w:line="360" w:lineRule="auto"/>
        <w:jc w:val="both"/>
        <w:rPr>
          <w:sz w:val="24"/>
          <w:szCs w:val="24"/>
        </w:rPr>
      </w:pPr>
      <w:r w:rsidRPr="009A2249">
        <w:rPr>
          <w:sz w:val="24"/>
          <w:szCs w:val="24"/>
        </w:rPr>
        <w:t>Media coverage of criminal justice and crime eclipses all other topics and may shape beliefs about law enforcement (Callahan 2011).  Any encounter with officers can be recorded on mobile phones and shared to various social media platforms and viewed by millions of people worldwide. This has significant implications for officers’ conduct when dealing with members of the public. Callahan (2011) attributes public interest in police activities to ‘news-worthiness’ as it has the capacity to encompass sensationalism, drama, and emotion. A single recorded instance now has the potential to negatively impact police legitimacy on a much larger scale. Research has shown that it is harder for police to engage with the community where negative perceptions of the police exist (</w:t>
      </w:r>
      <w:proofErr w:type="spellStart"/>
      <w:r w:rsidRPr="009A2249">
        <w:rPr>
          <w:sz w:val="24"/>
          <w:szCs w:val="24"/>
        </w:rPr>
        <w:t>Socia</w:t>
      </w:r>
      <w:proofErr w:type="spellEnd"/>
      <w:r w:rsidRPr="009A2249">
        <w:rPr>
          <w:sz w:val="24"/>
          <w:szCs w:val="24"/>
        </w:rPr>
        <w:t xml:space="preserve"> et al 2021).</w:t>
      </w:r>
    </w:p>
    <w:p w14:paraId="4464D440" w14:textId="77777777" w:rsidR="00256A16" w:rsidRPr="00436116" w:rsidRDefault="00256A16" w:rsidP="00256A16">
      <w:pPr>
        <w:spacing w:line="360" w:lineRule="auto"/>
        <w:jc w:val="both"/>
        <w:rPr>
          <w:sz w:val="24"/>
          <w:szCs w:val="24"/>
        </w:rPr>
      </w:pPr>
    </w:p>
    <w:p w14:paraId="6B2F7B4E" w14:textId="77777777" w:rsidR="00256A16" w:rsidRPr="007A7A32" w:rsidRDefault="00256A16" w:rsidP="00256A16">
      <w:pPr>
        <w:spacing w:line="360" w:lineRule="auto"/>
        <w:jc w:val="both"/>
        <w:rPr>
          <w:b/>
          <w:bCs/>
          <w:sz w:val="24"/>
          <w:szCs w:val="24"/>
        </w:rPr>
      </w:pPr>
      <w:r w:rsidRPr="00E91A66">
        <w:rPr>
          <w:b/>
          <w:bCs/>
          <w:sz w:val="24"/>
          <w:szCs w:val="24"/>
        </w:rPr>
        <w:t>Conclusion</w:t>
      </w:r>
    </w:p>
    <w:p w14:paraId="1786CBEF" w14:textId="4EF69C58" w:rsidR="00256A16" w:rsidRDefault="00256A16" w:rsidP="00256A16">
      <w:pPr>
        <w:spacing w:line="360" w:lineRule="auto"/>
        <w:jc w:val="both"/>
        <w:rPr>
          <w:sz w:val="24"/>
          <w:szCs w:val="24"/>
        </w:rPr>
      </w:pPr>
      <w:r>
        <w:rPr>
          <w:sz w:val="24"/>
          <w:szCs w:val="24"/>
        </w:rPr>
        <w:t xml:space="preserve">In an era where police actions can be easily recorded, shared online, and scrutinized, officers’ actions have the potential to have far reaching implications on public perception and </w:t>
      </w:r>
      <w:r>
        <w:rPr>
          <w:sz w:val="24"/>
          <w:szCs w:val="24"/>
        </w:rPr>
        <w:lastRenderedPageBreak/>
        <w:t xml:space="preserve">legitimacy. </w:t>
      </w:r>
      <w:r w:rsidRPr="009A2249">
        <w:rPr>
          <w:sz w:val="24"/>
          <w:szCs w:val="24"/>
        </w:rPr>
        <w:t>The impact of public perception has direct implications for the effectiveness of response policing</w:t>
      </w:r>
      <w:r>
        <w:rPr>
          <w:sz w:val="24"/>
          <w:szCs w:val="24"/>
        </w:rPr>
        <w:t xml:space="preserve">. Negative public perception can make an </w:t>
      </w:r>
      <w:proofErr w:type="gramStart"/>
      <w:r>
        <w:rPr>
          <w:sz w:val="24"/>
          <w:szCs w:val="24"/>
        </w:rPr>
        <w:t>officers</w:t>
      </w:r>
      <w:proofErr w:type="gramEnd"/>
      <w:r>
        <w:rPr>
          <w:sz w:val="24"/>
          <w:szCs w:val="24"/>
        </w:rPr>
        <w:t xml:space="preserve"> job more difficult by poor community relations resulting in lack of trust, engagement, and co-operation. This may lead to a risk to public safety and ineffective investigations. Conversely positive public perceptions can counter these negative impacts and provide further valued benefits including willingness to obey the law, follow police directions, and assist investigations. </w:t>
      </w:r>
      <w:r w:rsidRPr="000A5FAC">
        <w:rPr>
          <w:sz w:val="24"/>
          <w:szCs w:val="24"/>
        </w:rPr>
        <w:t xml:space="preserve">The literature provides </w:t>
      </w:r>
      <w:r>
        <w:rPr>
          <w:sz w:val="24"/>
          <w:szCs w:val="24"/>
        </w:rPr>
        <w:t>guidance</w:t>
      </w:r>
      <w:r w:rsidRPr="000A5FAC">
        <w:rPr>
          <w:sz w:val="24"/>
          <w:szCs w:val="24"/>
        </w:rPr>
        <w:t xml:space="preserve"> for how response officers conduct themselves </w:t>
      </w:r>
      <w:r>
        <w:rPr>
          <w:sz w:val="24"/>
          <w:szCs w:val="24"/>
        </w:rPr>
        <w:t xml:space="preserve">with the </w:t>
      </w:r>
      <w:r w:rsidRPr="000A5FAC">
        <w:rPr>
          <w:sz w:val="24"/>
          <w:szCs w:val="24"/>
        </w:rPr>
        <w:t>publi</w:t>
      </w:r>
      <w:r>
        <w:rPr>
          <w:sz w:val="24"/>
          <w:szCs w:val="24"/>
        </w:rPr>
        <w:t>c and the impacts of public perception of response policing. Further research is required to gain greater insight of effects of officer behaviours and actions are most relevant to the public as they form their opinions and perceptions of response policing.</w:t>
      </w:r>
    </w:p>
    <w:p w14:paraId="294A5DC0" w14:textId="77777777" w:rsidR="00256A16" w:rsidRPr="000A5FAC" w:rsidRDefault="00256A16" w:rsidP="00256A16">
      <w:pPr>
        <w:spacing w:line="360" w:lineRule="auto"/>
        <w:jc w:val="both"/>
        <w:rPr>
          <w:sz w:val="24"/>
          <w:szCs w:val="24"/>
        </w:rPr>
      </w:pPr>
    </w:p>
    <w:p w14:paraId="24FB64FF" w14:textId="77777777" w:rsidR="00256A16" w:rsidRPr="00E91A66" w:rsidRDefault="00256A16" w:rsidP="00256A16">
      <w:pPr>
        <w:spacing w:line="360" w:lineRule="auto"/>
        <w:rPr>
          <w:sz w:val="24"/>
          <w:szCs w:val="24"/>
        </w:rPr>
      </w:pPr>
      <w:r w:rsidRPr="00E91A66">
        <w:rPr>
          <w:sz w:val="24"/>
          <w:szCs w:val="24"/>
        </w:rPr>
        <w:t>Word Count:</w:t>
      </w:r>
      <w:r>
        <w:rPr>
          <w:sz w:val="24"/>
          <w:szCs w:val="24"/>
        </w:rPr>
        <w:t xml:space="preserve"> 1096.</w:t>
      </w:r>
    </w:p>
    <w:p w14:paraId="5B5E40BC" w14:textId="77777777" w:rsidR="00256A16" w:rsidRPr="00E91A66" w:rsidRDefault="00256A16" w:rsidP="00256A16">
      <w:pPr>
        <w:spacing w:line="360" w:lineRule="auto"/>
        <w:rPr>
          <w:sz w:val="24"/>
          <w:szCs w:val="24"/>
        </w:rPr>
      </w:pPr>
    </w:p>
    <w:p w14:paraId="49E64BAE" w14:textId="77777777" w:rsidR="00256A16" w:rsidRPr="00BD16C8" w:rsidRDefault="00256A16" w:rsidP="00256A16">
      <w:pPr>
        <w:spacing w:line="360" w:lineRule="auto"/>
        <w:rPr>
          <w:b/>
          <w:bCs/>
          <w:sz w:val="24"/>
          <w:szCs w:val="24"/>
        </w:rPr>
      </w:pPr>
      <w:r w:rsidRPr="00E91A66">
        <w:rPr>
          <w:b/>
          <w:bCs/>
          <w:sz w:val="24"/>
          <w:szCs w:val="24"/>
        </w:rPr>
        <w:t>Bibliography</w:t>
      </w:r>
    </w:p>
    <w:p w14:paraId="22F234D2"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Ariel, B. (2016) ‘Increasing Cooperation </w:t>
      </w:r>
      <w:proofErr w:type="gramStart"/>
      <w:r w:rsidRPr="00BD16C8">
        <w:rPr>
          <w:rFonts w:asciiTheme="minorHAnsi" w:hAnsiTheme="minorHAnsi" w:cstheme="minorHAnsi"/>
        </w:rPr>
        <w:t>With</w:t>
      </w:r>
      <w:proofErr w:type="gramEnd"/>
      <w:r w:rsidRPr="00BD16C8">
        <w:rPr>
          <w:rFonts w:asciiTheme="minorHAnsi" w:hAnsiTheme="minorHAnsi" w:cstheme="minorHAnsi"/>
        </w:rPr>
        <w:t xml:space="preserve"> the Police Using Body Worn Cameras’, Police quarterly, 19(3), pp. 326–362. Available at:</w:t>
      </w:r>
      <w:r>
        <w:rPr>
          <w:rFonts w:asciiTheme="minorHAnsi" w:hAnsiTheme="minorHAnsi" w:cstheme="minorHAnsi"/>
        </w:rPr>
        <w:t xml:space="preserve"> </w:t>
      </w:r>
      <w:hyperlink r:id="rId30" w:history="1">
        <w:r w:rsidRPr="00BD16C8">
          <w:rPr>
            <w:rStyle w:val="Hyperlink"/>
            <w:rFonts w:asciiTheme="minorHAnsi" w:hAnsiTheme="minorHAnsi" w:cstheme="minorHAnsi"/>
          </w:rPr>
          <w:t>https://doi.org/10.1177/1098611116653723</w:t>
        </w:r>
      </w:hyperlink>
      <w:r w:rsidRPr="00BD16C8">
        <w:rPr>
          <w:rFonts w:asciiTheme="minorHAnsi" w:hAnsiTheme="minorHAnsi" w:cstheme="minorHAnsi"/>
        </w:rPr>
        <w:t>.</w:t>
      </w:r>
    </w:p>
    <w:p w14:paraId="40E11143"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1560214B" w14:textId="77777777" w:rsidR="00256A16"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Ariel, B., Farrar, W.A. and Sutherland, A. (2015) ‘The Effect of Police Body-Worn Cameras on Use of Force and Citizens’ Complaints Against the Police: A Randomized Controlled Trial’, Journal of quantitative criminology, 31(3), pp. 509–535. Available at: </w:t>
      </w:r>
      <w:hyperlink r:id="rId31" w:history="1">
        <w:r w:rsidRPr="00927F8D">
          <w:rPr>
            <w:rStyle w:val="Hyperlink"/>
            <w:rFonts w:asciiTheme="minorHAnsi" w:hAnsiTheme="minorHAnsi" w:cstheme="minorHAnsi"/>
          </w:rPr>
          <w:t>https://doi.org/10.1007/s10940-014-9236-3</w:t>
        </w:r>
      </w:hyperlink>
      <w:r w:rsidRPr="00BD16C8">
        <w:rPr>
          <w:rFonts w:asciiTheme="minorHAnsi" w:hAnsiTheme="minorHAnsi" w:cstheme="minorHAnsi"/>
        </w:rPr>
        <w:t>.</w:t>
      </w:r>
    </w:p>
    <w:p w14:paraId="23E9E794"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5F65EE7B" w14:textId="77777777" w:rsidR="00256A16" w:rsidRPr="00BD16C8" w:rsidRDefault="00256A16" w:rsidP="00256A16">
      <w:pPr>
        <w:pStyle w:val="NormalWeb"/>
        <w:spacing w:before="0" w:beforeAutospacing="0" w:after="0" w:afterAutospacing="0"/>
        <w:rPr>
          <w:rFonts w:asciiTheme="minorHAnsi" w:hAnsiTheme="minorHAnsi" w:cstheme="minorHAnsi"/>
        </w:rPr>
      </w:pPr>
      <w:proofErr w:type="spellStart"/>
      <w:r w:rsidRPr="00BD16C8">
        <w:rPr>
          <w:rFonts w:asciiTheme="minorHAnsi" w:hAnsiTheme="minorHAnsi" w:cstheme="minorHAnsi"/>
        </w:rPr>
        <w:t>Bragias</w:t>
      </w:r>
      <w:proofErr w:type="spellEnd"/>
      <w:r w:rsidRPr="00BD16C8">
        <w:rPr>
          <w:rFonts w:asciiTheme="minorHAnsi" w:hAnsiTheme="minorHAnsi" w:cstheme="minorHAnsi"/>
        </w:rPr>
        <w:t xml:space="preserve">, A., Hine, K. and Fleet, R. (2021) ‘“Only in our best interest, right?” Public perceptions of police use of facial recognition technology’, Police practice &amp; research, 22(6), pp. 1637–1654. Available at: </w:t>
      </w:r>
      <w:hyperlink r:id="rId32" w:history="1">
        <w:r w:rsidRPr="00BD16C8">
          <w:rPr>
            <w:rStyle w:val="Hyperlink"/>
            <w:rFonts w:asciiTheme="minorHAnsi" w:hAnsiTheme="minorHAnsi" w:cstheme="minorHAnsi"/>
          </w:rPr>
          <w:t>https://doi.org/10.1080/15614263.2021.1942873</w:t>
        </w:r>
      </w:hyperlink>
      <w:r w:rsidRPr="00BD16C8">
        <w:rPr>
          <w:rFonts w:asciiTheme="minorHAnsi" w:hAnsiTheme="minorHAnsi" w:cstheme="minorHAnsi"/>
        </w:rPr>
        <w:t>.</w:t>
      </w:r>
    </w:p>
    <w:p w14:paraId="647ADD17"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5880B796"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Callanan, V.J. and Rosenberger, J.S. (2011) ‘Media and public perceptions of the police: examining the impact of race and personal experience’, Policing &amp; society, 21(2), pp. 167–189. Available at: </w:t>
      </w:r>
      <w:hyperlink r:id="rId33" w:history="1">
        <w:r w:rsidRPr="00BD16C8">
          <w:rPr>
            <w:rStyle w:val="Hyperlink"/>
            <w:rFonts w:asciiTheme="minorHAnsi" w:hAnsiTheme="minorHAnsi" w:cstheme="minorHAnsi"/>
          </w:rPr>
          <w:t>https://doi.org/10.1080/10439463.2010.540655</w:t>
        </w:r>
      </w:hyperlink>
      <w:r w:rsidRPr="00BD16C8">
        <w:rPr>
          <w:rFonts w:asciiTheme="minorHAnsi" w:hAnsiTheme="minorHAnsi" w:cstheme="minorHAnsi"/>
        </w:rPr>
        <w:t>.</w:t>
      </w:r>
    </w:p>
    <w:p w14:paraId="5D0FD579"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437D76F2"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Clare, J. et al. (2019) ‘Police, public, and arrestee perceptions of body-worn video: A single jurisdictional multiple-perspective analysis’, Criminal justice review (Atlanta, Ga.), 44(3), pp. 304–321.Available at: </w:t>
      </w:r>
      <w:hyperlink r:id="rId34" w:history="1">
        <w:r w:rsidRPr="00BD16C8">
          <w:rPr>
            <w:rStyle w:val="Hyperlink"/>
            <w:rFonts w:asciiTheme="minorHAnsi" w:hAnsiTheme="minorHAnsi" w:cstheme="minorHAnsi"/>
          </w:rPr>
          <w:t>https://doi.org/10.1177/0734016819846236</w:t>
        </w:r>
      </w:hyperlink>
      <w:r w:rsidRPr="00BD16C8">
        <w:rPr>
          <w:rFonts w:asciiTheme="minorHAnsi" w:hAnsiTheme="minorHAnsi" w:cstheme="minorHAnsi"/>
        </w:rPr>
        <w:t>.</w:t>
      </w:r>
    </w:p>
    <w:p w14:paraId="3F4902A6"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6EF760E2"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Criminal Law Act (1967).</w:t>
      </w:r>
      <w:r>
        <w:rPr>
          <w:rFonts w:asciiTheme="minorHAnsi" w:hAnsiTheme="minorHAnsi" w:cstheme="minorHAnsi"/>
        </w:rPr>
        <w:t xml:space="preserve"> c. 58.</w:t>
      </w:r>
      <w:r w:rsidRPr="00BD16C8">
        <w:rPr>
          <w:rFonts w:asciiTheme="minorHAnsi" w:hAnsiTheme="minorHAnsi" w:cstheme="minorHAnsi"/>
        </w:rPr>
        <w:t xml:space="preserve"> Legislation.gov.uk. Available </w:t>
      </w:r>
      <w:proofErr w:type="gramStart"/>
      <w:r w:rsidRPr="00BD16C8">
        <w:rPr>
          <w:rFonts w:asciiTheme="minorHAnsi" w:hAnsiTheme="minorHAnsi" w:cstheme="minorHAnsi"/>
        </w:rPr>
        <w:t>at;</w:t>
      </w:r>
      <w:proofErr w:type="gramEnd"/>
    </w:p>
    <w:p w14:paraId="234CC25A" w14:textId="77777777" w:rsidR="00256A16" w:rsidRPr="00BD16C8" w:rsidRDefault="00F9105A" w:rsidP="00256A16">
      <w:pPr>
        <w:pStyle w:val="NormalWeb"/>
        <w:spacing w:before="0" w:beforeAutospacing="0" w:after="0" w:afterAutospacing="0"/>
        <w:rPr>
          <w:rFonts w:asciiTheme="minorHAnsi" w:hAnsiTheme="minorHAnsi" w:cstheme="minorHAnsi"/>
        </w:rPr>
      </w:pPr>
      <w:hyperlink r:id="rId35" w:history="1">
        <w:r w:rsidR="00256A16" w:rsidRPr="00BD16C8">
          <w:rPr>
            <w:rStyle w:val="Hyperlink"/>
            <w:rFonts w:asciiTheme="minorHAnsi" w:hAnsiTheme="minorHAnsi" w:cstheme="minorHAnsi"/>
          </w:rPr>
          <w:t>Criminal Law Act 1967 (legislation.gov.uk)</w:t>
        </w:r>
      </w:hyperlink>
    </w:p>
    <w:p w14:paraId="52C8C119"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Accessed 24th November 2022</w:t>
      </w:r>
    </w:p>
    <w:p w14:paraId="7AA4C414"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lastRenderedPageBreak/>
        <w:t> </w:t>
      </w:r>
    </w:p>
    <w:p w14:paraId="1E0337F7"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Demir, M. (2021) ‘Effect of awareness and notification of body-worn cameras on procedural justice, police legitimacy, cooperation, and compliance: Findings from a randomized controlled trial’, Journal of experimental criminology [Preprint]. Available at: </w:t>
      </w:r>
      <w:hyperlink r:id="rId36" w:history="1">
        <w:r w:rsidRPr="00BD16C8">
          <w:rPr>
            <w:rStyle w:val="Hyperlink"/>
            <w:rFonts w:asciiTheme="minorHAnsi" w:hAnsiTheme="minorHAnsi" w:cstheme="minorHAnsi"/>
          </w:rPr>
          <w:t>https://doi.org/10.1007/s11292-021-09487-6</w:t>
        </w:r>
      </w:hyperlink>
      <w:r w:rsidRPr="00BD16C8">
        <w:rPr>
          <w:rFonts w:asciiTheme="minorHAnsi" w:hAnsiTheme="minorHAnsi" w:cstheme="minorHAnsi"/>
        </w:rPr>
        <w:t>.</w:t>
      </w:r>
    </w:p>
    <w:p w14:paraId="7C86CC94"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5A633F67"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Frontline South Wales Police Officers get body cameras (2017) BBC News. Available </w:t>
      </w:r>
      <w:proofErr w:type="gramStart"/>
      <w:r w:rsidRPr="00BD16C8">
        <w:rPr>
          <w:rFonts w:asciiTheme="minorHAnsi" w:hAnsiTheme="minorHAnsi" w:cstheme="minorHAnsi"/>
        </w:rPr>
        <w:t>at;</w:t>
      </w:r>
      <w:proofErr w:type="gramEnd"/>
    </w:p>
    <w:p w14:paraId="2C843327" w14:textId="77777777" w:rsidR="00256A16" w:rsidRPr="00BD16C8" w:rsidRDefault="00F9105A" w:rsidP="00256A16">
      <w:pPr>
        <w:pStyle w:val="NormalWeb"/>
        <w:spacing w:before="0" w:beforeAutospacing="0" w:after="0" w:afterAutospacing="0"/>
        <w:rPr>
          <w:rFonts w:asciiTheme="minorHAnsi" w:hAnsiTheme="minorHAnsi" w:cstheme="minorHAnsi"/>
        </w:rPr>
      </w:pPr>
      <w:hyperlink r:id="rId37" w:history="1">
        <w:r w:rsidR="00256A16" w:rsidRPr="00BD16C8">
          <w:rPr>
            <w:rStyle w:val="Hyperlink"/>
            <w:rFonts w:asciiTheme="minorHAnsi" w:hAnsiTheme="minorHAnsi" w:cstheme="minorHAnsi"/>
          </w:rPr>
          <w:t>Frontline South Wales Police officers get body cameras - BBC News</w:t>
        </w:r>
      </w:hyperlink>
    </w:p>
    <w:p w14:paraId="66AB25C0"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Accessed 2</w:t>
      </w:r>
      <w:r>
        <w:rPr>
          <w:rFonts w:asciiTheme="minorHAnsi" w:hAnsiTheme="minorHAnsi" w:cstheme="minorHAnsi"/>
        </w:rPr>
        <w:t>3rd</w:t>
      </w:r>
      <w:r w:rsidRPr="00BD16C8">
        <w:rPr>
          <w:rFonts w:asciiTheme="minorHAnsi" w:hAnsiTheme="minorHAnsi" w:cstheme="minorHAnsi"/>
        </w:rPr>
        <w:t xml:space="preserve"> November 2022</w:t>
      </w:r>
    </w:p>
    <w:p w14:paraId="4ED414A2"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39287B8B"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Li, Y., Ren, L. and Luo, F. (2016) ‘Is bad stronger than good? The impact of police-citizen encounters on public satisfaction with police’, </w:t>
      </w:r>
      <w:proofErr w:type="gramStart"/>
      <w:r w:rsidRPr="00BD16C8">
        <w:rPr>
          <w:rFonts w:asciiTheme="minorHAnsi" w:hAnsiTheme="minorHAnsi" w:cstheme="minorHAnsi"/>
        </w:rPr>
        <w:t>Policing :</w:t>
      </w:r>
      <w:proofErr w:type="gramEnd"/>
      <w:r w:rsidRPr="00BD16C8">
        <w:rPr>
          <w:rFonts w:asciiTheme="minorHAnsi" w:hAnsiTheme="minorHAnsi" w:cstheme="minorHAnsi"/>
        </w:rPr>
        <w:t xml:space="preserve"> an international journal of police strategies &amp; management, 39(1), pp. 109–126.Available at: </w:t>
      </w:r>
      <w:hyperlink r:id="rId38" w:history="1">
        <w:r w:rsidRPr="00BD16C8">
          <w:rPr>
            <w:rStyle w:val="Hyperlink"/>
            <w:rFonts w:asciiTheme="minorHAnsi" w:hAnsiTheme="minorHAnsi" w:cstheme="minorHAnsi"/>
          </w:rPr>
          <w:t>https://doi.org/10.1108/PIJPSM-05-2015-0058</w:t>
        </w:r>
      </w:hyperlink>
    </w:p>
    <w:p w14:paraId="61186487"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7FD5717F"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Moule, R.K. (2020) ‘Under </w:t>
      </w:r>
      <w:proofErr w:type="gramStart"/>
      <w:r w:rsidRPr="00BD16C8">
        <w:rPr>
          <w:rFonts w:asciiTheme="minorHAnsi" w:hAnsiTheme="minorHAnsi" w:cstheme="minorHAnsi"/>
        </w:rPr>
        <w:t>siege?:</w:t>
      </w:r>
      <w:proofErr w:type="gramEnd"/>
      <w:r w:rsidRPr="00BD16C8">
        <w:rPr>
          <w:rFonts w:asciiTheme="minorHAnsi" w:hAnsiTheme="minorHAnsi" w:cstheme="minorHAnsi"/>
        </w:rPr>
        <w:t xml:space="preserve"> Assessing public perceptions of the “War on Police”’, Journal of criminal justice, 66, p. 101631–. Available at: </w:t>
      </w:r>
      <w:hyperlink r:id="rId39" w:history="1">
        <w:r w:rsidRPr="00BD16C8">
          <w:rPr>
            <w:rStyle w:val="Hyperlink"/>
            <w:rFonts w:asciiTheme="minorHAnsi" w:hAnsiTheme="minorHAnsi" w:cstheme="minorHAnsi"/>
          </w:rPr>
          <w:t>https://doi.org/10.1016/j.jcrimjus.2019.101631</w:t>
        </w:r>
      </w:hyperlink>
      <w:r w:rsidRPr="00BD16C8">
        <w:rPr>
          <w:rFonts w:asciiTheme="minorHAnsi" w:hAnsiTheme="minorHAnsi" w:cstheme="minorHAnsi"/>
        </w:rPr>
        <w:t>.</w:t>
      </w:r>
    </w:p>
    <w:p w14:paraId="3A7008E7"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771251D1" w14:textId="77777777" w:rsidR="00256A16" w:rsidRPr="00BD16C8" w:rsidRDefault="00256A16" w:rsidP="00256A16">
      <w:pPr>
        <w:pStyle w:val="NormalWeb"/>
        <w:spacing w:before="0" w:beforeAutospacing="0" w:after="0" w:afterAutospacing="0"/>
        <w:rPr>
          <w:rFonts w:asciiTheme="minorHAnsi" w:hAnsiTheme="minorHAnsi" w:cstheme="minorHAnsi"/>
        </w:rPr>
      </w:pPr>
      <w:proofErr w:type="spellStart"/>
      <w:r w:rsidRPr="00BD16C8">
        <w:rPr>
          <w:rFonts w:asciiTheme="minorHAnsi" w:hAnsiTheme="minorHAnsi" w:cstheme="minorHAnsi"/>
        </w:rPr>
        <w:t>Mourtgos</w:t>
      </w:r>
      <w:proofErr w:type="spellEnd"/>
      <w:r w:rsidRPr="00BD16C8">
        <w:rPr>
          <w:rFonts w:asciiTheme="minorHAnsi" w:hAnsiTheme="minorHAnsi" w:cstheme="minorHAnsi"/>
        </w:rPr>
        <w:t xml:space="preserve">, S.M. and Adams, I.T. (2020) ‘Assessing Public Perceptions of Police Use-of-Force: Legal Reasonableness and Community Standards’, Justice quarterly, 37(5), pp. 869–899. Available at: </w:t>
      </w:r>
      <w:hyperlink r:id="rId40" w:history="1">
        <w:r w:rsidRPr="00BD16C8">
          <w:rPr>
            <w:rStyle w:val="Hyperlink"/>
            <w:rFonts w:asciiTheme="minorHAnsi" w:hAnsiTheme="minorHAnsi" w:cstheme="minorHAnsi"/>
          </w:rPr>
          <w:t>https://doi.org/10.1080/07418825.2019.1679864</w:t>
        </w:r>
      </w:hyperlink>
      <w:r w:rsidRPr="00BD16C8">
        <w:rPr>
          <w:rFonts w:asciiTheme="minorHAnsi" w:hAnsiTheme="minorHAnsi" w:cstheme="minorHAnsi"/>
        </w:rPr>
        <w:t>.</w:t>
      </w:r>
    </w:p>
    <w:p w14:paraId="14D9BF35"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00890689"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PACE (1984).</w:t>
      </w:r>
      <w:r>
        <w:rPr>
          <w:rFonts w:asciiTheme="minorHAnsi" w:hAnsiTheme="minorHAnsi" w:cstheme="minorHAnsi"/>
        </w:rPr>
        <w:t xml:space="preserve"> c. 60.</w:t>
      </w:r>
      <w:r w:rsidRPr="00BD16C8">
        <w:rPr>
          <w:rFonts w:asciiTheme="minorHAnsi" w:hAnsiTheme="minorHAnsi" w:cstheme="minorHAnsi"/>
        </w:rPr>
        <w:t xml:space="preserve"> Legislation.gov.uk. Available </w:t>
      </w:r>
      <w:proofErr w:type="gramStart"/>
      <w:r w:rsidRPr="00BD16C8">
        <w:rPr>
          <w:rFonts w:asciiTheme="minorHAnsi" w:hAnsiTheme="minorHAnsi" w:cstheme="minorHAnsi"/>
        </w:rPr>
        <w:t>at;</w:t>
      </w:r>
      <w:proofErr w:type="gramEnd"/>
    </w:p>
    <w:p w14:paraId="23CC64AD" w14:textId="77777777" w:rsidR="00256A16" w:rsidRPr="00BD16C8" w:rsidRDefault="00F9105A" w:rsidP="00256A16">
      <w:pPr>
        <w:pStyle w:val="NormalWeb"/>
        <w:spacing w:before="0" w:beforeAutospacing="0" w:after="0" w:afterAutospacing="0"/>
        <w:rPr>
          <w:rFonts w:asciiTheme="minorHAnsi" w:hAnsiTheme="minorHAnsi" w:cstheme="minorHAnsi"/>
        </w:rPr>
      </w:pPr>
      <w:hyperlink r:id="rId41" w:history="1">
        <w:r w:rsidR="00256A16" w:rsidRPr="00BD16C8">
          <w:rPr>
            <w:rStyle w:val="Hyperlink"/>
            <w:rFonts w:asciiTheme="minorHAnsi" w:hAnsiTheme="minorHAnsi" w:cstheme="minorHAnsi"/>
          </w:rPr>
          <w:t>Police and Criminal Evidence Act 1984 (legislation.gov.uk)</w:t>
        </w:r>
      </w:hyperlink>
    </w:p>
    <w:p w14:paraId="733F0F72"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Accessed 24th November 2022</w:t>
      </w:r>
    </w:p>
    <w:p w14:paraId="55408282"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26DBA1A6"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Perez, N.M., Nguyen, T. and Vogel, B. (2021) ‘Community police academies: Assessing the effect of education on public perceptions of police’, Police journal (Chichester), 94(2), pp. 206–221. Available at: </w:t>
      </w:r>
      <w:hyperlink r:id="rId42" w:history="1">
        <w:r w:rsidRPr="00BD16C8">
          <w:rPr>
            <w:rStyle w:val="Hyperlink"/>
            <w:rFonts w:asciiTheme="minorHAnsi" w:hAnsiTheme="minorHAnsi" w:cstheme="minorHAnsi"/>
          </w:rPr>
          <w:t>https://doi.org/10.1177/0032258X20926939</w:t>
        </w:r>
      </w:hyperlink>
      <w:r w:rsidRPr="00BD16C8">
        <w:rPr>
          <w:rFonts w:asciiTheme="minorHAnsi" w:hAnsiTheme="minorHAnsi" w:cstheme="minorHAnsi"/>
        </w:rPr>
        <w:t>.</w:t>
      </w:r>
    </w:p>
    <w:p w14:paraId="52D530C6"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57BD031B"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Peyton, K., Sierra-</w:t>
      </w:r>
      <w:proofErr w:type="spellStart"/>
      <w:r w:rsidRPr="00BD16C8">
        <w:rPr>
          <w:rFonts w:asciiTheme="minorHAnsi" w:hAnsiTheme="minorHAnsi" w:cstheme="minorHAnsi"/>
        </w:rPr>
        <w:t>Arévalo</w:t>
      </w:r>
      <w:proofErr w:type="spellEnd"/>
      <w:r w:rsidRPr="00BD16C8">
        <w:rPr>
          <w:rFonts w:asciiTheme="minorHAnsi" w:hAnsiTheme="minorHAnsi" w:cstheme="minorHAnsi"/>
        </w:rPr>
        <w:t xml:space="preserve">, M. and Rand, D.G. (2019) ‘A field experiment on community policing and police legitimacy’, Proceedings of the National Academy of Sciences - PNAS, 116(40), pp. 19894–19898. Available at: </w:t>
      </w:r>
      <w:hyperlink r:id="rId43" w:history="1">
        <w:r w:rsidRPr="00BD16C8">
          <w:rPr>
            <w:rStyle w:val="Hyperlink"/>
            <w:rFonts w:asciiTheme="minorHAnsi" w:hAnsiTheme="minorHAnsi" w:cstheme="minorHAnsi"/>
          </w:rPr>
          <w:t>https://doi.org/10.1073/pnas.1910157116</w:t>
        </w:r>
      </w:hyperlink>
      <w:r w:rsidRPr="00BD16C8">
        <w:rPr>
          <w:rFonts w:asciiTheme="minorHAnsi" w:hAnsiTheme="minorHAnsi" w:cstheme="minorHAnsi"/>
        </w:rPr>
        <w:t>.</w:t>
      </w:r>
    </w:p>
    <w:p w14:paraId="092D0139"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1E949617"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Saulnier, A. et al. (2020) ‘The RIDE study: Effects of body‐worn cameras on public perceptions of police interactions’, Criminology &amp; public policy, 19(3), pp. 833–854. Available at: </w:t>
      </w:r>
      <w:hyperlink r:id="rId44" w:history="1">
        <w:r w:rsidRPr="00BD16C8">
          <w:rPr>
            <w:rStyle w:val="Hyperlink"/>
            <w:rFonts w:asciiTheme="minorHAnsi" w:hAnsiTheme="minorHAnsi" w:cstheme="minorHAnsi"/>
          </w:rPr>
          <w:t>https://doi.org/10.1111/1745-9133.12511</w:t>
        </w:r>
      </w:hyperlink>
      <w:r w:rsidRPr="00BD16C8">
        <w:rPr>
          <w:rFonts w:asciiTheme="minorHAnsi" w:hAnsiTheme="minorHAnsi" w:cstheme="minorHAnsi"/>
        </w:rPr>
        <w:t>.</w:t>
      </w:r>
    </w:p>
    <w:p w14:paraId="454EB48A"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7770F735" w14:textId="77777777" w:rsidR="00256A16" w:rsidRPr="00BD16C8" w:rsidRDefault="00256A16" w:rsidP="00256A16">
      <w:pPr>
        <w:pStyle w:val="NormalWeb"/>
        <w:spacing w:before="0" w:beforeAutospacing="0" w:after="0" w:afterAutospacing="0"/>
        <w:rPr>
          <w:rFonts w:asciiTheme="minorHAnsi" w:hAnsiTheme="minorHAnsi" w:cstheme="minorHAnsi"/>
        </w:rPr>
      </w:pPr>
      <w:proofErr w:type="spellStart"/>
      <w:r w:rsidRPr="00BD16C8">
        <w:rPr>
          <w:rFonts w:asciiTheme="minorHAnsi" w:hAnsiTheme="minorHAnsi" w:cstheme="minorHAnsi"/>
        </w:rPr>
        <w:t>Skogan</w:t>
      </w:r>
      <w:proofErr w:type="spellEnd"/>
      <w:r w:rsidRPr="00BD16C8">
        <w:rPr>
          <w:rFonts w:asciiTheme="minorHAnsi" w:hAnsiTheme="minorHAnsi" w:cstheme="minorHAnsi"/>
        </w:rPr>
        <w:t xml:space="preserve">, W.G. (2006) ‘Asymmetry in the Impact of Encounters with Police’, Policing &amp; society, 16(2), pp. 99–126. Available at: </w:t>
      </w:r>
      <w:hyperlink r:id="rId45" w:history="1">
        <w:r w:rsidRPr="00BD16C8">
          <w:rPr>
            <w:rStyle w:val="Hyperlink"/>
            <w:rFonts w:asciiTheme="minorHAnsi" w:hAnsiTheme="minorHAnsi" w:cstheme="minorHAnsi"/>
          </w:rPr>
          <w:t>https://doi.org/10.1080/10439460600662098</w:t>
        </w:r>
      </w:hyperlink>
    </w:p>
    <w:p w14:paraId="43C8ADBB"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04BDB3FB" w14:textId="77777777" w:rsidR="00256A16" w:rsidRPr="00BD16C8" w:rsidRDefault="00256A16" w:rsidP="00256A16">
      <w:pPr>
        <w:pStyle w:val="NormalWeb"/>
        <w:spacing w:before="0" w:beforeAutospacing="0" w:after="0" w:afterAutospacing="0"/>
        <w:rPr>
          <w:rFonts w:asciiTheme="minorHAnsi" w:hAnsiTheme="minorHAnsi" w:cstheme="minorHAnsi"/>
        </w:rPr>
      </w:pPr>
      <w:proofErr w:type="spellStart"/>
      <w:r w:rsidRPr="00BD16C8">
        <w:rPr>
          <w:rFonts w:asciiTheme="minorHAnsi" w:hAnsiTheme="minorHAnsi" w:cstheme="minorHAnsi"/>
        </w:rPr>
        <w:t>Socia</w:t>
      </w:r>
      <w:proofErr w:type="spellEnd"/>
      <w:r w:rsidRPr="00BD16C8">
        <w:rPr>
          <w:rFonts w:asciiTheme="minorHAnsi" w:hAnsiTheme="minorHAnsi" w:cstheme="minorHAnsi"/>
        </w:rPr>
        <w:t xml:space="preserve">, K.M. et al. (2021) ‘Public Perceptions of Police Agency Fairness and the Willingness to Call Police’, American review of public administration, 51(5), pp. 360–373. Available at: </w:t>
      </w:r>
      <w:hyperlink r:id="rId46" w:history="1">
        <w:r w:rsidRPr="00BD16C8">
          <w:rPr>
            <w:rStyle w:val="Hyperlink"/>
            <w:rFonts w:asciiTheme="minorHAnsi" w:hAnsiTheme="minorHAnsi" w:cstheme="minorHAnsi"/>
          </w:rPr>
          <w:t>https://doi.org/10.1177/02750740211005699</w:t>
        </w:r>
      </w:hyperlink>
      <w:r w:rsidRPr="00BD16C8">
        <w:rPr>
          <w:rFonts w:asciiTheme="minorHAnsi" w:hAnsiTheme="minorHAnsi" w:cstheme="minorHAnsi"/>
        </w:rPr>
        <w:t>.</w:t>
      </w:r>
    </w:p>
    <w:p w14:paraId="7CAE5DE0"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48545555" w14:textId="77777777" w:rsidR="00256A16" w:rsidRPr="00BD16C8" w:rsidRDefault="00256A16" w:rsidP="00256A16">
      <w:pPr>
        <w:pStyle w:val="NormalWeb"/>
        <w:spacing w:before="0" w:beforeAutospacing="0" w:after="0" w:afterAutospacing="0"/>
        <w:rPr>
          <w:rFonts w:asciiTheme="minorHAnsi" w:hAnsiTheme="minorHAnsi" w:cstheme="minorHAnsi"/>
        </w:rPr>
      </w:pPr>
      <w:proofErr w:type="spellStart"/>
      <w:r w:rsidRPr="00BD16C8">
        <w:rPr>
          <w:rFonts w:asciiTheme="minorHAnsi" w:hAnsiTheme="minorHAnsi" w:cstheme="minorHAnsi"/>
        </w:rPr>
        <w:lastRenderedPageBreak/>
        <w:t>Staubli</w:t>
      </w:r>
      <w:proofErr w:type="spellEnd"/>
      <w:r w:rsidRPr="00BD16C8">
        <w:rPr>
          <w:rFonts w:asciiTheme="minorHAnsi" w:hAnsiTheme="minorHAnsi" w:cstheme="minorHAnsi"/>
        </w:rPr>
        <w:t xml:space="preserve">, S. (2017) Trusting the Police Comparisons across Eastern and Western Europe. 1st ed. Bielefeld: transcript Verlag. Available at: </w:t>
      </w:r>
      <w:hyperlink r:id="rId47" w:history="1">
        <w:r w:rsidRPr="00BD16C8">
          <w:rPr>
            <w:rStyle w:val="Hyperlink"/>
            <w:rFonts w:asciiTheme="minorHAnsi" w:hAnsiTheme="minorHAnsi" w:cstheme="minorHAnsi"/>
          </w:rPr>
          <w:t>https://doi.org/10.14361/9783839437827</w:t>
        </w:r>
      </w:hyperlink>
      <w:r w:rsidRPr="00BD16C8">
        <w:rPr>
          <w:rFonts w:asciiTheme="minorHAnsi" w:hAnsiTheme="minorHAnsi" w:cstheme="minorHAnsi"/>
        </w:rPr>
        <w:t>.</w:t>
      </w:r>
    </w:p>
    <w:p w14:paraId="665A7A90"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381CDA9A" w14:textId="77777777" w:rsidR="00256A16" w:rsidRPr="00BD16C8" w:rsidRDefault="00256A16" w:rsidP="00256A16">
      <w:pPr>
        <w:pStyle w:val="NormalWeb"/>
        <w:spacing w:before="0" w:beforeAutospacing="0" w:after="0" w:afterAutospacing="0"/>
        <w:rPr>
          <w:rFonts w:asciiTheme="minorHAnsi" w:hAnsiTheme="minorHAnsi" w:cstheme="minorHAnsi"/>
        </w:rPr>
      </w:pPr>
      <w:proofErr w:type="spellStart"/>
      <w:r w:rsidRPr="00BD16C8">
        <w:rPr>
          <w:rFonts w:asciiTheme="minorHAnsi" w:hAnsiTheme="minorHAnsi" w:cstheme="minorHAnsi"/>
        </w:rPr>
        <w:t>Tankebe</w:t>
      </w:r>
      <w:proofErr w:type="spellEnd"/>
      <w:r w:rsidRPr="00BD16C8">
        <w:rPr>
          <w:rFonts w:asciiTheme="minorHAnsi" w:hAnsiTheme="minorHAnsi" w:cstheme="minorHAnsi"/>
        </w:rPr>
        <w:t xml:space="preserve">, J. (2013) ‘Viewing Things Differently: The Dimensions of Public Perceptions of Police Legitimacy’, Criminology (Beverly Hills), 51(1), pp. 103–135. Available at: </w:t>
      </w:r>
      <w:hyperlink r:id="rId48" w:history="1">
        <w:r w:rsidRPr="00BD16C8">
          <w:rPr>
            <w:rStyle w:val="Hyperlink"/>
            <w:rFonts w:asciiTheme="minorHAnsi" w:hAnsiTheme="minorHAnsi" w:cstheme="minorHAnsi"/>
          </w:rPr>
          <w:t>https://doi.org/10.1111/j.1745-9125.2012.00291.x</w:t>
        </w:r>
      </w:hyperlink>
      <w:r w:rsidRPr="00BD16C8">
        <w:rPr>
          <w:rFonts w:asciiTheme="minorHAnsi" w:hAnsiTheme="minorHAnsi" w:cstheme="minorHAnsi"/>
        </w:rPr>
        <w:t>.</w:t>
      </w:r>
    </w:p>
    <w:p w14:paraId="45FB1C30"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4D7539E6"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Use of Force. Collage of Policing (2013). Available </w:t>
      </w:r>
      <w:proofErr w:type="gramStart"/>
      <w:r w:rsidRPr="00BD16C8">
        <w:rPr>
          <w:rFonts w:asciiTheme="minorHAnsi" w:hAnsiTheme="minorHAnsi" w:cstheme="minorHAnsi"/>
        </w:rPr>
        <w:t>at;</w:t>
      </w:r>
      <w:proofErr w:type="gramEnd"/>
    </w:p>
    <w:p w14:paraId="253B0BF1" w14:textId="77777777" w:rsidR="00256A16" w:rsidRPr="00BD16C8" w:rsidRDefault="00F9105A" w:rsidP="00256A16">
      <w:pPr>
        <w:pStyle w:val="NormalWeb"/>
        <w:spacing w:before="0" w:beforeAutospacing="0" w:after="0" w:afterAutospacing="0"/>
        <w:rPr>
          <w:rFonts w:asciiTheme="minorHAnsi" w:hAnsiTheme="minorHAnsi" w:cstheme="minorHAnsi"/>
        </w:rPr>
      </w:pPr>
      <w:hyperlink r:id="rId49" w:history="1">
        <w:r w:rsidR="00256A16" w:rsidRPr="00BD16C8">
          <w:rPr>
            <w:rStyle w:val="Hyperlink"/>
            <w:rFonts w:asciiTheme="minorHAnsi" w:hAnsiTheme="minorHAnsi" w:cstheme="minorHAnsi"/>
          </w:rPr>
          <w:t>Police use of force | College of Policing</w:t>
        </w:r>
      </w:hyperlink>
    </w:p>
    <w:p w14:paraId="6545D8CB"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Accessed 24th November 2022</w:t>
      </w:r>
    </w:p>
    <w:p w14:paraId="439ABF15"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w:t>
      </w:r>
    </w:p>
    <w:p w14:paraId="22A17294" w14:textId="77777777" w:rsidR="00256A16" w:rsidRPr="00BD16C8" w:rsidRDefault="00256A16" w:rsidP="00256A16">
      <w:pPr>
        <w:pStyle w:val="NormalWeb"/>
        <w:spacing w:before="0" w:beforeAutospacing="0" w:after="0" w:afterAutospacing="0"/>
        <w:rPr>
          <w:rFonts w:asciiTheme="minorHAnsi" w:hAnsiTheme="minorHAnsi" w:cstheme="minorHAnsi"/>
        </w:rPr>
      </w:pPr>
      <w:r w:rsidRPr="00BD16C8">
        <w:rPr>
          <w:rFonts w:asciiTheme="minorHAnsi" w:hAnsiTheme="minorHAnsi" w:cstheme="minorHAnsi"/>
        </w:rPr>
        <w:t xml:space="preserve">Worden, R. E., &amp; McLean, S. J. (2017). Police Legitimacy. In </w:t>
      </w:r>
      <w:r w:rsidRPr="00BD16C8">
        <w:rPr>
          <w:rFonts w:asciiTheme="minorHAnsi" w:hAnsiTheme="minorHAnsi" w:cstheme="minorHAnsi"/>
          <w:i/>
          <w:iCs/>
        </w:rPr>
        <w:t>Mirage of Police Reform: Procedural Justice and Police Legitimacy</w:t>
      </w:r>
      <w:r w:rsidRPr="00BD16C8">
        <w:rPr>
          <w:rFonts w:asciiTheme="minorHAnsi" w:hAnsiTheme="minorHAnsi" w:cstheme="minorHAnsi"/>
        </w:rPr>
        <w:t xml:space="preserve"> (1st ed., pp. 42–68). University of California Press. Available at: </w:t>
      </w:r>
      <w:hyperlink r:id="rId50" w:history="1">
        <w:r w:rsidRPr="00BD16C8">
          <w:rPr>
            <w:rStyle w:val="Hyperlink"/>
            <w:rFonts w:asciiTheme="minorHAnsi" w:hAnsiTheme="minorHAnsi" w:cstheme="minorHAnsi"/>
          </w:rPr>
          <w:t>http://www.jstor.org/stable/10.1525/j.ctt1w8h1r1.7</w:t>
        </w:r>
      </w:hyperlink>
    </w:p>
    <w:p w14:paraId="26B56B76" w14:textId="77777777" w:rsidR="00256A16" w:rsidRDefault="00256A16" w:rsidP="00256A1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8E86396" w14:textId="77777777" w:rsidR="00256A16" w:rsidRPr="00E91A66" w:rsidRDefault="00256A16" w:rsidP="00256A16">
      <w:pPr>
        <w:pStyle w:val="NormalWeb"/>
        <w:spacing w:before="0" w:beforeAutospacing="0" w:after="0" w:afterAutospacing="0" w:line="360" w:lineRule="auto"/>
        <w:rPr>
          <w:rFonts w:ascii="Calibri" w:hAnsi="Calibri" w:cs="Calibri"/>
        </w:rPr>
      </w:pPr>
    </w:p>
    <w:p w14:paraId="2641438A" w14:textId="65D8B309" w:rsidR="00256A16" w:rsidRDefault="00256A16">
      <w:pPr>
        <w:rPr>
          <w:sz w:val="24"/>
          <w:szCs w:val="24"/>
        </w:rPr>
      </w:pPr>
      <w:r>
        <w:rPr>
          <w:sz w:val="24"/>
          <w:szCs w:val="24"/>
        </w:rPr>
        <w:br w:type="page"/>
      </w:r>
    </w:p>
    <w:p w14:paraId="45593CA8" w14:textId="5793DD16" w:rsidR="00256A16" w:rsidRPr="00256A16" w:rsidRDefault="00256A16" w:rsidP="00256A16">
      <w:pPr>
        <w:spacing w:line="360" w:lineRule="auto"/>
        <w:rPr>
          <w:b/>
          <w:bCs/>
          <w:sz w:val="24"/>
          <w:szCs w:val="24"/>
        </w:rPr>
      </w:pPr>
      <w:r w:rsidRPr="00256A16">
        <w:rPr>
          <w:b/>
          <w:bCs/>
          <w:sz w:val="24"/>
          <w:szCs w:val="24"/>
        </w:rPr>
        <w:lastRenderedPageBreak/>
        <w:t xml:space="preserve">ESSAY </w:t>
      </w:r>
      <w:r>
        <w:rPr>
          <w:b/>
          <w:bCs/>
          <w:sz w:val="24"/>
          <w:szCs w:val="24"/>
        </w:rPr>
        <w:t>FOUR</w:t>
      </w:r>
    </w:p>
    <w:p w14:paraId="57D5C39E" w14:textId="3EBE6236" w:rsidR="00256A16" w:rsidRDefault="00256A16" w:rsidP="00256A16">
      <w:pPr>
        <w:spacing w:line="360" w:lineRule="auto"/>
        <w:rPr>
          <w:sz w:val="24"/>
          <w:szCs w:val="24"/>
        </w:rPr>
      </w:pPr>
    </w:p>
    <w:p w14:paraId="0519F9EB" w14:textId="77777777" w:rsidR="00256A16" w:rsidRPr="00BA7B0D" w:rsidRDefault="00256A16" w:rsidP="00256A16">
      <w:pPr>
        <w:spacing w:line="360" w:lineRule="auto"/>
        <w:jc w:val="both"/>
        <w:rPr>
          <w:b/>
          <w:bCs/>
          <w:sz w:val="24"/>
          <w:szCs w:val="24"/>
        </w:rPr>
      </w:pPr>
      <w:r w:rsidRPr="00BA7B0D">
        <w:rPr>
          <w:b/>
          <w:bCs/>
          <w:sz w:val="24"/>
          <w:szCs w:val="24"/>
        </w:rPr>
        <w:t>Introduction</w:t>
      </w:r>
    </w:p>
    <w:p w14:paraId="509569E3" w14:textId="77777777" w:rsidR="00256A16" w:rsidRPr="00BA7B0D" w:rsidRDefault="00256A16" w:rsidP="00256A16">
      <w:pPr>
        <w:spacing w:line="360" w:lineRule="auto"/>
        <w:jc w:val="both"/>
        <w:rPr>
          <w:rFonts w:ascii="Calibri" w:hAnsi="Calibri" w:cs="Calibri"/>
        </w:rPr>
      </w:pPr>
      <w:r w:rsidRPr="00BA7B0D">
        <w:rPr>
          <w:rFonts w:ascii="Calibri" w:hAnsi="Calibri" w:cs="Calibri"/>
        </w:rPr>
        <w:t>Historically the study of crime and criminology has focused on the offender. As the academic field has expanded there has been a shift in focus from the offender to a detailed analysis of the features of criminal events (</w:t>
      </w:r>
      <w:proofErr w:type="spellStart"/>
      <w:r w:rsidRPr="00BA7B0D">
        <w:rPr>
          <w:rFonts w:ascii="Calibri" w:hAnsi="Calibri" w:cs="Calibri"/>
        </w:rPr>
        <w:t>Kleemans</w:t>
      </w:r>
      <w:proofErr w:type="spellEnd"/>
      <w:r w:rsidRPr="00BA7B0D">
        <w:rPr>
          <w:rFonts w:ascii="Calibri" w:hAnsi="Calibri" w:cs="Calibri"/>
        </w:rPr>
        <w:t xml:space="preserve"> et al 2012). When a criminal event is fully understood, policies, practices and strategies can be implemented to discourage such an event – this is known as Situational Crime Prevention (SCP). This article will provide a brief overview of SCP in relation to serious and organised crime with critical evaluation of the effectiveness of such crime prevention strategies.</w:t>
      </w:r>
    </w:p>
    <w:p w14:paraId="0F0C082D" w14:textId="77777777" w:rsidR="00256A16" w:rsidRPr="00BA7B0D" w:rsidRDefault="00256A16" w:rsidP="00256A16">
      <w:pPr>
        <w:spacing w:line="360" w:lineRule="auto"/>
        <w:jc w:val="both"/>
        <w:rPr>
          <w:sz w:val="24"/>
          <w:szCs w:val="24"/>
        </w:rPr>
      </w:pPr>
    </w:p>
    <w:p w14:paraId="5BA2709A" w14:textId="77777777" w:rsidR="00256A16" w:rsidRPr="00BA7B0D" w:rsidRDefault="00256A16" w:rsidP="00256A16">
      <w:pPr>
        <w:spacing w:line="360" w:lineRule="auto"/>
        <w:jc w:val="both"/>
        <w:rPr>
          <w:b/>
          <w:bCs/>
          <w:sz w:val="24"/>
          <w:szCs w:val="24"/>
        </w:rPr>
      </w:pPr>
      <w:r w:rsidRPr="00BA7B0D">
        <w:rPr>
          <w:b/>
          <w:bCs/>
          <w:sz w:val="24"/>
          <w:szCs w:val="24"/>
        </w:rPr>
        <w:t>Situational Crime Prevention</w:t>
      </w:r>
    </w:p>
    <w:p w14:paraId="01C69E03" w14:textId="77777777" w:rsidR="00256A16" w:rsidRPr="00BA7B0D" w:rsidRDefault="00256A16" w:rsidP="00256A16">
      <w:pPr>
        <w:spacing w:line="360" w:lineRule="auto"/>
        <w:jc w:val="both"/>
        <w:rPr>
          <w:sz w:val="24"/>
          <w:szCs w:val="24"/>
        </w:rPr>
      </w:pPr>
      <w:r w:rsidRPr="00BA7B0D">
        <w:rPr>
          <w:sz w:val="24"/>
          <w:szCs w:val="24"/>
        </w:rPr>
        <w:t>For a crime to occur three features are required to converge in time and space – suitable target, motivated offender, and lack of a capable guardian (</w:t>
      </w:r>
      <w:proofErr w:type="spellStart"/>
      <w:r w:rsidRPr="00BA7B0D">
        <w:rPr>
          <w:sz w:val="24"/>
          <w:szCs w:val="24"/>
        </w:rPr>
        <w:t>Kleemans</w:t>
      </w:r>
      <w:proofErr w:type="spellEnd"/>
      <w:r w:rsidRPr="00BA7B0D">
        <w:rPr>
          <w:sz w:val="24"/>
          <w:szCs w:val="24"/>
        </w:rPr>
        <w:t xml:space="preserve"> et al 2012). Therefore, strategies that remove or manipulate one (or more) of these features should lead to a reduction in crime. Felson and Clarke (1998) detail general strategies to reduce opportunities for crime to occur </w:t>
      </w:r>
      <w:proofErr w:type="gramStart"/>
      <w:r w:rsidRPr="00BA7B0D">
        <w:rPr>
          <w:sz w:val="24"/>
          <w:szCs w:val="24"/>
        </w:rPr>
        <w:t>including;</w:t>
      </w:r>
      <w:proofErr w:type="gramEnd"/>
      <w:r w:rsidRPr="00BA7B0D">
        <w:rPr>
          <w:sz w:val="24"/>
          <w:szCs w:val="24"/>
        </w:rPr>
        <w:t xml:space="preserve"> increasing risks (of getting caught), reducing rewards (of success), increasing effort (to succeed), reducing provocation, and removing excuses. SCP theory can be applied to any type of crime; however, it can have notable application to reducing opportunities for serious and organised crime by understanding the situational factors that facilitate or enable the offence (</w:t>
      </w:r>
      <w:proofErr w:type="spellStart"/>
      <w:r w:rsidRPr="00BA7B0D">
        <w:rPr>
          <w:sz w:val="24"/>
          <w:szCs w:val="24"/>
        </w:rPr>
        <w:t>Korsell</w:t>
      </w:r>
      <w:proofErr w:type="spellEnd"/>
      <w:r w:rsidRPr="00BA7B0D">
        <w:rPr>
          <w:sz w:val="24"/>
          <w:szCs w:val="24"/>
        </w:rPr>
        <w:t xml:space="preserve"> 2018).</w:t>
      </w:r>
    </w:p>
    <w:p w14:paraId="3BA8994E" w14:textId="77777777" w:rsidR="00256A16" w:rsidRPr="00BA7B0D" w:rsidRDefault="00256A16" w:rsidP="00256A16">
      <w:pPr>
        <w:spacing w:line="360" w:lineRule="auto"/>
        <w:jc w:val="both"/>
        <w:rPr>
          <w:b/>
          <w:bCs/>
          <w:sz w:val="24"/>
          <w:szCs w:val="24"/>
        </w:rPr>
      </w:pPr>
    </w:p>
    <w:p w14:paraId="4E0E125D" w14:textId="77777777" w:rsidR="00256A16" w:rsidRPr="00BA7B0D" w:rsidRDefault="00256A16" w:rsidP="00256A16">
      <w:pPr>
        <w:spacing w:line="360" w:lineRule="auto"/>
        <w:jc w:val="both"/>
        <w:rPr>
          <w:b/>
          <w:bCs/>
          <w:sz w:val="24"/>
          <w:szCs w:val="24"/>
        </w:rPr>
      </w:pPr>
      <w:r w:rsidRPr="00BA7B0D">
        <w:rPr>
          <w:b/>
          <w:bCs/>
          <w:sz w:val="24"/>
          <w:szCs w:val="24"/>
        </w:rPr>
        <w:t>Organised Crime</w:t>
      </w:r>
    </w:p>
    <w:p w14:paraId="0CE36024" w14:textId="77777777" w:rsidR="00256A16" w:rsidRDefault="00256A16" w:rsidP="00256A16">
      <w:pPr>
        <w:spacing w:line="360" w:lineRule="auto"/>
        <w:jc w:val="both"/>
        <w:rPr>
          <w:sz w:val="24"/>
          <w:szCs w:val="24"/>
        </w:rPr>
      </w:pPr>
      <w:r w:rsidRPr="00BA7B0D">
        <w:rPr>
          <w:sz w:val="24"/>
          <w:szCs w:val="24"/>
        </w:rPr>
        <w:t>The UK Crown Prosecution Service describes organised crime as “</w:t>
      </w:r>
      <w:r w:rsidRPr="00BA7B0D">
        <w:rPr>
          <w:i/>
          <w:iCs/>
          <w:sz w:val="24"/>
          <w:szCs w:val="24"/>
        </w:rPr>
        <w:t>planned and co-ordinated criminal behaviour and conduct by people working together on a continuing basis. Their motivation is often, but not always, financial gain. Organised crime in this and other countries recognises neither national borders nor national interests</w:t>
      </w:r>
      <w:r w:rsidRPr="00BA7B0D">
        <w:rPr>
          <w:sz w:val="24"/>
          <w:szCs w:val="24"/>
        </w:rPr>
        <w:t>” (</w:t>
      </w:r>
      <w:r>
        <w:rPr>
          <w:sz w:val="24"/>
          <w:szCs w:val="24"/>
        </w:rPr>
        <w:t>Organised Crime Strategy 2018</w:t>
      </w:r>
      <w:r w:rsidRPr="00BA7B0D">
        <w:rPr>
          <w:sz w:val="24"/>
          <w:szCs w:val="24"/>
        </w:rPr>
        <w:t xml:space="preserve">). This is a very broad definition that applies to such varied criminal activities </w:t>
      </w:r>
      <w:proofErr w:type="gramStart"/>
      <w:r w:rsidRPr="00BA7B0D">
        <w:rPr>
          <w:sz w:val="24"/>
          <w:szCs w:val="24"/>
        </w:rPr>
        <w:t>including;</w:t>
      </w:r>
      <w:proofErr w:type="gramEnd"/>
      <w:r w:rsidRPr="00BA7B0D">
        <w:rPr>
          <w:sz w:val="24"/>
          <w:szCs w:val="24"/>
        </w:rPr>
        <w:t xml:space="preserve"> child sexual exploitation, drugs, firearms, fraud, economic crime (money laundering), modern slavery/ human trafficking, smuggling etc.</w:t>
      </w:r>
    </w:p>
    <w:p w14:paraId="09EBFD34" w14:textId="77777777" w:rsidR="00256A16" w:rsidRPr="00BA7B0D" w:rsidRDefault="00256A16" w:rsidP="00256A16">
      <w:pPr>
        <w:spacing w:line="360" w:lineRule="auto"/>
        <w:jc w:val="both"/>
        <w:rPr>
          <w:sz w:val="24"/>
          <w:szCs w:val="24"/>
        </w:rPr>
      </w:pPr>
    </w:p>
    <w:p w14:paraId="3D5D693D" w14:textId="77777777" w:rsidR="00256A16" w:rsidRPr="00BA7B0D" w:rsidRDefault="00256A16" w:rsidP="00256A16">
      <w:pPr>
        <w:spacing w:line="360" w:lineRule="auto"/>
        <w:jc w:val="both"/>
        <w:rPr>
          <w:sz w:val="24"/>
          <w:szCs w:val="24"/>
        </w:rPr>
      </w:pPr>
      <w:r w:rsidRPr="00BA7B0D">
        <w:rPr>
          <w:sz w:val="24"/>
          <w:szCs w:val="24"/>
        </w:rPr>
        <w:t>Creating, implementing, and measuring the impact and effectiveness of strategies to combat organised crime ha</w:t>
      </w:r>
      <w:r>
        <w:rPr>
          <w:sz w:val="24"/>
          <w:szCs w:val="24"/>
        </w:rPr>
        <w:t>s</w:t>
      </w:r>
      <w:r w:rsidRPr="00BA7B0D">
        <w:rPr>
          <w:sz w:val="24"/>
          <w:szCs w:val="24"/>
        </w:rPr>
        <w:t xml:space="preserve"> significant barriers. By its nature, its participants employ deceptive practices to conceal their involvement and illegitimate business is often interwoven with legitimate business (Von Lampe 2011). Further, groups can be resourceful, highly co-ordinated and activities can cross regional and national borders (which can exploit a lack of co-ordination between enforcement agencies).</w:t>
      </w:r>
    </w:p>
    <w:p w14:paraId="439B2F96" w14:textId="77777777" w:rsidR="00256A16" w:rsidRPr="00BA7B0D" w:rsidRDefault="00256A16" w:rsidP="00256A16">
      <w:pPr>
        <w:spacing w:line="360" w:lineRule="auto"/>
        <w:jc w:val="both"/>
        <w:rPr>
          <w:sz w:val="24"/>
          <w:szCs w:val="24"/>
        </w:rPr>
      </w:pPr>
    </w:p>
    <w:p w14:paraId="337D72F2" w14:textId="77777777" w:rsidR="00256A16" w:rsidRPr="00BA7B0D" w:rsidRDefault="00256A16" w:rsidP="00256A16">
      <w:pPr>
        <w:spacing w:line="360" w:lineRule="auto"/>
        <w:jc w:val="both"/>
        <w:rPr>
          <w:b/>
          <w:bCs/>
          <w:sz w:val="24"/>
          <w:szCs w:val="24"/>
        </w:rPr>
      </w:pPr>
      <w:r w:rsidRPr="00BA7B0D">
        <w:rPr>
          <w:b/>
          <w:bCs/>
          <w:sz w:val="24"/>
          <w:szCs w:val="24"/>
        </w:rPr>
        <w:t>Law Enforcement Strategies</w:t>
      </w:r>
    </w:p>
    <w:p w14:paraId="6EAF8581" w14:textId="77777777" w:rsidR="00256A16" w:rsidRPr="00BA7B0D" w:rsidRDefault="00256A16" w:rsidP="00256A16">
      <w:pPr>
        <w:spacing w:line="360" w:lineRule="auto"/>
        <w:jc w:val="both"/>
        <w:rPr>
          <w:sz w:val="24"/>
          <w:szCs w:val="24"/>
        </w:rPr>
      </w:pPr>
      <w:r w:rsidRPr="00BA7B0D">
        <w:rPr>
          <w:sz w:val="24"/>
          <w:szCs w:val="24"/>
        </w:rPr>
        <w:t>Crime prevention strategies have traditionally been regarded as the responsibility of law enforcement. There are few examples of evaluation attempts or major studies in policing literature for organised crime reduction (Levi and Maguire 2004). The established policing models of crime prevention utilize a Problem-oriented-policing approach in force/ department isolation free from academic study, review, and analysis. These approaches advocate for a multi-agency response. While multi-agency crime fighting collaborations may report success (</w:t>
      </w:r>
      <w:r>
        <w:rPr>
          <w:sz w:val="24"/>
          <w:szCs w:val="24"/>
        </w:rPr>
        <w:t>for example</w:t>
      </w:r>
      <w:r w:rsidRPr="00BA7B0D">
        <w:rPr>
          <w:sz w:val="24"/>
          <w:szCs w:val="24"/>
        </w:rPr>
        <w:t xml:space="preserve"> Kirby and </w:t>
      </w:r>
      <w:proofErr w:type="spellStart"/>
      <w:r w:rsidRPr="00BA7B0D">
        <w:rPr>
          <w:sz w:val="24"/>
          <w:szCs w:val="24"/>
        </w:rPr>
        <w:t>Nailer</w:t>
      </w:r>
      <w:proofErr w:type="spellEnd"/>
      <w:r w:rsidRPr="00BA7B0D">
        <w:rPr>
          <w:sz w:val="24"/>
          <w:szCs w:val="24"/>
        </w:rPr>
        <w:t xml:space="preserve"> 2013), Waardenburg (2018) observes these collaborations do not have the time or resources for comprehensive research of overall effectiveness which is required for empirical data that meets the validity of the highest standard.  Furthermore, operations involve significant resources, collaboration, time, and political pressures to get results.</w:t>
      </w:r>
    </w:p>
    <w:p w14:paraId="5EA18CAA" w14:textId="77777777" w:rsidR="00256A16" w:rsidRPr="00BA7B0D" w:rsidRDefault="00256A16" w:rsidP="00256A16">
      <w:pPr>
        <w:spacing w:line="360" w:lineRule="auto"/>
        <w:jc w:val="both"/>
        <w:rPr>
          <w:sz w:val="24"/>
          <w:szCs w:val="24"/>
        </w:rPr>
      </w:pPr>
    </w:p>
    <w:p w14:paraId="769E37B0" w14:textId="77777777" w:rsidR="00256A16" w:rsidRPr="00BA7B0D" w:rsidRDefault="00256A16" w:rsidP="00256A16">
      <w:pPr>
        <w:spacing w:line="360" w:lineRule="auto"/>
        <w:jc w:val="both"/>
        <w:rPr>
          <w:b/>
          <w:bCs/>
          <w:sz w:val="24"/>
          <w:szCs w:val="24"/>
        </w:rPr>
      </w:pPr>
      <w:r w:rsidRPr="00BA7B0D">
        <w:rPr>
          <w:b/>
          <w:bCs/>
          <w:sz w:val="24"/>
          <w:szCs w:val="24"/>
        </w:rPr>
        <w:t>Regulatory Strategies</w:t>
      </w:r>
    </w:p>
    <w:p w14:paraId="2ECB444A" w14:textId="77777777" w:rsidR="00256A16" w:rsidRDefault="00256A16" w:rsidP="00256A16">
      <w:pPr>
        <w:spacing w:line="360" w:lineRule="auto"/>
        <w:jc w:val="both"/>
        <w:rPr>
          <w:sz w:val="24"/>
          <w:szCs w:val="24"/>
        </w:rPr>
      </w:pPr>
      <w:r w:rsidRPr="00BA7B0D">
        <w:rPr>
          <w:sz w:val="24"/>
          <w:szCs w:val="24"/>
        </w:rPr>
        <w:t xml:space="preserve">Levi and Maguire (2004) argue that effective prevention can extend beyond law enforcement and include – regulatory, and private sector involvement to develop policies and practices underpinned by the features of SCP. Regulatory approaches include taxes, licensing, and legislation. Globally, regional authorities have adopted administrative approaches to reduce opportunities to commit crime. Huisman and </w:t>
      </w:r>
      <w:proofErr w:type="spellStart"/>
      <w:r w:rsidRPr="00BA7B0D">
        <w:rPr>
          <w:sz w:val="24"/>
          <w:szCs w:val="24"/>
        </w:rPr>
        <w:t>Nelen</w:t>
      </w:r>
      <w:proofErr w:type="spellEnd"/>
      <w:r w:rsidRPr="00BA7B0D">
        <w:rPr>
          <w:sz w:val="24"/>
          <w:szCs w:val="24"/>
        </w:rPr>
        <w:t xml:space="preserve"> (2007) studied the Van-</w:t>
      </w:r>
      <w:proofErr w:type="spellStart"/>
      <w:r w:rsidRPr="00BA7B0D">
        <w:rPr>
          <w:sz w:val="24"/>
          <w:szCs w:val="24"/>
        </w:rPr>
        <w:t>Traa</w:t>
      </w:r>
      <w:proofErr w:type="spellEnd"/>
      <w:r w:rsidRPr="00BA7B0D">
        <w:rPr>
          <w:sz w:val="24"/>
          <w:szCs w:val="24"/>
        </w:rPr>
        <w:t xml:space="preserve"> project, Amsterdam. The red-light district was identified as a hotspot for organised crime – local authorities collaborated for a range of strategies, including ‘integrity’ tests for civil servants, </w:t>
      </w:r>
      <w:r w:rsidRPr="00BA7B0D">
        <w:rPr>
          <w:sz w:val="24"/>
          <w:szCs w:val="24"/>
        </w:rPr>
        <w:lastRenderedPageBreak/>
        <w:t>refusal/withdrawal of permits and screening of companies. The aim being to exclude identified criminal organisations from operating. The authors observed positive effects (such as multi-agency cooperation) However, without empirical data the extent of results on organised crime is unclear.</w:t>
      </w:r>
    </w:p>
    <w:p w14:paraId="47078D58" w14:textId="77777777" w:rsidR="00256A16" w:rsidRPr="00BA7B0D" w:rsidRDefault="00256A16" w:rsidP="00256A16">
      <w:pPr>
        <w:spacing w:line="360" w:lineRule="auto"/>
        <w:jc w:val="both"/>
        <w:rPr>
          <w:sz w:val="24"/>
          <w:szCs w:val="24"/>
        </w:rPr>
      </w:pPr>
    </w:p>
    <w:p w14:paraId="07C6473B" w14:textId="77777777" w:rsidR="00256A16" w:rsidRPr="00BA7B0D" w:rsidRDefault="00256A16" w:rsidP="00256A16">
      <w:pPr>
        <w:spacing w:line="360" w:lineRule="auto"/>
        <w:jc w:val="both"/>
        <w:rPr>
          <w:sz w:val="24"/>
          <w:szCs w:val="24"/>
        </w:rPr>
      </w:pPr>
      <w:r w:rsidRPr="00BA7B0D">
        <w:rPr>
          <w:sz w:val="24"/>
          <w:szCs w:val="24"/>
        </w:rPr>
        <w:t xml:space="preserve">In addition to local authorities introducing regulatory measures, governments have created legislation to provide enforcement agencies with new tools to investigate, disrupt and prosecute organised criminal enterprises. In 2018 the UK government set out its Serious and Organised Crime Strategy.  This document describes legislative powers for enforcement agencies to legally disrupt illegal operations and </w:t>
      </w:r>
      <w:r>
        <w:rPr>
          <w:sz w:val="24"/>
          <w:szCs w:val="24"/>
        </w:rPr>
        <w:t xml:space="preserve">newly </w:t>
      </w:r>
      <w:r w:rsidRPr="00BA7B0D">
        <w:rPr>
          <w:sz w:val="24"/>
          <w:szCs w:val="24"/>
        </w:rPr>
        <w:t xml:space="preserve">created specialist agencies. There is however no definable/ measurable metrics to compare how effective legislation is or how enforcement agencies will adopt or create resources to fully utilize it. Many criminologists note such legislation lacks empirical data to support any claim of its effectiveness - </w:t>
      </w:r>
      <w:proofErr w:type="spellStart"/>
      <w:r w:rsidRPr="00BA7B0D">
        <w:rPr>
          <w:sz w:val="24"/>
          <w:szCs w:val="24"/>
        </w:rPr>
        <w:t>Sproat</w:t>
      </w:r>
      <w:proofErr w:type="spellEnd"/>
      <w:r w:rsidRPr="00BA7B0D">
        <w:rPr>
          <w:sz w:val="24"/>
          <w:szCs w:val="24"/>
        </w:rPr>
        <w:t xml:space="preserve"> (2012) suggest these constitute a “</w:t>
      </w:r>
      <w:r w:rsidRPr="00BA7B0D">
        <w:rPr>
          <w:i/>
          <w:iCs/>
          <w:sz w:val="24"/>
          <w:szCs w:val="24"/>
        </w:rPr>
        <w:t>phoney war or appeasement</w:t>
      </w:r>
      <w:r w:rsidRPr="00BA7B0D">
        <w:rPr>
          <w:sz w:val="24"/>
          <w:szCs w:val="24"/>
        </w:rPr>
        <w:t>”. Other authors note that enforcement effectiveness is often communicated in the statistics of arrests, seizures, and prosecutions (Mackenzie and Hamilton-Smith 2011). Crucially, these numerical values do not support an objective measure of effectiveness - has the arrests, seizures, prosecutions reduced occurrences of crime? Has it been displaced or created room for another OCG (organised crime group) to establish? Is there now greater harm caused?</w:t>
      </w:r>
    </w:p>
    <w:p w14:paraId="5CA7693D" w14:textId="77777777" w:rsidR="00256A16" w:rsidRPr="00BA7B0D" w:rsidRDefault="00256A16" w:rsidP="00256A16">
      <w:pPr>
        <w:spacing w:line="360" w:lineRule="auto"/>
        <w:jc w:val="both"/>
        <w:rPr>
          <w:sz w:val="24"/>
          <w:szCs w:val="24"/>
        </w:rPr>
      </w:pPr>
    </w:p>
    <w:p w14:paraId="1D7D3BF4" w14:textId="77777777" w:rsidR="00256A16" w:rsidRPr="00BA7B0D" w:rsidRDefault="00256A16" w:rsidP="00256A16">
      <w:pPr>
        <w:spacing w:line="360" w:lineRule="auto"/>
        <w:jc w:val="both"/>
        <w:rPr>
          <w:b/>
          <w:bCs/>
          <w:sz w:val="24"/>
          <w:szCs w:val="24"/>
        </w:rPr>
      </w:pPr>
      <w:r w:rsidRPr="00BA7B0D">
        <w:rPr>
          <w:b/>
          <w:bCs/>
          <w:sz w:val="24"/>
          <w:szCs w:val="24"/>
        </w:rPr>
        <w:t>Private Sector Strategies</w:t>
      </w:r>
    </w:p>
    <w:p w14:paraId="6871BD9B" w14:textId="77777777" w:rsidR="00256A16" w:rsidRPr="00BA7B0D" w:rsidRDefault="00256A16" w:rsidP="00256A16">
      <w:pPr>
        <w:spacing w:line="360" w:lineRule="auto"/>
        <w:jc w:val="both"/>
        <w:rPr>
          <w:sz w:val="24"/>
          <w:szCs w:val="24"/>
        </w:rPr>
      </w:pPr>
      <w:r w:rsidRPr="00BA7B0D">
        <w:rPr>
          <w:sz w:val="24"/>
          <w:szCs w:val="24"/>
        </w:rPr>
        <w:t xml:space="preserve">The private sector can implement polices, rule setting and reporting processes that create unfavourable environments for OCGs to operate. For example, OCGs may require banking institution to launder large sums of money. Therefore, banks working in cooperation with enforcement agencies can assist detection and economic surveillance to assist authorities in building evidence and map out OCG activities. In addition, OCGs may utilize private companies </w:t>
      </w:r>
      <w:r>
        <w:rPr>
          <w:sz w:val="24"/>
          <w:szCs w:val="24"/>
        </w:rPr>
        <w:t>to</w:t>
      </w:r>
      <w:r w:rsidRPr="00BA7B0D">
        <w:rPr>
          <w:sz w:val="24"/>
          <w:szCs w:val="24"/>
        </w:rPr>
        <w:t xml:space="preserve"> transport drugs, trafficking etc). Therefore, companies whose legal business operations are utilized by illegal operations provide opportunities to detect criminality. Enforcement of documents, identity checks carried out alongside transport / shipping / boarder control could increase detection and movement of illegal products. These strategies</w:t>
      </w:r>
      <w:r>
        <w:rPr>
          <w:sz w:val="24"/>
          <w:szCs w:val="24"/>
        </w:rPr>
        <w:t>,</w:t>
      </w:r>
      <w:r w:rsidRPr="00BA7B0D">
        <w:rPr>
          <w:sz w:val="24"/>
          <w:szCs w:val="24"/>
        </w:rPr>
        <w:t xml:space="preserve"> theoretically</w:t>
      </w:r>
      <w:r>
        <w:rPr>
          <w:sz w:val="24"/>
          <w:szCs w:val="24"/>
        </w:rPr>
        <w:t>,</w:t>
      </w:r>
      <w:r w:rsidRPr="00BA7B0D">
        <w:rPr>
          <w:sz w:val="24"/>
          <w:szCs w:val="24"/>
        </w:rPr>
        <w:t xml:space="preserve"> would </w:t>
      </w:r>
      <w:r w:rsidRPr="00BA7B0D">
        <w:rPr>
          <w:sz w:val="24"/>
          <w:szCs w:val="24"/>
        </w:rPr>
        <w:lastRenderedPageBreak/>
        <w:t>make illegal operations more difficult. Although this area would need research/data to rule out any displacement effect. Without knowing the scope of the issue with quality intervention data, the effectiveness is difficult to establish via valid scientific analysis.</w:t>
      </w:r>
    </w:p>
    <w:p w14:paraId="6E83C576" w14:textId="77777777" w:rsidR="00256A16" w:rsidRPr="00BA7B0D" w:rsidRDefault="00256A16" w:rsidP="00256A16">
      <w:pPr>
        <w:spacing w:line="360" w:lineRule="auto"/>
        <w:jc w:val="both"/>
        <w:rPr>
          <w:sz w:val="24"/>
          <w:szCs w:val="24"/>
        </w:rPr>
      </w:pPr>
    </w:p>
    <w:p w14:paraId="503B3E1F" w14:textId="77777777" w:rsidR="00256A16" w:rsidRPr="00BA7B0D" w:rsidRDefault="00256A16" w:rsidP="00256A16">
      <w:pPr>
        <w:spacing w:line="360" w:lineRule="auto"/>
        <w:jc w:val="both"/>
        <w:rPr>
          <w:b/>
          <w:bCs/>
          <w:sz w:val="24"/>
          <w:szCs w:val="24"/>
        </w:rPr>
      </w:pPr>
      <w:r w:rsidRPr="00BA7B0D">
        <w:rPr>
          <w:b/>
          <w:bCs/>
          <w:sz w:val="24"/>
          <w:szCs w:val="24"/>
        </w:rPr>
        <w:t>Conclusion</w:t>
      </w:r>
    </w:p>
    <w:p w14:paraId="0BCB07A7" w14:textId="77777777" w:rsidR="00256A16" w:rsidRPr="00BA7B0D" w:rsidRDefault="00256A16" w:rsidP="00256A16">
      <w:pPr>
        <w:spacing w:line="360" w:lineRule="auto"/>
        <w:jc w:val="both"/>
        <w:rPr>
          <w:sz w:val="24"/>
          <w:szCs w:val="24"/>
        </w:rPr>
      </w:pPr>
      <w:r w:rsidRPr="00BA7B0D">
        <w:rPr>
          <w:sz w:val="24"/>
          <w:szCs w:val="24"/>
        </w:rPr>
        <w:t>SCP strategies seek to deter criminal activities by creating a hostile environment for such activities to thrive. Therefore, successful crime prevention strategies require comprehensive analysis of the features of the crime problem to be addressed. This allows specific features to be identified and the development of appropriate strategies. Careful considerations should be given to the metrics of success with transparent acknowledgment of any limitation to the approach. At present the success of strategies are based on ideology rather than empirical data. This limits their validity to be able to be reviewed and evaluated through the context of broader scientific knowledge – in essence there are very few examples of accurate before</w:t>
      </w:r>
      <w:r>
        <w:rPr>
          <w:sz w:val="24"/>
          <w:szCs w:val="24"/>
        </w:rPr>
        <w:t>-</w:t>
      </w:r>
      <w:r w:rsidRPr="00BA7B0D">
        <w:rPr>
          <w:sz w:val="24"/>
          <w:szCs w:val="24"/>
        </w:rPr>
        <w:t>and</w:t>
      </w:r>
      <w:r>
        <w:rPr>
          <w:sz w:val="24"/>
          <w:szCs w:val="24"/>
        </w:rPr>
        <w:t>-</w:t>
      </w:r>
      <w:proofErr w:type="gramStart"/>
      <w:r w:rsidRPr="00BA7B0D">
        <w:rPr>
          <w:sz w:val="24"/>
          <w:szCs w:val="24"/>
        </w:rPr>
        <w:t>after effects</w:t>
      </w:r>
      <w:proofErr w:type="gramEnd"/>
      <w:r w:rsidRPr="00BA7B0D">
        <w:rPr>
          <w:sz w:val="24"/>
          <w:szCs w:val="24"/>
        </w:rPr>
        <w:t>. To address the limitation of prevention strategy effectiveness, greater transparency and collaboration between enforcement agencies and academic research should be utilized. The development of robust methodology and quality data would enable analysis of measurable outcomes against specific goals.</w:t>
      </w:r>
    </w:p>
    <w:p w14:paraId="06F143B9" w14:textId="77777777" w:rsidR="00256A16" w:rsidRPr="00BA7B0D" w:rsidRDefault="00256A16" w:rsidP="00256A16">
      <w:pPr>
        <w:spacing w:line="360" w:lineRule="auto"/>
        <w:jc w:val="both"/>
        <w:rPr>
          <w:sz w:val="24"/>
          <w:szCs w:val="24"/>
        </w:rPr>
      </w:pPr>
      <w:r w:rsidRPr="00BA7B0D">
        <w:rPr>
          <w:sz w:val="24"/>
          <w:szCs w:val="24"/>
        </w:rPr>
        <w:t>Word Count: 109</w:t>
      </w:r>
      <w:r>
        <w:rPr>
          <w:sz w:val="24"/>
          <w:szCs w:val="24"/>
        </w:rPr>
        <w:t>4</w:t>
      </w:r>
    </w:p>
    <w:p w14:paraId="70BFD091" w14:textId="77777777" w:rsidR="00256A16" w:rsidRPr="00BA7B0D" w:rsidRDefault="00256A16" w:rsidP="00256A16">
      <w:pPr>
        <w:spacing w:line="360" w:lineRule="auto"/>
        <w:jc w:val="both"/>
        <w:rPr>
          <w:sz w:val="24"/>
          <w:szCs w:val="24"/>
        </w:rPr>
      </w:pPr>
    </w:p>
    <w:p w14:paraId="09B14C01" w14:textId="77777777" w:rsidR="00256A16" w:rsidRPr="00BA7B0D" w:rsidRDefault="00256A16" w:rsidP="00256A16">
      <w:pPr>
        <w:spacing w:line="360" w:lineRule="auto"/>
        <w:rPr>
          <w:b/>
          <w:bCs/>
          <w:sz w:val="24"/>
          <w:szCs w:val="24"/>
        </w:rPr>
      </w:pPr>
      <w:r w:rsidRPr="00BA7B0D">
        <w:rPr>
          <w:b/>
          <w:bCs/>
          <w:sz w:val="24"/>
          <w:szCs w:val="24"/>
        </w:rPr>
        <w:t>Bibliography</w:t>
      </w:r>
    </w:p>
    <w:p w14:paraId="71BD899E"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Felson, M. and Clarke, R.V. (1998) Opportunity Makes the Thief: Practical Theory for Crime Prevention (Police Research Series Paper No. 98). Research, Development and Statistics Directorate, London. Available at:</w:t>
      </w:r>
    </w:p>
    <w:p w14:paraId="0F5568A3" w14:textId="77777777" w:rsidR="00256A16" w:rsidRPr="00BA7B0D" w:rsidRDefault="00F9105A" w:rsidP="00256A16">
      <w:pPr>
        <w:pStyle w:val="NormalWeb"/>
        <w:spacing w:before="0" w:beforeAutospacing="0" w:after="0" w:afterAutospacing="0"/>
        <w:rPr>
          <w:rFonts w:ascii="Calibri" w:hAnsi="Calibri" w:cs="Calibri"/>
        </w:rPr>
      </w:pPr>
      <w:hyperlink r:id="rId51" w:history="1">
        <w:r w:rsidR="00256A16" w:rsidRPr="00BA7B0D">
          <w:rPr>
            <w:rStyle w:val="Hyperlink"/>
            <w:rFonts w:ascii="Calibri" w:hAnsi="Calibri" w:cs="Calibri"/>
          </w:rPr>
          <w:t>https://popcenter.asu.edu/sites/default/files/opportunity_makes_the_thief.pdf</w:t>
        </w:r>
      </w:hyperlink>
    </w:p>
    <w:p w14:paraId="5A9C00F7" w14:textId="77777777" w:rsidR="00256A16" w:rsidRPr="00BA7B0D" w:rsidRDefault="00256A16" w:rsidP="00256A16">
      <w:pPr>
        <w:pStyle w:val="NormalWeb"/>
        <w:spacing w:before="0" w:beforeAutospacing="0" w:after="0" w:afterAutospacing="0"/>
        <w:rPr>
          <w:rFonts w:ascii="Calibri" w:hAnsi="Calibri" w:cs="Calibri"/>
        </w:rPr>
      </w:pPr>
    </w:p>
    <w:p w14:paraId="2DDDF613"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 xml:space="preserve">Huisman, W. and </w:t>
      </w:r>
      <w:proofErr w:type="spellStart"/>
      <w:r w:rsidRPr="00BA7B0D">
        <w:rPr>
          <w:rFonts w:ascii="Calibri" w:hAnsi="Calibri" w:cs="Calibri"/>
        </w:rPr>
        <w:t>Nelen</w:t>
      </w:r>
      <w:proofErr w:type="spellEnd"/>
      <w:r w:rsidRPr="00BA7B0D">
        <w:rPr>
          <w:rFonts w:ascii="Calibri" w:hAnsi="Calibri" w:cs="Calibri"/>
        </w:rPr>
        <w:t>, H. (2007) ‘Gotham Unbound Dutch Style. The administrative approach to organized crime in Amsterdam’, Crime, law, and social change, 48(3-5), pp. 87–103. Available at:</w:t>
      </w:r>
    </w:p>
    <w:p w14:paraId="3735F16C"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 xml:space="preserve"> </w:t>
      </w:r>
      <w:hyperlink r:id="rId52" w:history="1">
        <w:r w:rsidRPr="00BA7B0D">
          <w:rPr>
            <w:rStyle w:val="Hyperlink"/>
            <w:rFonts w:ascii="Calibri" w:hAnsi="Calibri" w:cs="Calibri"/>
          </w:rPr>
          <w:t>https://doi.org/10.1007/s10611-007-9083-3</w:t>
        </w:r>
      </w:hyperlink>
      <w:r w:rsidRPr="00BA7B0D">
        <w:rPr>
          <w:rFonts w:ascii="Calibri" w:hAnsi="Calibri" w:cs="Calibri"/>
        </w:rPr>
        <w:t>.</w:t>
      </w:r>
    </w:p>
    <w:p w14:paraId="2B7B90C1" w14:textId="77777777" w:rsidR="00256A16" w:rsidRPr="00BA7B0D" w:rsidRDefault="00256A16" w:rsidP="00256A16">
      <w:pPr>
        <w:pStyle w:val="NormalWeb"/>
        <w:spacing w:before="0" w:beforeAutospacing="0" w:after="0" w:afterAutospacing="0"/>
        <w:rPr>
          <w:rFonts w:ascii="Calibri" w:hAnsi="Calibri" w:cs="Calibri"/>
        </w:rPr>
      </w:pPr>
    </w:p>
    <w:p w14:paraId="3E6D11C2"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 xml:space="preserve">Kirby, S. and </w:t>
      </w:r>
      <w:proofErr w:type="spellStart"/>
      <w:r w:rsidRPr="00BA7B0D">
        <w:rPr>
          <w:rFonts w:ascii="Calibri" w:hAnsi="Calibri" w:cs="Calibri"/>
        </w:rPr>
        <w:t>Nailer</w:t>
      </w:r>
      <w:proofErr w:type="spellEnd"/>
      <w:r w:rsidRPr="00BA7B0D">
        <w:rPr>
          <w:rFonts w:ascii="Calibri" w:hAnsi="Calibri" w:cs="Calibri"/>
        </w:rPr>
        <w:t xml:space="preserve">, L. (2013) ‘Reducing the offending of a UK organized crime group using an opportunity-reducing framework—a </w:t>
      </w:r>
      <w:proofErr w:type="gramStart"/>
      <w:r w:rsidRPr="00BA7B0D">
        <w:rPr>
          <w:rFonts w:ascii="Calibri" w:hAnsi="Calibri" w:cs="Calibri"/>
        </w:rPr>
        <w:t>three year</w:t>
      </w:r>
      <w:proofErr w:type="gramEnd"/>
      <w:r w:rsidRPr="00BA7B0D">
        <w:rPr>
          <w:rFonts w:ascii="Calibri" w:hAnsi="Calibri" w:cs="Calibri"/>
        </w:rPr>
        <w:t xml:space="preserve"> case study’, Trends in organized crime, 16(4), pp. 397–412. Available at:</w:t>
      </w:r>
    </w:p>
    <w:p w14:paraId="794F0A8D"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lastRenderedPageBreak/>
        <w:t xml:space="preserve"> </w:t>
      </w:r>
      <w:hyperlink r:id="rId53" w:history="1">
        <w:r w:rsidRPr="00BA7B0D">
          <w:rPr>
            <w:rStyle w:val="Hyperlink"/>
            <w:rFonts w:ascii="Calibri" w:hAnsi="Calibri" w:cs="Calibri"/>
          </w:rPr>
          <w:t>https://doi.org/10.1007/s12117-013-9195-3</w:t>
        </w:r>
      </w:hyperlink>
      <w:r w:rsidRPr="00BA7B0D">
        <w:rPr>
          <w:rFonts w:ascii="Calibri" w:hAnsi="Calibri" w:cs="Calibri"/>
        </w:rPr>
        <w:t>.</w:t>
      </w:r>
    </w:p>
    <w:p w14:paraId="6854C393" w14:textId="77777777" w:rsidR="00256A16" w:rsidRPr="00BA7B0D" w:rsidRDefault="00256A16" w:rsidP="00256A16">
      <w:pPr>
        <w:pStyle w:val="NormalWeb"/>
        <w:spacing w:before="0" w:beforeAutospacing="0" w:after="0" w:afterAutospacing="0"/>
        <w:rPr>
          <w:rFonts w:ascii="Calibri" w:hAnsi="Calibri" w:cs="Calibri"/>
        </w:rPr>
      </w:pPr>
    </w:p>
    <w:p w14:paraId="16DFBE17" w14:textId="77777777" w:rsidR="00256A16" w:rsidRPr="00BA7B0D" w:rsidRDefault="00256A16" w:rsidP="00256A16">
      <w:pPr>
        <w:pStyle w:val="NormalWeb"/>
        <w:spacing w:before="0" w:beforeAutospacing="0" w:after="0" w:afterAutospacing="0"/>
        <w:rPr>
          <w:rFonts w:ascii="Calibri" w:hAnsi="Calibri" w:cs="Calibri"/>
        </w:rPr>
      </w:pPr>
      <w:proofErr w:type="spellStart"/>
      <w:r w:rsidRPr="00BA7B0D">
        <w:rPr>
          <w:rFonts w:ascii="Calibri" w:hAnsi="Calibri" w:cs="Calibri"/>
        </w:rPr>
        <w:t>Kleemans</w:t>
      </w:r>
      <w:proofErr w:type="spellEnd"/>
      <w:r w:rsidRPr="00BA7B0D">
        <w:rPr>
          <w:rFonts w:ascii="Calibri" w:hAnsi="Calibri" w:cs="Calibri"/>
        </w:rPr>
        <w:t xml:space="preserve">, E., </w:t>
      </w:r>
      <w:proofErr w:type="spellStart"/>
      <w:r w:rsidRPr="00BA7B0D">
        <w:rPr>
          <w:rFonts w:ascii="Calibri" w:hAnsi="Calibri" w:cs="Calibri"/>
        </w:rPr>
        <w:t>Soudijn</w:t>
      </w:r>
      <w:proofErr w:type="spellEnd"/>
      <w:r w:rsidRPr="00BA7B0D">
        <w:rPr>
          <w:rFonts w:ascii="Calibri" w:hAnsi="Calibri" w:cs="Calibri"/>
        </w:rPr>
        <w:t xml:space="preserve">, M. and </w:t>
      </w:r>
      <w:proofErr w:type="spellStart"/>
      <w:r w:rsidRPr="00BA7B0D">
        <w:rPr>
          <w:rFonts w:ascii="Calibri" w:hAnsi="Calibri" w:cs="Calibri"/>
        </w:rPr>
        <w:t>Weenink</w:t>
      </w:r>
      <w:proofErr w:type="spellEnd"/>
      <w:r w:rsidRPr="00BA7B0D">
        <w:rPr>
          <w:rFonts w:ascii="Calibri" w:hAnsi="Calibri" w:cs="Calibri"/>
        </w:rPr>
        <w:t xml:space="preserve">, A. (2012) ‘Organized crime, situational crime prevention and routine activity theory’, Trends in organized crime, 15(2), pp. 87–92. Available at: </w:t>
      </w:r>
      <w:hyperlink r:id="rId54" w:history="1">
        <w:r w:rsidRPr="00BA7B0D">
          <w:rPr>
            <w:rStyle w:val="Hyperlink"/>
            <w:rFonts w:ascii="Calibri" w:hAnsi="Calibri" w:cs="Calibri"/>
          </w:rPr>
          <w:t>https://doi.org/10.1007/s12117-012-9173-1</w:t>
        </w:r>
      </w:hyperlink>
      <w:r w:rsidRPr="00BA7B0D">
        <w:rPr>
          <w:rFonts w:ascii="Calibri" w:hAnsi="Calibri" w:cs="Calibri"/>
        </w:rPr>
        <w:t>.</w:t>
      </w:r>
    </w:p>
    <w:p w14:paraId="208C2A1C"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 </w:t>
      </w:r>
    </w:p>
    <w:p w14:paraId="3C383F07" w14:textId="77777777" w:rsidR="00256A16" w:rsidRPr="00BA7B0D" w:rsidRDefault="00256A16" w:rsidP="00256A16">
      <w:pPr>
        <w:pStyle w:val="NormalWeb"/>
        <w:spacing w:before="0" w:beforeAutospacing="0" w:after="0" w:afterAutospacing="0"/>
        <w:rPr>
          <w:rFonts w:ascii="Calibri" w:hAnsi="Calibri" w:cs="Calibri"/>
        </w:rPr>
      </w:pPr>
      <w:proofErr w:type="spellStart"/>
      <w:r w:rsidRPr="00BA7B0D">
        <w:rPr>
          <w:rFonts w:ascii="Calibri" w:hAnsi="Calibri" w:cs="Calibri"/>
        </w:rPr>
        <w:t>Korsell</w:t>
      </w:r>
      <w:proofErr w:type="spellEnd"/>
      <w:r w:rsidRPr="00BA7B0D">
        <w:rPr>
          <w:rFonts w:ascii="Calibri" w:hAnsi="Calibri" w:cs="Calibri"/>
        </w:rPr>
        <w:t xml:space="preserve">, L. (2018) ‘Regulating Organized Crime’, The Annals of the American Academy of Political and Social Science, 679(1), pp. 158–177. Available at: </w:t>
      </w:r>
      <w:hyperlink r:id="rId55" w:history="1">
        <w:r w:rsidRPr="00BA7B0D">
          <w:rPr>
            <w:rStyle w:val="Hyperlink"/>
            <w:rFonts w:ascii="Calibri" w:hAnsi="Calibri" w:cs="Calibri"/>
          </w:rPr>
          <w:t>https://doi.org/10.1177/0002716218782654</w:t>
        </w:r>
      </w:hyperlink>
      <w:r w:rsidRPr="00BA7B0D">
        <w:rPr>
          <w:rFonts w:ascii="Calibri" w:hAnsi="Calibri" w:cs="Calibri"/>
        </w:rPr>
        <w:t>.</w:t>
      </w:r>
    </w:p>
    <w:p w14:paraId="54D6B4A0"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 </w:t>
      </w:r>
    </w:p>
    <w:p w14:paraId="4BDC4A19"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 xml:space="preserve">Levi, M. and Maguire, M. (2004) ‘Reducing and preventing organised crime: An evidence-based critique’, Crime, law, and social change, 41(5), pp. 397–469. Available at: </w:t>
      </w:r>
      <w:hyperlink r:id="rId56" w:history="1">
        <w:r w:rsidRPr="00BA7B0D">
          <w:rPr>
            <w:rStyle w:val="Hyperlink"/>
            <w:rFonts w:ascii="Calibri" w:hAnsi="Calibri" w:cs="Calibri"/>
          </w:rPr>
          <w:t>https://doi.org/10.1023/B:CRIS.0000039600.88691.af</w:t>
        </w:r>
      </w:hyperlink>
      <w:r w:rsidRPr="00BA7B0D">
        <w:rPr>
          <w:rFonts w:ascii="Calibri" w:hAnsi="Calibri" w:cs="Calibri"/>
        </w:rPr>
        <w:t>.</w:t>
      </w:r>
    </w:p>
    <w:p w14:paraId="5D13711B"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 </w:t>
      </w:r>
    </w:p>
    <w:p w14:paraId="4DE6F259"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 xml:space="preserve">Mackenzie, S. and Hamilton-Smith, N. (2011) ‘Measuring police impact on organised crime: Performance management and harm reduction’, </w:t>
      </w:r>
      <w:proofErr w:type="gramStart"/>
      <w:r w:rsidRPr="00BA7B0D">
        <w:rPr>
          <w:rFonts w:ascii="Calibri" w:hAnsi="Calibri" w:cs="Calibri"/>
        </w:rPr>
        <w:t>Policing :</w:t>
      </w:r>
      <w:proofErr w:type="gramEnd"/>
      <w:r w:rsidRPr="00BA7B0D">
        <w:rPr>
          <w:rFonts w:ascii="Calibri" w:hAnsi="Calibri" w:cs="Calibri"/>
        </w:rPr>
        <w:t xml:space="preserve"> an international journal of police strategies &amp; management, 34(1), pp. 7–30. Available at: </w:t>
      </w:r>
      <w:hyperlink r:id="rId57" w:history="1">
        <w:r w:rsidRPr="00BA7B0D">
          <w:rPr>
            <w:rStyle w:val="Hyperlink"/>
            <w:rFonts w:ascii="Calibri" w:hAnsi="Calibri" w:cs="Calibri"/>
          </w:rPr>
          <w:t>https://doi.org/10.1108/13639511111106588</w:t>
        </w:r>
      </w:hyperlink>
      <w:r w:rsidRPr="00BA7B0D">
        <w:rPr>
          <w:rFonts w:ascii="Calibri" w:hAnsi="Calibri" w:cs="Calibri"/>
        </w:rPr>
        <w:t>.</w:t>
      </w:r>
    </w:p>
    <w:p w14:paraId="2FEC1C7F" w14:textId="77777777" w:rsidR="00256A16" w:rsidRPr="00BA7B0D" w:rsidRDefault="00256A16" w:rsidP="00256A16">
      <w:pPr>
        <w:pStyle w:val="NormalWeb"/>
        <w:spacing w:before="0" w:beforeAutospacing="0" w:after="0" w:afterAutospacing="0"/>
        <w:rPr>
          <w:rFonts w:ascii="Calibri" w:hAnsi="Calibri" w:cs="Calibri"/>
        </w:rPr>
      </w:pPr>
    </w:p>
    <w:p w14:paraId="100DF7A6"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Organised Crime Strategy (2018). Cps.gov.uk). Available at:</w:t>
      </w:r>
    </w:p>
    <w:p w14:paraId="02E26809" w14:textId="77777777" w:rsidR="00256A16" w:rsidRPr="00BA7B0D" w:rsidRDefault="00F9105A" w:rsidP="00256A16">
      <w:pPr>
        <w:pStyle w:val="NormalWeb"/>
        <w:spacing w:before="0" w:beforeAutospacing="0" w:after="0" w:afterAutospacing="0"/>
        <w:rPr>
          <w:rFonts w:ascii="Calibri" w:hAnsi="Calibri" w:cs="Calibri"/>
        </w:rPr>
      </w:pPr>
      <w:hyperlink r:id="rId58" w:history="1">
        <w:r w:rsidR="00256A16" w:rsidRPr="00BA7B0D">
          <w:rPr>
            <w:rStyle w:val="Hyperlink"/>
            <w:rFonts w:ascii="Calibri" w:hAnsi="Calibri" w:cs="Calibri"/>
          </w:rPr>
          <w:t>Organised Crime - Strategy | The Crown Prosecution Service (cps.gov.uk)</w:t>
        </w:r>
      </w:hyperlink>
    </w:p>
    <w:p w14:paraId="42BDD4BF"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Accessed 14th December 2022</w:t>
      </w:r>
    </w:p>
    <w:p w14:paraId="07977511" w14:textId="77777777" w:rsidR="00256A16" w:rsidRPr="00BA7B0D" w:rsidRDefault="00256A16" w:rsidP="00256A16">
      <w:pPr>
        <w:pStyle w:val="NormalWeb"/>
        <w:spacing w:before="0" w:beforeAutospacing="0" w:after="0" w:afterAutospacing="0"/>
        <w:rPr>
          <w:rFonts w:ascii="Calibri" w:hAnsi="Calibri" w:cs="Calibri"/>
        </w:rPr>
      </w:pPr>
    </w:p>
    <w:p w14:paraId="5872B0D7" w14:textId="77777777" w:rsidR="00256A16" w:rsidRPr="00BA7B0D" w:rsidRDefault="00256A16" w:rsidP="00256A16">
      <w:pPr>
        <w:pStyle w:val="NormalWeb"/>
        <w:spacing w:before="0" w:beforeAutospacing="0" w:after="0" w:afterAutospacing="0"/>
        <w:rPr>
          <w:rFonts w:ascii="Calibri" w:hAnsi="Calibri" w:cs="Calibri"/>
        </w:rPr>
      </w:pPr>
      <w:proofErr w:type="spellStart"/>
      <w:r w:rsidRPr="00BA7B0D">
        <w:rPr>
          <w:rFonts w:ascii="Calibri" w:hAnsi="Calibri" w:cs="Calibri"/>
        </w:rPr>
        <w:t>Sproat</w:t>
      </w:r>
      <w:proofErr w:type="spellEnd"/>
      <w:r w:rsidRPr="00BA7B0D">
        <w:rPr>
          <w:rFonts w:ascii="Calibri" w:hAnsi="Calibri" w:cs="Calibri"/>
        </w:rPr>
        <w:t xml:space="preserve">, P.A. (2012) ‘Phoney war or appeasement? The policing of organised crime in the UK’, Trends in organized crime, 15(4), pp. 313–330. Available at: </w:t>
      </w:r>
      <w:hyperlink r:id="rId59" w:history="1">
        <w:r w:rsidRPr="00BA7B0D">
          <w:rPr>
            <w:rStyle w:val="Hyperlink"/>
            <w:rFonts w:ascii="Calibri" w:hAnsi="Calibri" w:cs="Calibri"/>
          </w:rPr>
          <w:t>https://doi.org/10.1007/s12117-012-9154-4</w:t>
        </w:r>
      </w:hyperlink>
      <w:r w:rsidRPr="00BA7B0D">
        <w:rPr>
          <w:rFonts w:ascii="Calibri" w:hAnsi="Calibri" w:cs="Calibri"/>
        </w:rPr>
        <w:t>.</w:t>
      </w:r>
    </w:p>
    <w:p w14:paraId="42F713A1"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 </w:t>
      </w:r>
    </w:p>
    <w:p w14:paraId="1BB8D411"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 xml:space="preserve">Von Lampe, K. (2011) ‘The application of the framework of Situational Crime Prevention to “organized crime”’, Criminology &amp; criminal justice, 11(2), pp. 145–163. Available at: </w:t>
      </w:r>
      <w:hyperlink r:id="rId60" w:history="1">
        <w:r w:rsidRPr="00BA7B0D">
          <w:rPr>
            <w:rStyle w:val="Hyperlink"/>
            <w:rFonts w:ascii="Calibri" w:hAnsi="Calibri" w:cs="Calibri"/>
          </w:rPr>
          <w:t>https://doi.org/10.1177/1748895811398459</w:t>
        </w:r>
      </w:hyperlink>
      <w:r w:rsidRPr="00BA7B0D">
        <w:rPr>
          <w:rFonts w:ascii="Calibri" w:hAnsi="Calibri" w:cs="Calibri"/>
        </w:rPr>
        <w:t>.</w:t>
      </w:r>
    </w:p>
    <w:p w14:paraId="1CAC5C15" w14:textId="77777777" w:rsidR="00256A16" w:rsidRPr="00BA7B0D" w:rsidRDefault="00256A16" w:rsidP="00256A16">
      <w:pPr>
        <w:pStyle w:val="NormalWeb"/>
        <w:spacing w:before="0" w:beforeAutospacing="0" w:after="0" w:afterAutospacing="0"/>
        <w:rPr>
          <w:rFonts w:ascii="Calibri" w:hAnsi="Calibri" w:cs="Calibri"/>
        </w:rPr>
      </w:pPr>
      <w:r w:rsidRPr="00BA7B0D">
        <w:rPr>
          <w:rFonts w:ascii="Calibri" w:hAnsi="Calibri" w:cs="Calibri"/>
        </w:rPr>
        <w:t> </w:t>
      </w:r>
    </w:p>
    <w:p w14:paraId="1B55452F" w14:textId="77777777" w:rsidR="00256A16" w:rsidRPr="00693376" w:rsidRDefault="00256A16" w:rsidP="00256A16">
      <w:pPr>
        <w:pStyle w:val="NormalWeb"/>
        <w:spacing w:before="0" w:beforeAutospacing="0" w:after="0" w:afterAutospacing="0"/>
        <w:rPr>
          <w:rFonts w:ascii="Calibri" w:hAnsi="Calibri" w:cs="Calibri"/>
        </w:rPr>
      </w:pPr>
      <w:r w:rsidRPr="00BA7B0D">
        <w:rPr>
          <w:rFonts w:ascii="Calibri" w:hAnsi="Calibri" w:cs="Calibri"/>
        </w:rPr>
        <w:t xml:space="preserve">Waardenburg, M. et al. (2018) ‘Evidence‐based prevention of organized crime: Assessing a new collaborative approach’, Public administration review, 78(2), pp. 315–317. Available at: </w:t>
      </w:r>
      <w:hyperlink r:id="rId61" w:history="1">
        <w:r w:rsidRPr="00BA7B0D">
          <w:rPr>
            <w:rStyle w:val="Hyperlink"/>
            <w:rFonts w:ascii="Calibri" w:hAnsi="Calibri" w:cs="Calibri"/>
          </w:rPr>
          <w:t>https://doi.org/10.1111/puar.12889</w:t>
        </w:r>
      </w:hyperlink>
      <w:r w:rsidRPr="00BA7B0D">
        <w:rPr>
          <w:rFonts w:ascii="Calibri" w:hAnsi="Calibri" w:cs="Calibri"/>
        </w:rPr>
        <w:t>.</w:t>
      </w:r>
    </w:p>
    <w:p w14:paraId="314BCE5A" w14:textId="77777777" w:rsidR="00256A16" w:rsidRPr="00BD16C8" w:rsidRDefault="00256A16" w:rsidP="00256A16">
      <w:pPr>
        <w:spacing w:line="360" w:lineRule="auto"/>
        <w:rPr>
          <w:b/>
          <w:bCs/>
          <w:sz w:val="24"/>
          <w:szCs w:val="24"/>
        </w:rPr>
      </w:pPr>
    </w:p>
    <w:p w14:paraId="7CBA83B7" w14:textId="65CD05E8" w:rsidR="00256A16" w:rsidRDefault="00256A16">
      <w:pPr>
        <w:rPr>
          <w:sz w:val="24"/>
          <w:szCs w:val="24"/>
        </w:rPr>
      </w:pPr>
      <w:r>
        <w:rPr>
          <w:sz w:val="24"/>
          <w:szCs w:val="24"/>
        </w:rPr>
        <w:br w:type="page"/>
      </w:r>
    </w:p>
    <w:p w14:paraId="0568781E" w14:textId="264A5DE8" w:rsidR="00256A16" w:rsidRPr="00256A16" w:rsidRDefault="00256A16" w:rsidP="00256A16">
      <w:pPr>
        <w:spacing w:line="360" w:lineRule="auto"/>
        <w:rPr>
          <w:b/>
          <w:bCs/>
          <w:sz w:val="24"/>
          <w:szCs w:val="24"/>
        </w:rPr>
      </w:pPr>
      <w:r w:rsidRPr="00256A16">
        <w:rPr>
          <w:b/>
          <w:bCs/>
          <w:sz w:val="24"/>
          <w:szCs w:val="24"/>
        </w:rPr>
        <w:lastRenderedPageBreak/>
        <w:t>ESSAY FIVE</w:t>
      </w:r>
    </w:p>
    <w:p w14:paraId="0E014AA7" w14:textId="62999313" w:rsidR="00256A16" w:rsidRDefault="00256A16" w:rsidP="00256A16">
      <w:pPr>
        <w:spacing w:line="360" w:lineRule="auto"/>
        <w:rPr>
          <w:sz w:val="24"/>
          <w:szCs w:val="24"/>
        </w:rPr>
      </w:pPr>
    </w:p>
    <w:p w14:paraId="600B64B8" w14:textId="77777777" w:rsidR="00256A16" w:rsidRPr="00E91A66" w:rsidRDefault="00256A16" w:rsidP="00256A16">
      <w:pPr>
        <w:jc w:val="both"/>
        <w:rPr>
          <w:b/>
          <w:bCs/>
          <w:sz w:val="24"/>
          <w:szCs w:val="24"/>
        </w:rPr>
      </w:pPr>
      <w:r w:rsidRPr="00E91A66">
        <w:rPr>
          <w:b/>
          <w:bCs/>
          <w:sz w:val="24"/>
          <w:szCs w:val="24"/>
        </w:rPr>
        <w:t>Introduction</w:t>
      </w:r>
    </w:p>
    <w:p w14:paraId="3023D969" w14:textId="77777777" w:rsidR="00256A16" w:rsidRDefault="00256A16" w:rsidP="00256A16">
      <w:pPr>
        <w:spacing w:line="360" w:lineRule="auto"/>
        <w:jc w:val="both"/>
        <w:rPr>
          <w:sz w:val="24"/>
          <w:szCs w:val="24"/>
        </w:rPr>
      </w:pPr>
      <w:r w:rsidRPr="00E91A66">
        <w:rPr>
          <w:sz w:val="24"/>
          <w:szCs w:val="24"/>
        </w:rPr>
        <w:t xml:space="preserve">UK statistics show that approximately 80% of people who receive cautions or convictions have offended before (Reducing Regional </w:t>
      </w:r>
      <w:r>
        <w:rPr>
          <w:sz w:val="24"/>
          <w:szCs w:val="24"/>
        </w:rPr>
        <w:t>re</w:t>
      </w:r>
      <w:r w:rsidRPr="00E91A66">
        <w:rPr>
          <w:sz w:val="24"/>
          <w:szCs w:val="24"/>
        </w:rPr>
        <w:t>offending</w:t>
      </w:r>
      <w:r>
        <w:rPr>
          <w:sz w:val="24"/>
          <w:szCs w:val="24"/>
        </w:rPr>
        <w:t xml:space="preserve"> Plans</w:t>
      </w:r>
      <w:r w:rsidRPr="00E91A66">
        <w:rPr>
          <w:sz w:val="24"/>
          <w:szCs w:val="24"/>
        </w:rPr>
        <w:t xml:space="preserve"> </w:t>
      </w:r>
      <w:r>
        <w:rPr>
          <w:sz w:val="24"/>
          <w:szCs w:val="24"/>
        </w:rPr>
        <w:t>2022</w:t>
      </w:r>
      <w:r w:rsidRPr="00E91A66">
        <w:rPr>
          <w:sz w:val="24"/>
          <w:szCs w:val="24"/>
        </w:rPr>
        <w:t>). This data warrants approaches aimed at tacking re-offenders. The prevalence of offenders to commit further offences is a complex issue. Factors such as mental health disorders, unemployment, unstable family / community relationships, homelessness and substance addictions among others can interact to drive reoffending behaviour (civilservice.blog.gov.uk). To address offender behaviour, there are a wide variety of initiatives, legislation, processes, and policies in place that can be employed to the circumstances and needs of the offender. In addition, other initiatives can be targeted towards a location which challenge the potential offender’s decision to commit the offence. In this article I will provide a brief overview and assessment of options to address re-offending of anti-social behaviour in the UK.</w:t>
      </w:r>
    </w:p>
    <w:p w14:paraId="6A586091" w14:textId="77777777" w:rsidR="00256A16" w:rsidRPr="00E91A66" w:rsidRDefault="00256A16" w:rsidP="00256A16">
      <w:pPr>
        <w:spacing w:line="360" w:lineRule="auto"/>
        <w:jc w:val="both"/>
        <w:rPr>
          <w:sz w:val="24"/>
          <w:szCs w:val="24"/>
        </w:rPr>
      </w:pPr>
    </w:p>
    <w:p w14:paraId="5B7D8932" w14:textId="77777777" w:rsidR="00256A16" w:rsidRPr="00E91A66" w:rsidRDefault="00256A16" w:rsidP="00256A16">
      <w:pPr>
        <w:jc w:val="both"/>
        <w:rPr>
          <w:b/>
          <w:bCs/>
          <w:sz w:val="24"/>
          <w:szCs w:val="24"/>
        </w:rPr>
      </w:pPr>
      <w:r w:rsidRPr="00E91A66">
        <w:rPr>
          <w:b/>
          <w:bCs/>
          <w:sz w:val="24"/>
          <w:szCs w:val="24"/>
        </w:rPr>
        <w:t>Anti-Social behaviour</w:t>
      </w:r>
    </w:p>
    <w:p w14:paraId="7A0519EE" w14:textId="77777777" w:rsidR="00256A16" w:rsidRDefault="00256A16" w:rsidP="00256A16">
      <w:pPr>
        <w:spacing w:line="360" w:lineRule="auto"/>
        <w:jc w:val="both"/>
        <w:rPr>
          <w:sz w:val="24"/>
          <w:szCs w:val="24"/>
        </w:rPr>
      </w:pPr>
      <w:r w:rsidRPr="00E91A66">
        <w:rPr>
          <w:sz w:val="24"/>
          <w:szCs w:val="24"/>
        </w:rPr>
        <w:t>Anti-social behaviour (ASB) is a general term that encompasses a variety of behaviours which fall under four main categories – misuse of public spaces, disregard for community, acts directed at people, and environment</w:t>
      </w:r>
      <w:r>
        <w:rPr>
          <w:sz w:val="24"/>
          <w:szCs w:val="24"/>
        </w:rPr>
        <w:t>al</w:t>
      </w:r>
      <w:r w:rsidRPr="00E91A66">
        <w:rPr>
          <w:sz w:val="24"/>
          <w:szCs w:val="24"/>
        </w:rPr>
        <w:t xml:space="preserve"> damage (Moore and Statham 2006). ASB disrupts or infringes on another person’s quality of life and causes level of distress. This behaviour may seem inconsequential however the sustained influence and fear of crime can result in severe negative impacts on the community and sense of safety. ASB and efforts to reduce it, is often associated with children who without suitable intervention may be a pre-curser to higher level offences in adulthood (</w:t>
      </w:r>
      <w:proofErr w:type="spellStart"/>
      <w:r w:rsidRPr="00E91A66">
        <w:rPr>
          <w:sz w:val="24"/>
          <w:szCs w:val="24"/>
        </w:rPr>
        <w:t>Jonkman</w:t>
      </w:r>
      <w:proofErr w:type="spellEnd"/>
      <w:r w:rsidRPr="00E91A66">
        <w:rPr>
          <w:sz w:val="24"/>
          <w:szCs w:val="24"/>
        </w:rPr>
        <w:t xml:space="preserve"> et al 2011).</w:t>
      </w:r>
    </w:p>
    <w:p w14:paraId="30C0A657" w14:textId="77777777" w:rsidR="00256A16" w:rsidRPr="00E91A66" w:rsidRDefault="00256A16" w:rsidP="00256A16">
      <w:pPr>
        <w:spacing w:line="360" w:lineRule="auto"/>
        <w:jc w:val="both"/>
        <w:rPr>
          <w:sz w:val="24"/>
          <w:szCs w:val="24"/>
        </w:rPr>
      </w:pPr>
    </w:p>
    <w:p w14:paraId="69BA1A37" w14:textId="77777777" w:rsidR="00256A16" w:rsidRPr="00E91A66" w:rsidRDefault="00256A16" w:rsidP="00256A16">
      <w:pPr>
        <w:jc w:val="both"/>
        <w:rPr>
          <w:b/>
          <w:bCs/>
          <w:sz w:val="24"/>
          <w:szCs w:val="24"/>
        </w:rPr>
      </w:pPr>
      <w:r w:rsidRPr="00E91A66">
        <w:rPr>
          <w:b/>
          <w:bCs/>
          <w:sz w:val="24"/>
          <w:szCs w:val="24"/>
        </w:rPr>
        <w:t>ASB legislation in Context</w:t>
      </w:r>
    </w:p>
    <w:p w14:paraId="238C9C2E" w14:textId="77777777" w:rsidR="00256A16" w:rsidRDefault="00256A16" w:rsidP="00256A16">
      <w:pPr>
        <w:spacing w:line="360" w:lineRule="auto"/>
        <w:jc w:val="both"/>
        <w:rPr>
          <w:sz w:val="24"/>
          <w:szCs w:val="24"/>
        </w:rPr>
      </w:pPr>
      <w:r w:rsidRPr="00E91A66">
        <w:rPr>
          <w:sz w:val="24"/>
          <w:szCs w:val="24"/>
        </w:rPr>
        <w:t xml:space="preserve">During the late ‘90s the UK government placed a focus on reducing ASB and developed legislation with a punitive approach to target the offender, namely the Crime and Disorder Act (1998) and Anti-Social Behaviour Act (2003). These punitive efforts targeted young people </w:t>
      </w:r>
      <w:r w:rsidRPr="00E91A66">
        <w:rPr>
          <w:sz w:val="24"/>
          <w:szCs w:val="24"/>
        </w:rPr>
        <w:lastRenderedPageBreak/>
        <w:t xml:space="preserve">with Acceptable behaviour contracts, Anti-social behaviour order and local child curfews. These </w:t>
      </w:r>
      <w:proofErr w:type="spellStart"/>
      <w:r w:rsidRPr="00E91A66">
        <w:rPr>
          <w:sz w:val="24"/>
          <w:szCs w:val="24"/>
        </w:rPr>
        <w:t>polices</w:t>
      </w:r>
      <w:proofErr w:type="spellEnd"/>
      <w:r w:rsidRPr="00E91A66">
        <w:rPr>
          <w:sz w:val="24"/>
          <w:szCs w:val="24"/>
        </w:rPr>
        <w:t xml:space="preserve"> were widely criticised for criminalising young people and data of their effectiveness collected since is inconclusive (Moore and Statham 2006). These measures were replaced by the Anti-Social, Crime and Policing Act (2014) which include, Community Protection Orders (CPNs), Civil injunctions and Public Spaces Protection Orders. They place preventative conditions of frequent offenders/ locations of identified nuisance behaviour. There appears to be a notable lack of evidence to the effectiveness of these legal powers in reducing ASB (Heap and Dickenson’s 2018).</w:t>
      </w:r>
    </w:p>
    <w:p w14:paraId="64504F46" w14:textId="77777777" w:rsidR="00256A16" w:rsidRPr="00E91A66" w:rsidRDefault="00256A16" w:rsidP="00256A16">
      <w:pPr>
        <w:spacing w:line="360" w:lineRule="auto"/>
        <w:jc w:val="both"/>
        <w:rPr>
          <w:sz w:val="24"/>
          <w:szCs w:val="24"/>
        </w:rPr>
      </w:pPr>
    </w:p>
    <w:p w14:paraId="77FE23F7" w14:textId="77777777" w:rsidR="00256A16" w:rsidRPr="00E91A66" w:rsidRDefault="00256A16" w:rsidP="00256A16">
      <w:pPr>
        <w:jc w:val="both"/>
        <w:rPr>
          <w:b/>
          <w:bCs/>
          <w:sz w:val="24"/>
          <w:szCs w:val="24"/>
        </w:rPr>
      </w:pPr>
      <w:r w:rsidRPr="00E91A66">
        <w:rPr>
          <w:b/>
          <w:bCs/>
          <w:sz w:val="24"/>
          <w:szCs w:val="24"/>
        </w:rPr>
        <w:t>Targeting the offender</w:t>
      </w:r>
    </w:p>
    <w:p w14:paraId="6BB6BE61" w14:textId="77777777" w:rsidR="00256A16" w:rsidRDefault="00256A16" w:rsidP="00256A16">
      <w:pPr>
        <w:spacing w:line="360" w:lineRule="auto"/>
        <w:jc w:val="both"/>
        <w:rPr>
          <w:rFonts w:ascii="Calibri" w:hAnsi="Calibri" w:cs="Calibri"/>
          <w:sz w:val="24"/>
          <w:szCs w:val="24"/>
        </w:rPr>
      </w:pPr>
      <w:r w:rsidRPr="00E91A66">
        <w:rPr>
          <w:sz w:val="24"/>
          <w:szCs w:val="24"/>
        </w:rPr>
        <w:t>Alternatives to punitive sanctions exist to correct offender behaviour. Initiatives aim to provide young ‘at risk’ people positive activities, counselling, education, entering employment and ultimately increasing protective factors (</w:t>
      </w:r>
      <w:r w:rsidRPr="00E91A66">
        <w:rPr>
          <w:rFonts w:ascii="Calibri" w:hAnsi="Calibri" w:cs="Calibri"/>
          <w:sz w:val="24"/>
          <w:szCs w:val="24"/>
        </w:rPr>
        <w:t xml:space="preserve">Agnew 2013). Group or family-based interventions can be supported by social / child services if the need is identified. </w:t>
      </w:r>
    </w:p>
    <w:p w14:paraId="5CB26E9F" w14:textId="77777777" w:rsidR="00256A16" w:rsidRDefault="00256A16" w:rsidP="00256A16">
      <w:pPr>
        <w:spacing w:line="360" w:lineRule="auto"/>
        <w:jc w:val="both"/>
        <w:rPr>
          <w:rFonts w:ascii="Calibri" w:hAnsi="Calibri" w:cs="Calibri"/>
          <w:sz w:val="24"/>
          <w:szCs w:val="24"/>
        </w:rPr>
      </w:pPr>
    </w:p>
    <w:p w14:paraId="444AAC71" w14:textId="77777777" w:rsidR="00256A16" w:rsidRDefault="00256A16" w:rsidP="00256A16">
      <w:pPr>
        <w:spacing w:line="360" w:lineRule="auto"/>
        <w:jc w:val="both"/>
        <w:rPr>
          <w:rFonts w:ascii="Calibri" w:hAnsi="Calibri" w:cs="Calibri"/>
          <w:sz w:val="24"/>
          <w:szCs w:val="24"/>
        </w:rPr>
      </w:pPr>
      <w:r w:rsidRPr="00E91A66">
        <w:rPr>
          <w:sz w:val="24"/>
          <w:szCs w:val="24"/>
        </w:rPr>
        <w:t xml:space="preserve">Much ASB falls within the ‘nuisance’ level, which does not meet the threshold for criminal prosecution. There are various out of court disposal options (OOCD) that police can utilize when an ASB offender has been identified. These interventions aim to reduce re-offending by redirecting low level offenders by addressing offender developmental needs that may drive their behaviour. These schemes may take the form of substance abuse or other suitable courses that meet an offender’s identified need. Wilson et al (2018) conducted a systematic review for the effectiveness of police led diversion schemes and found a positive effect in reducing future delinquent behaviour versus traditional processing. Furthermore, if </w:t>
      </w:r>
      <w:proofErr w:type="spellStart"/>
      <w:r w:rsidRPr="00E91A66">
        <w:rPr>
          <w:rFonts w:ascii="Calibri" w:hAnsi="Calibri" w:cs="Calibri"/>
          <w:sz w:val="24"/>
          <w:szCs w:val="24"/>
        </w:rPr>
        <w:t>Slothower</w:t>
      </w:r>
      <w:proofErr w:type="spellEnd"/>
      <w:r w:rsidRPr="00E91A66">
        <w:rPr>
          <w:rFonts w:ascii="Calibri" w:hAnsi="Calibri" w:cs="Calibri"/>
          <w:sz w:val="24"/>
          <w:szCs w:val="24"/>
        </w:rPr>
        <w:t xml:space="preserve"> and Joyce’s (2020) findings are indicative of wider held beliefs, police led diversionary schemes also have a marked increase in victim satisfaction over court proceedings. </w:t>
      </w:r>
    </w:p>
    <w:p w14:paraId="7FC64D5A" w14:textId="77777777" w:rsidR="00256A16" w:rsidRPr="00E91A66" w:rsidRDefault="00256A16" w:rsidP="00256A16">
      <w:pPr>
        <w:spacing w:line="360" w:lineRule="auto"/>
        <w:jc w:val="both"/>
        <w:rPr>
          <w:rFonts w:ascii="Calibri" w:hAnsi="Calibri" w:cs="Calibri"/>
          <w:sz w:val="24"/>
          <w:szCs w:val="24"/>
        </w:rPr>
      </w:pPr>
    </w:p>
    <w:p w14:paraId="759281E2" w14:textId="77777777" w:rsidR="00256A16" w:rsidRDefault="00256A16" w:rsidP="00256A16">
      <w:pPr>
        <w:spacing w:line="360" w:lineRule="auto"/>
        <w:jc w:val="both"/>
        <w:rPr>
          <w:rFonts w:ascii="Calibri" w:hAnsi="Calibri" w:cs="Calibri"/>
          <w:sz w:val="24"/>
          <w:szCs w:val="24"/>
        </w:rPr>
      </w:pPr>
      <w:r w:rsidRPr="00E91A66">
        <w:rPr>
          <w:sz w:val="24"/>
          <w:szCs w:val="24"/>
        </w:rPr>
        <w:t xml:space="preserve">Restorative justice (RJ) is a method of resolving a crime / conflict by bringing together the offender and victim together (RJ Conferencing), whereby the offender is held accountable for </w:t>
      </w:r>
      <w:r w:rsidRPr="00E91A66">
        <w:rPr>
          <w:sz w:val="24"/>
          <w:szCs w:val="24"/>
        </w:rPr>
        <w:lastRenderedPageBreak/>
        <w:t>their actions and apologies to the victim. It provides the victim with a ‘voice’ and participation in the justice system. This is suitable for low level offences and provides a sincere</w:t>
      </w:r>
      <w:r>
        <w:rPr>
          <w:sz w:val="24"/>
          <w:szCs w:val="24"/>
        </w:rPr>
        <w:t>, remorseful</w:t>
      </w:r>
      <w:r w:rsidRPr="00E91A66">
        <w:rPr>
          <w:sz w:val="24"/>
          <w:szCs w:val="24"/>
        </w:rPr>
        <w:t xml:space="preserve"> offender an opportunity to understand the harm they have caused. There has been extensive research on the subject over the past decades which evidence the potential benefits including victim psychological and emotional restoration and corrective offender behavioural change (</w:t>
      </w:r>
      <w:r w:rsidRPr="00E91A66">
        <w:rPr>
          <w:rFonts w:ascii="Calibri" w:hAnsi="Calibri" w:cs="Calibri"/>
          <w:sz w:val="24"/>
          <w:szCs w:val="24"/>
        </w:rPr>
        <w:t>Suzuki and Jenkins 2022, Molloy 2021).</w:t>
      </w:r>
      <w:r>
        <w:rPr>
          <w:rFonts w:ascii="Calibri" w:hAnsi="Calibri" w:cs="Calibri"/>
          <w:sz w:val="24"/>
          <w:szCs w:val="24"/>
        </w:rPr>
        <w:t xml:space="preserve"> </w:t>
      </w:r>
      <w:r w:rsidRPr="00E91A66">
        <w:rPr>
          <w:rFonts w:ascii="Calibri" w:hAnsi="Calibri" w:cs="Calibri"/>
          <w:sz w:val="24"/>
          <w:szCs w:val="24"/>
        </w:rPr>
        <w:t>A further extension of RJ is the Community Resolution (CR) which a proportionate way of dealing with low level crime for adults and youths. (Co</w:t>
      </w:r>
      <w:r>
        <w:rPr>
          <w:rFonts w:ascii="Calibri" w:hAnsi="Calibri" w:cs="Calibri"/>
          <w:sz w:val="24"/>
          <w:szCs w:val="24"/>
        </w:rPr>
        <w:t>P</w:t>
      </w:r>
      <w:r w:rsidRPr="00E91A66">
        <w:rPr>
          <w:rFonts w:ascii="Calibri" w:hAnsi="Calibri" w:cs="Calibri"/>
          <w:sz w:val="24"/>
          <w:szCs w:val="24"/>
        </w:rPr>
        <w:t xml:space="preserve"> 2022). For example, this outcome may involve cleaning or paying compensation for any damage caused.</w:t>
      </w:r>
    </w:p>
    <w:p w14:paraId="108DB59D" w14:textId="77777777" w:rsidR="00256A16" w:rsidRPr="00677394" w:rsidRDefault="00256A16" w:rsidP="00256A16">
      <w:pPr>
        <w:spacing w:line="360" w:lineRule="auto"/>
        <w:jc w:val="both"/>
        <w:rPr>
          <w:rFonts w:ascii="Calibri" w:hAnsi="Calibri" w:cs="Calibri"/>
          <w:sz w:val="24"/>
          <w:szCs w:val="24"/>
        </w:rPr>
      </w:pPr>
    </w:p>
    <w:p w14:paraId="277CFAEA" w14:textId="77777777" w:rsidR="00256A16" w:rsidRPr="00E91A66" w:rsidRDefault="00256A16" w:rsidP="00256A16">
      <w:pPr>
        <w:jc w:val="both"/>
        <w:rPr>
          <w:b/>
          <w:bCs/>
          <w:sz w:val="24"/>
          <w:szCs w:val="24"/>
        </w:rPr>
      </w:pPr>
      <w:r w:rsidRPr="00E91A66">
        <w:rPr>
          <w:b/>
          <w:bCs/>
          <w:sz w:val="24"/>
          <w:szCs w:val="24"/>
        </w:rPr>
        <w:t>Targeting the location</w:t>
      </w:r>
    </w:p>
    <w:p w14:paraId="00B2A34D" w14:textId="77777777" w:rsidR="00256A16" w:rsidRDefault="00256A16" w:rsidP="00256A16">
      <w:pPr>
        <w:spacing w:line="360" w:lineRule="auto"/>
        <w:jc w:val="both"/>
        <w:rPr>
          <w:sz w:val="24"/>
          <w:szCs w:val="24"/>
        </w:rPr>
      </w:pPr>
      <w:r w:rsidRPr="00E91A66">
        <w:rPr>
          <w:sz w:val="24"/>
          <w:szCs w:val="24"/>
        </w:rPr>
        <w:t>Of the ASB categories – misuse of public spaces and disregard for community – which can include public drinking, drug abuse and disorderly behaviour can occur due to specific features of an environment. Town/ city centres or secluded streets and alleyways may lend themselves to gatherings of crowds. In these cases, local authorities can take primacy to reducing offending via environmental design initiatives – for example alley gating which is now widespread in the UK (Rogers 2013). These initiatives offer restricted access to areas preventing gatherings in addition offering target hardening measures to residences that may make them less attractive targets for potential burglaries (Sidebottom et al 2018). Access restriction also offers cost effective measures (versus the cost of crime in an area) and can achieve notable public support.</w:t>
      </w:r>
    </w:p>
    <w:p w14:paraId="602F6E9A" w14:textId="77777777" w:rsidR="00256A16" w:rsidRPr="00E91A66" w:rsidRDefault="00256A16" w:rsidP="00256A16">
      <w:pPr>
        <w:spacing w:line="360" w:lineRule="auto"/>
        <w:jc w:val="both"/>
        <w:rPr>
          <w:sz w:val="24"/>
          <w:szCs w:val="24"/>
        </w:rPr>
      </w:pPr>
    </w:p>
    <w:p w14:paraId="16B2FB8A" w14:textId="77777777" w:rsidR="00256A16" w:rsidRDefault="00256A16" w:rsidP="00256A16">
      <w:pPr>
        <w:spacing w:line="360" w:lineRule="auto"/>
        <w:jc w:val="both"/>
        <w:rPr>
          <w:rFonts w:ascii="Calibri" w:hAnsi="Calibri" w:cs="Calibri"/>
          <w:sz w:val="24"/>
          <w:szCs w:val="24"/>
        </w:rPr>
      </w:pPr>
      <w:r w:rsidRPr="00E91A66">
        <w:rPr>
          <w:sz w:val="24"/>
          <w:szCs w:val="24"/>
        </w:rPr>
        <w:t>Similarly, other responses to ‘hot spot’ crime areas such as increased police presence / patrols have been shown to decrease crime in the short term (Ariel et al 2006) – however this intervention is resource intensive and not a sustainable solution to all ‘hot spot’ areas. Consequently, this may result in displacing the crime/ disorder to other areas (</w:t>
      </w:r>
      <w:proofErr w:type="spellStart"/>
      <w:r w:rsidRPr="00E91A66">
        <w:rPr>
          <w:rFonts w:ascii="Calibri" w:hAnsi="Calibri" w:cs="Calibri"/>
          <w:sz w:val="24"/>
          <w:szCs w:val="24"/>
        </w:rPr>
        <w:t>Lazzati</w:t>
      </w:r>
      <w:proofErr w:type="spellEnd"/>
      <w:r w:rsidRPr="00E91A66">
        <w:rPr>
          <w:rFonts w:ascii="Calibri" w:hAnsi="Calibri" w:cs="Calibri"/>
          <w:sz w:val="24"/>
          <w:szCs w:val="24"/>
        </w:rPr>
        <w:t xml:space="preserve"> &amp; </w:t>
      </w:r>
      <w:proofErr w:type="spellStart"/>
      <w:r w:rsidRPr="00E91A66">
        <w:rPr>
          <w:rFonts w:ascii="Calibri" w:hAnsi="Calibri" w:cs="Calibri"/>
          <w:sz w:val="24"/>
          <w:szCs w:val="24"/>
        </w:rPr>
        <w:t>Menichini</w:t>
      </w:r>
      <w:proofErr w:type="spellEnd"/>
      <w:r w:rsidRPr="00E91A66">
        <w:rPr>
          <w:rFonts w:ascii="Calibri" w:hAnsi="Calibri" w:cs="Calibri"/>
          <w:sz w:val="24"/>
          <w:szCs w:val="24"/>
        </w:rPr>
        <w:t xml:space="preserve"> 2016).</w:t>
      </w:r>
    </w:p>
    <w:p w14:paraId="4943CEAF" w14:textId="77777777" w:rsidR="009001E6" w:rsidRDefault="009001E6" w:rsidP="00256A16">
      <w:pPr>
        <w:jc w:val="both"/>
        <w:rPr>
          <w:sz w:val="24"/>
          <w:szCs w:val="24"/>
        </w:rPr>
      </w:pPr>
    </w:p>
    <w:p w14:paraId="73951DF3" w14:textId="77777777" w:rsidR="009001E6" w:rsidRDefault="009001E6" w:rsidP="00256A16">
      <w:pPr>
        <w:jc w:val="both"/>
        <w:rPr>
          <w:sz w:val="24"/>
          <w:szCs w:val="24"/>
        </w:rPr>
      </w:pPr>
    </w:p>
    <w:p w14:paraId="49575DEF" w14:textId="77777777" w:rsidR="009001E6" w:rsidRDefault="009001E6" w:rsidP="00256A16">
      <w:pPr>
        <w:jc w:val="both"/>
        <w:rPr>
          <w:sz w:val="24"/>
          <w:szCs w:val="24"/>
        </w:rPr>
      </w:pPr>
    </w:p>
    <w:p w14:paraId="2954B63F" w14:textId="3AAAE671" w:rsidR="00256A16" w:rsidRPr="00E91A66" w:rsidRDefault="00256A16" w:rsidP="00256A16">
      <w:pPr>
        <w:jc w:val="both"/>
        <w:rPr>
          <w:b/>
          <w:bCs/>
          <w:sz w:val="24"/>
          <w:szCs w:val="24"/>
        </w:rPr>
      </w:pPr>
      <w:r w:rsidRPr="00E91A66">
        <w:rPr>
          <w:b/>
          <w:bCs/>
          <w:sz w:val="24"/>
          <w:szCs w:val="24"/>
        </w:rPr>
        <w:lastRenderedPageBreak/>
        <w:t>Conclusion</w:t>
      </w:r>
    </w:p>
    <w:p w14:paraId="31E05027" w14:textId="192A22EC" w:rsidR="00256A16" w:rsidRDefault="00256A16" w:rsidP="00256A16">
      <w:pPr>
        <w:spacing w:line="360" w:lineRule="auto"/>
        <w:jc w:val="both"/>
        <w:rPr>
          <w:sz w:val="24"/>
          <w:szCs w:val="24"/>
        </w:rPr>
      </w:pPr>
      <w:r w:rsidRPr="00E91A66">
        <w:rPr>
          <w:sz w:val="24"/>
          <w:szCs w:val="24"/>
        </w:rPr>
        <w:t xml:space="preserve">There is a wide variety of options available to address ASB from preventative measures, early intervention, and legislation. To review ‘effectiveness’ it is essential to clearly define the characteristics of the ASB that needs to be resolved. Much </w:t>
      </w:r>
      <w:r>
        <w:rPr>
          <w:sz w:val="24"/>
          <w:szCs w:val="24"/>
        </w:rPr>
        <w:t>o</w:t>
      </w:r>
      <w:r w:rsidRPr="00E91A66">
        <w:rPr>
          <w:sz w:val="24"/>
          <w:szCs w:val="24"/>
        </w:rPr>
        <w:t>f the research and interventions are aimed at the youth, but ASB is not exclusive to th</w:t>
      </w:r>
      <w:r>
        <w:rPr>
          <w:sz w:val="24"/>
          <w:szCs w:val="24"/>
        </w:rPr>
        <w:t>is demographic</w:t>
      </w:r>
      <w:r w:rsidRPr="00E91A66">
        <w:rPr>
          <w:sz w:val="24"/>
          <w:szCs w:val="24"/>
        </w:rPr>
        <w:t>. Determining which option would be most suitable will depend on the nature of the offending behaviour, harm caused, offender’s circumstances, history, and victims views. In addition, the features of the location could be considered to determine if environmental design changes could be implemented to reduce offending with careful consideration if or where this behaviour may be displaced to. To support re-offending reduction efforts a multi-agency approach should be adopted. This could include local councils, schools, social, health, and police with careful consideration of the resources and economic costs involved. Further empirical research for any intervention under consideration is required and it should be viewed with a long-term approach with specific, definable goals and robust data collection methodology to accurately review the impacts on individuals and communities.</w:t>
      </w:r>
    </w:p>
    <w:p w14:paraId="008A7C13" w14:textId="77777777" w:rsidR="00256A16" w:rsidRPr="00E91A66" w:rsidRDefault="00256A16" w:rsidP="00256A16">
      <w:pPr>
        <w:spacing w:line="360" w:lineRule="auto"/>
        <w:jc w:val="both"/>
        <w:rPr>
          <w:sz w:val="24"/>
          <w:szCs w:val="24"/>
        </w:rPr>
      </w:pPr>
    </w:p>
    <w:p w14:paraId="056FA3AA" w14:textId="77777777" w:rsidR="00256A16" w:rsidRPr="00E91A66" w:rsidRDefault="00256A16" w:rsidP="00256A16">
      <w:pPr>
        <w:rPr>
          <w:sz w:val="24"/>
          <w:szCs w:val="24"/>
        </w:rPr>
      </w:pPr>
      <w:r w:rsidRPr="00E91A66">
        <w:rPr>
          <w:sz w:val="24"/>
          <w:szCs w:val="24"/>
        </w:rPr>
        <w:t>Word Count: 108</w:t>
      </w:r>
      <w:r>
        <w:rPr>
          <w:sz w:val="24"/>
          <w:szCs w:val="24"/>
        </w:rPr>
        <w:t>7</w:t>
      </w:r>
    </w:p>
    <w:p w14:paraId="26E66CC7" w14:textId="77777777" w:rsidR="00256A16" w:rsidRPr="00E91A66" w:rsidRDefault="00256A16" w:rsidP="00256A16">
      <w:pPr>
        <w:rPr>
          <w:sz w:val="24"/>
          <w:szCs w:val="24"/>
        </w:rPr>
      </w:pPr>
    </w:p>
    <w:p w14:paraId="70E7D4B9" w14:textId="77777777" w:rsidR="00256A16" w:rsidRPr="00E91A66" w:rsidRDefault="00256A16" w:rsidP="00256A16">
      <w:pPr>
        <w:rPr>
          <w:b/>
          <w:bCs/>
          <w:sz w:val="24"/>
          <w:szCs w:val="24"/>
        </w:rPr>
      </w:pPr>
      <w:r w:rsidRPr="00E91A66">
        <w:rPr>
          <w:b/>
          <w:bCs/>
          <w:sz w:val="24"/>
          <w:szCs w:val="24"/>
        </w:rPr>
        <w:t>Bibliography</w:t>
      </w:r>
    </w:p>
    <w:p w14:paraId="08D8B386"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Agnew, S. (2013) ‘Providers to enablers: reflections on the provision of positive activities targeting criminal and anti-social behaviour of young people’, Contemporary social science, 8(2), pp. 141–155.</w:t>
      </w:r>
    </w:p>
    <w:p w14:paraId="7C6BC7F5" w14:textId="77777777" w:rsidR="00256A1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Available at: </w:t>
      </w:r>
      <w:hyperlink r:id="rId62" w:history="1">
        <w:r w:rsidRPr="00E91A66">
          <w:rPr>
            <w:rStyle w:val="Hyperlink"/>
            <w:rFonts w:ascii="Calibri" w:hAnsi="Calibri" w:cs="Calibri"/>
          </w:rPr>
          <w:t>https://doi.org/10.1080/21582041.2012.751504</w:t>
        </w:r>
      </w:hyperlink>
      <w:r w:rsidRPr="00E91A66">
        <w:rPr>
          <w:rFonts w:ascii="Calibri" w:hAnsi="Calibri" w:cs="Calibri"/>
        </w:rPr>
        <w:t>.</w:t>
      </w:r>
    </w:p>
    <w:p w14:paraId="4DE30F9E" w14:textId="77777777" w:rsidR="00256A16" w:rsidRDefault="00256A16" w:rsidP="00256A16">
      <w:pPr>
        <w:pStyle w:val="NormalWeb"/>
        <w:spacing w:before="0" w:beforeAutospacing="0" w:after="0" w:afterAutospacing="0"/>
        <w:rPr>
          <w:rFonts w:ascii="Calibri" w:hAnsi="Calibri" w:cs="Calibri"/>
        </w:rPr>
      </w:pPr>
    </w:p>
    <w:p w14:paraId="1ADB05EE" w14:textId="77777777" w:rsidR="00256A16" w:rsidRDefault="00256A16" w:rsidP="00256A16">
      <w:pPr>
        <w:pStyle w:val="NormalWeb"/>
        <w:spacing w:before="0" w:beforeAutospacing="0" w:after="0" w:afterAutospacing="0"/>
        <w:rPr>
          <w:rFonts w:ascii="Calibri" w:hAnsi="Calibri" w:cs="Calibri"/>
        </w:rPr>
      </w:pPr>
      <w:r>
        <w:rPr>
          <w:rFonts w:ascii="Calibri" w:hAnsi="Calibri" w:cs="Calibri"/>
        </w:rPr>
        <w:t>Anti-Social Behaviour Act (2003). c. 38. Legislation.gov.uk. Available at</w:t>
      </w:r>
    </w:p>
    <w:p w14:paraId="5F7F33A8" w14:textId="77777777" w:rsidR="00256A16" w:rsidRDefault="00F9105A" w:rsidP="00256A16">
      <w:pPr>
        <w:pStyle w:val="NormalWeb"/>
        <w:spacing w:before="0" w:beforeAutospacing="0" w:after="0" w:afterAutospacing="0"/>
        <w:rPr>
          <w:rFonts w:ascii="Calibri" w:hAnsi="Calibri" w:cs="Calibri"/>
        </w:rPr>
      </w:pPr>
      <w:hyperlink r:id="rId63" w:history="1">
        <w:r w:rsidR="00256A16">
          <w:rPr>
            <w:rStyle w:val="Hyperlink"/>
            <w:rFonts w:ascii="Calibri" w:hAnsi="Calibri" w:cs="Calibri"/>
          </w:rPr>
          <w:t>Anti-social Behaviour Act 2003 (legislation.gov.uk)</w:t>
        </w:r>
      </w:hyperlink>
    </w:p>
    <w:p w14:paraId="2DED96B7" w14:textId="77777777" w:rsidR="00256A16" w:rsidRDefault="00256A16" w:rsidP="00256A16">
      <w:pPr>
        <w:pStyle w:val="NormalWeb"/>
        <w:spacing w:before="0" w:beforeAutospacing="0" w:after="0" w:afterAutospacing="0"/>
        <w:rPr>
          <w:rFonts w:ascii="Calibri" w:hAnsi="Calibri" w:cs="Calibri"/>
        </w:rPr>
      </w:pPr>
      <w:r>
        <w:rPr>
          <w:rFonts w:ascii="Calibri" w:hAnsi="Calibri" w:cs="Calibri"/>
        </w:rPr>
        <w:t>(Accessed 28th January 2023)</w:t>
      </w:r>
    </w:p>
    <w:p w14:paraId="0EBBA66D" w14:textId="77777777" w:rsidR="00256A16" w:rsidRDefault="00256A16" w:rsidP="00256A16">
      <w:pPr>
        <w:pStyle w:val="NormalWeb"/>
        <w:spacing w:before="0" w:beforeAutospacing="0" w:after="0" w:afterAutospacing="0"/>
        <w:rPr>
          <w:rFonts w:ascii="Calibri" w:hAnsi="Calibri" w:cs="Calibri"/>
        </w:rPr>
      </w:pPr>
    </w:p>
    <w:p w14:paraId="4FEC6310" w14:textId="77777777" w:rsidR="00256A16" w:rsidRPr="00677394" w:rsidRDefault="00256A16" w:rsidP="00256A16">
      <w:pPr>
        <w:pStyle w:val="NormalWeb"/>
        <w:spacing w:before="0" w:beforeAutospacing="0" w:after="0" w:afterAutospacing="0"/>
        <w:rPr>
          <w:rFonts w:ascii="Calibri" w:hAnsi="Calibri" w:cs="Calibri"/>
        </w:rPr>
      </w:pPr>
      <w:r w:rsidRPr="00677394">
        <w:rPr>
          <w:rFonts w:ascii="Calibri" w:hAnsi="Calibri" w:cs="Calibri"/>
        </w:rPr>
        <w:t>Anti-Social, Behaviour, Crime and Policing Act (2014). c. 12. Legislation.gov.uk. Available at</w:t>
      </w:r>
    </w:p>
    <w:p w14:paraId="3AA130E2" w14:textId="77777777" w:rsidR="00256A16" w:rsidRPr="00677394" w:rsidRDefault="00F9105A" w:rsidP="00256A16">
      <w:pPr>
        <w:pStyle w:val="NormalWeb"/>
        <w:spacing w:before="0" w:beforeAutospacing="0" w:after="0" w:afterAutospacing="0"/>
        <w:rPr>
          <w:rFonts w:ascii="Calibri" w:hAnsi="Calibri" w:cs="Calibri"/>
        </w:rPr>
      </w:pPr>
      <w:hyperlink r:id="rId64" w:history="1">
        <w:r w:rsidR="00256A16" w:rsidRPr="00677394">
          <w:rPr>
            <w:rStyle w:val="Hyperlink"/>
            <w:rFonts w:ascii="Calibri" w:hAnsi="Calibri" w:cs="Calibri"/>
          </w:rPr>
          <w:t>Anti-social Behaviour, Crime and Policing Act 2014 (legislation.gov.uk)</w:t>
        </w:r>
      </w:hyperlink>
    </w:p>
    <w:p w14:paraId="54DD204C" w14:textId="77777777" w:rsidR="00256A16" w:rsidRPr="00677394" w:rsidRDefault="00256A16" w:rsidP="00256A16">
      <w:pPr>
        <w:pStyle w:val="NormalWeb"/>
        <w:spacing w:before="0" w:beforeAutospacing="0" w:after="0" w:afterAutospacing="0"/>
        <w:rPr>
          <w:rFonts w:ascii="Calibri" w:hAnsi="Calibri" w:cs="Calibri"/>
        </w:rPr>
      </w:pPr>
      <w:r w:rsidRPr="00677394">
        <w:rPr>
          <w:rFonts w:ascii="Calibri" w:hAnsi="Calibri" w:cs="Calibri"/>
        </w:rPr>
        <w:t>(Accessed 28th January 2023)</w:t>
      </w:r>
    </w:p>
    <w:p w14:paraId="422CE76A"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4FB6A540"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Ariel, B., </w:t>
      </w:r>
      <w:proofErr w:type="spellStart"/>
      <w:r w:rsidRPr="00E91A66">
        <w:rPr>
          <w:rFonts w:ascii="Calibri" w:hAnsi="Calibri" w:cs="Calibri"/>
        </w:rPr>
        <w:t>Weinborn</w:t>
      </w:r>
      <w:proofErr w:type="spellEnd"/>
      <w:r w:rsidRPr="00E91A66">
        <w:rPr>
          <w:rFonts w:ascii="Calibri" w:hAnsi="Calibri" w:cs="Calibri"/>
        </w:rPr>
        <w:t>, C. and Sherman, L.W. (2016) ‘“Soft” policing at hot spots—do police community support officers work? A randomized controlled trial’, Journal of experimental criminology, 12(3), pp. 277–317.</w:t>
      </w:r>
    </w:p>
    <w:p w14:paraId="2CEE56A0" w14:textId="77777777" w:rsidR="00256A1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Available at: </w:t>
      </w:r>
      <w:hyperlink r:id="rId65" w:history="1">
        <w:r w:rsidRPr="00E91A66">
          <w:rPr>
            <w:rStyle w:val="Hyperlink"/>
            <w:rFonts w:ascii="Calibri" w:hAnsi="Calibri" w:cs="Calibri"/>
          </w:rPr>
          <w:t>https://doi.org/10.1007/s11292-016-9260-4</w:t>
        </w:r>
      </w:hyperlink>
      <w:r w:rsidRPr="00E91A66">
        <w:rPr>
          <w:rFonts w:ascii="Calibri" w:hAnsi="Calibri" w:cs="Calibri"/>
        </w:rPr>
        <w:t>.</w:t>
      </w:r>
    </w:p>
    <w:p w14:paraId="4E7E11D0" w14:textId="77777777" w:rsidR="00256A16" w:rsidRDefault="00256A16" w:rsidP="00256A16">
      <w:pPr>
        <w:pStyle w:val="NormalWeb"/>
        <w:spacing w:before="0" w:beforeAutospacing="0" w:after="0" w:afterAutospacing="0"/>
        <w:rPr>
          <w:rFonts w:ascii="Calibri" w:hAnsi="Calibri" w:cs="Calibri"/>
        </w:rPr>
      </w:pPr>
    </w:p>
    <w:p w14:paraId="557E42A9" w14:textId="77777777" w:rsidR="00256A16" w:rsidRPr="00677394" w:rsidRDefault="00256A16" w:rsidP="00256A16">
      <w:pPr>
        <w:pStyle w:val="NormalWeb"/>
        <w:spacing w:before="0" w:beforeAutospacing="0" w:after="0" w:afterAutospacing="0"/>
        <w:rPr>
          <w:rFonts w:ascii="Calibri" w:hAnsi="Calibri" w:cs="Calibri"/>
        </w:rPr>
      </w:pPr>
      <w:r w:rsidRPr="00677394">
        <w:rPr>
          <w:rFonts w:ascii="Calibri" w:hAnsi="Calibri" w:cs="Calibri"/>
        </w:rPr>
        <w:t>Crime and Disorder Act (1998). c.</w:t>
      </w:r>
      <w:r>
        <w:rPr>
          <w:rFonts w:ascii="Calibri" w:hAnsi="Calibri" w:cs="Calibri"/>
        </w:rPr>
        <w:t xml:space="preserve"> </w:t>
      </w:r>
      <w:r w:rsidRPr="00677394">
        <w:rPr>
          <w:rFonts w:ascii="Calibri" w:hAnsi="Calibri" w:cs="Calibri"/>
        </w:rPr>
        <w:t>37. Legislation.gov.uk. Available at</w:t>
      </w:r>
    </w:p>
    <w:p w14:paraId="67D02F06" w14:textId="77777777" w:rsidR="00256A16" w:rsidRPr="00677394" w:rsidRDefault="00F9105A" w:rsidP="00256A16">
      <w:pPr>
        <w:pStyle w:val="NormalWeb"/>
        <w:spacing w:before="0" w:beforeAutospacing="0" w:after="0" w:afterAutospacing="0"/>
        <w:rPr>
          <w:rFonts w:ascii="Calibri" w:hAnsi="Calibri" w:cs="Calibri"/>
        </w:rPr>
      </w:pPr>
      <w:hyperlink r:id="rId66" w:history="1">
        <w:r w:rsidR="00256A16" w:rsidRPr="00677394">
          <w:rPr>
            <w:rStyle w:val="Hyperlink"/>
            <w:rFonts w:ascii="Calibri" w:hAnsi="Calibri" w:cs="Calibri"/>
          </w:rPr>
          <w:t>Crime and Disorder Act 1998 (legislation.gov.uk)</w:t>
        </w:r>
      </w:hyperlink>
    </w:p>
    <w:p w14:paraId="38A8ED05" w14:textId="77777777" w:rsidR="00256A16" w:rsidRPr="00677394" w:rsidRDefault="00256A16" w:rsidP="00256A16">
      <w:pPr>
        <w:pStyle w:val="NormalWeb"/>
        <w:spacing w:before="0" w:beforeAutospacing="0" w:after="0" w:afterAutospacing="0"/>
        <w:rPr>
          <w:rFonts w:ascii="Calibri" w:hAnsi="Calibri" w:cs="Calibri"/>
        </w:rPr>
      </w:pPr>
      <w:r w:rsidRPr="00677394">
        <w:rPr>
          <w:rFonts w:ascii="Calibri" w:hAnsi="Calibri" w:cs="Calibri"/>
        </w:rPr>
        <w:t>(Accessed 28th January 2023)</w:t>
      </w:r>
    </w:p>
    <w:p w14:paraId="4399AB9D"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795974DB"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Heap, V. and Dickinson, J. (2018) ‘Public Spaces Protection Orders: a critical policy analysis’, Safer communities, 17(3), pp. 182–192</w:t>
      </w:r>
    </w:p>
    <w:p w14:paraId="77E4F90E"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 Available at: </w:t>
      </w:r>
      <w:hyperlink r:id="rId67" w:history="1">
        <w:r w:rsidRPr="00E91A66">
          <w:rPr>
            <w:rStyle w:val="Hyperlink"/>
            <w:rFonts w:ascii="Calibri" w:hAnsi="Calibri" w:cs="Calibri"/>
          </w:rPr>
          <w:t>https://doi.org/10.1108/SC-02-2018-0006</w:t>
        </w:r>
      </w:hyperlink>
      <w:r w:rsidRPr="00E91A66">
        <w:rPr>
          <w:rFonts w:ascii="Calibri" w:hAnsi="Calibri" w:cs="Calibri"/>
        </w:rPr>
        <w:t>.</w:t>
      </w:r>
    </w:p>
    <w:p w14:paraId="263385E6"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21A48D1E"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Innovating to tackle reoffending. </w:t>
      </w:r>
      <w:r>
        <w:rPr>
          <w:rFonts w:ascii="Calibri" w:hAnsi="Calibri" w:cs="Calibri"/>
        </w:rPr>
        <w:t xml:space="preserve">Civil Service. </w:t>
      </w:r>
      <w:r w:rsidRPr="00E91A66">
        <w:rPr>
          <w:rFonts w:ascii="Calibri" w:hAnsi="Calibri" w:cs="Calibri"/>
        </w:rPr>
        <w:t xml:space="preserve">Available </w:t>
      </w:r>
      <w:proofErr w:type="gramStart"/>
      <w:r w:rsidRPr="00E91A66">
        <w:rPr>
          <w:rFonts w:ascii="Calibri" w:hAnsi="Calibri" w:cs="Calibri"/>
        </w:rPr>
        <w:t>at;</w:t>
      </w:r>
      <w:proofErr w:type="gramEnd"/>
    </w:p>
    <w:p w14:paraId="40C67318" w14:textId="77777777" w:rsidR="00256A16" w:rsidRPr="00E91A66" w:rsidRDefault="00F9105A" w:rsidP="00256A16">
      <w:pPr>
        <w:pStyle w:val="NormalWeb"/>
        <w:spacing w:before="0" w:beforeAutospacing="0" w:after="0" w:afterAutospacing="0"/>
        <w:rPr>
          <w:rFonts w:ascii="Calibri" w:hAnsi="Calibri" w:cs="Calibri"/>
        </w:rPr>
      </w:pPr>
      <w:hyperlink r:id="rId68" w:history="1">
        <w:r w:rsidR="00256A16" w:rsidRPr="00E91A66">
          <w:rPr>
            <w:rStyle w:val="Hyperlink"/>
            <w:rFonts w:ascii="Calibri" w:hAnsi="Calibri" w:cs="Calibri"/>
          </w:rPr>
          <w:t>https://civilservice.blog.gov.uk/2021/06/28/innovating-to-tackle-reoffending/</w:t>
        </w:r>
      </w:hyperlink>
    </w:p>
    <w:p w14:paraId="183A263B"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(Accessed 14th October 2022)</w:t>
      </w:r>
    </w:p>
    <w:p w14:paraId="09D955FE"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71C4995B" w14:textId="77777777" w:rsidR="00256A16" w:rsidRPr="00E91A66" w:rsidRDefault="00256A16" w:rsidP="00256A16">
      <w:pPr>
        <w:pStyle w:val="NormalWeb"/>
        <w:spacing w:before="0" w:beforeAutospacing="0" w:after="0" w:afterAutospacing="0"/>
        <w:rPr>
          <w:rFonts w:ascii="Calibri" w:hAnsi="Calibri" w:cs="Calibri"/>
        </w:rPr>
      </w:pPr>
      <w:proofErr w:type="spellStart"/>
      <w:r w:rsidRPr="00E91A66">
        <w:rPr>
          <w:rFonts w:ascii="Calibri" w:hAnsi="Calibri" w:cs="Calibri"/>
        </w:rPr>
        <w:t>Jonkman</w:t>
      </w:r>
      <w:proofErr w:type="spellEnd"/>
      <w:r w:rsidRPr="00E91A66">
        <w:rPr>
          <w:rFonts w:ascii="Calibri" w:hAnsi="Calibri" w:cs="Calibri"/>
        </w:rPr>
        <w:t xml:space="preserve">, </w:t>
      </w:r>
      <w:proofErr w:type="gramStart"/>
      <w:r w:rsidRPr="00E91A66">
        <w:rPr>
          <w:rFonts w:ascii="Calibri" w:hAnsi="Calibri" w:cs="Calibri"/>
        </w:rPr>
        <w:t>H..</w:t>
      </w:r>
      <w:proofErr w:type="gramEnd"/>
      <w:r w:rsidRPr="00E91A66">
        <w:rPr>
          <w:rFonts w:ascii="Calibri" w:hAnsi="Calibri" w:cs="Calibri"/>
        </w:rPr>
        <w:t xml:space="preserve"> et al. (2011) ‘Targeted prevention of anti-social </w:t>
      </w:r>
      <w:proofErr w:type="spellStart"/>
      <w:r w:rsidRPr="00E91A66">
        <w:rPr>
          <w:rFonts w:ascii="Calibri" w:hAnsi="Calibri" w:cs="Calibri"/>
        </w:rPr>
        <w:t>behavior</w:t>
      </w:r>
      <w:proofErr w:type="spellEnd"/>
      <w:r w:rsidRPr="00E91A66">
        <w:rPr>
          <w:rFonts w:ascii="Calibri" w:hAnsi="Calibri" w:cs="Calibri"/>
        </w:rPr>
        <w:t xml:space="preserve"> in an urban context’, Crime prevention and community safety, 13(2), pp. 102–118.</w:t>
      </w:r>
    </w:p>
    <w:p w14:paraId="1E3C3F15"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Available at: </w:t>
      </w:r>
      <w:hyperlink r:id="rId69" w:history="1">
        <w:r w:rsidRPr="00E91A66">
          <w:rPr>
            <w:rStyle w:val="Hyperlink"/>
            <w:rFonts w:ascii="Calibri" w:hAnsi="Calibri" w:cs="Calibri"/>
          </w:rPr>
          <w:t>https://doi.org/10.1057/cpcs.2010.22</w:t>
        </w:r>
      </w:hyperlink>
      <w:r w:rsidRPr="00E91A66">
        <w:rPr>
          <w:rFonts w:ascii="Calibri" w:hAnsi="Calibri" w:cs="Calibri"/>
        </w:rPr>
        <w:t>.</w:t>
      </w:r>
    </w:p>
    <w:p w14:paraId="084CC866"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04B09446" w14:textId="77777777" w:rsidR="00256A16" w:rsidRPr="00E91A66" w:rsidRDefault="00256A16" w:rsidP="00256A16">
      <w:pPr>
        <w:pStyle w:val="NormalWeb"/>
        <w:spacing w:before="0" w:beforeAutospacing="0" w:after="0" w:afterAutospacing="0"/>
        <w:rPr>
          <w:rFonts w:ascii="Calibri" w:hAnsi="Calibri" w:cs="Calibri"/>
        </w:rPr>
      </w:pPr>
      <w:proofErr w:type="spellStart"/>
      <w:r w:rsidRPr="00E91A66">
        <w:rPr>
          <w:rFonts w:ascii="Calibri" w:hAnsi="Calibri" w:cs="Calibri"/>
        </w:rPr>
        <w:t>Lazzati</w:t>
      </w:r>
      <w:proofErr w:type="spellEnd"/>
      <w:r w:rsidRPr="00E91A66">
        <w:rPr>
          <w:rFonts w:ascii="Calibri" w:hAnsi="Calibri" w:cs="Calibri"/>
        </w:rPr>
        <w:t xml:space="preserve">, &amp; </w:t>
      </w:r>
      <w:proofErr w:type="spellStart"/>
      <w:r w:rsidRPr="00E91A66">
        <w:rPr>
          <w:rFonts w:ascii="Calibri" w:hAnsi="Calibri" w:cs="Calibri"/>
        </w:rPr>
        <w:t>Menichini</w:t>
      </w:r>
      <w:proofErr w:type="spellEnd"/>
      <w:r w:rsidRPr="00E91A66">
        <w:rPr>
          <w:rFonts w:ascii="Calibri" w:hAnsi="Calibri" w:cs="Calibri"/>
        </w:rPr>
        <w:t>, A. A. (2016). Hot Spot Policing: A Study of Place-Based Strategies for Crime Prevention. Southern Economic Journal, 82(3), 893–913.</w:t>
      </w:r>
    </w:p>
    <w:p w14:paraId="05350325"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Available at: </w:t>
      </w:r>
      <w:hyperlink r:id="rId70" w:history="1">
        <w:r w:rsidRPr="00E91A66">
          <w:rPr>
            <w:rStyle w:val="Hyperlink"/>
            <w:rFonts w:ascii="Calibri" w:hAnsi="Calibri" w:cs="Calibri"/>
          </w:rPr>
          <w:t>https://doi.org/10.1002/soej.12112</w:t>
        </w:r>
      </w:hyperlink>
    </w:p>
    <w:p w14:paraId="5DC66161"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1E92B642"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Molloy, J.K. et al. (2021) ‘An Exploratory Integrative Review of Restorative Justice and Social Work: Untapped Potential for Pursuing Social Justice’, Journal of social work education, ahead-of-print(ahead-of-print), pp. 1–16.</w:t>
      </w:r>
    </w:p>
    <w:p w14:paraId="7D66CAA7"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Available at: </w:t>
      </w:r>
      <w:hyperlink r:id="rId71" w:history="1">
        <w:r w:rsidRPr="00E91A66">
          <w:rPr>
            <w:rStyle w:val="Hyperlink"/>
            <w:rFonts w:ascii="Calibri" w:hAnsi="Calibri" w:cs="Calibri"/>
          </w:rPr>
          <w:t>https://doi.org/10.1080/10437797.2021.1997690</w:t>
        </w:r>
      </w:hyperlink>
      <w:r w:rsidRPr="00E91A66">
        <w:rPr>
          <w:rFonts w:ascii="Calibri" w:hAnsi="Calibri" w:cs="Calibri"/>
        </w:rPr>
        <w:t>.</w:t>
      </w:r>
    </w:p>
    <w:p w14:paraId="6B797036"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2CD2B816"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M</w:t>
      </w:r>
      <w:r>
        <w:rPr>
          <w:rFonts w:ascii="Calibri" w:hAnsi="Calibri" w:cs="Calibri"/>
        </w:rPr>
        <w:t>oore</w:t>
      </w:r>
      <w:r w:rsidRPr="00E91A66">
        <w:rPr>
          <w:rFonts w:ascii="Calibri" w:hAnsi="Calibri" w:cs="Calibri"/>
        </w:rPr>
        <w:t>, S. and S</w:t>
      </w:r>
      <w:r>
        <w:rPr>
          <w:rFonts w:ascii="Calibri" w:hAnsi="Calibri" w:cs="Calibri"/>
        </w:rPr>
        <w:t>tatham</w:t>
      </w:r>
      <w:r w:rsidRPr="00E91A66">
        <w:rPr>
          <w:rFonts w:ascii="Calibri" w:hAnsi="Calibri" w:cs="Calibri"/>
        </w:rPr>
        <w:t>, E. (2006) ‘Can Intergenerational Practice Offer a Way of Limiting Anti-Social Behaviour and Fear of Crime?’, The Howard journal of criminal justice. Date submitted: October 2004Date accepted: August 2005, 45(5), pp. 468–484.</w:t>
      </w:r>
    </w:p>
    <w:p w14:paraId="2AECF032"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Available at: </w:t>
      </w:r>
      <w:hyperlink r:id="rId72" w:history="1">
        <w:r w:rsidRPr="00E91A66">
          <w:rPr>
            <w:rStyle w:val="Hyperlink"/>
            <w:rFonts w:ascii="Calibri" w:hAnsi="Calibri" w:cs="Calibri"/>
          </w:rPr>
          <w:t>https://doi.org/10.1111/j.1468-2311.2006.00438.x</w:t>
        </w:r>
      </w:hyperlink>
      <w:r w:rsidRPr="00E91A66">
        <w:rPr>
          <w:rFonts w:ascii="Calibri" w:hAnsi="Calibri" w:cs="Calibri"/>
        </w:rPr>
        <w:t>.</w:t>
      </w:r>
    </w:p>
    <w:p w14:paraId="5EC77D96"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2629D203"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Possible Justice Outcomes following investigation. Collage of Policing (2022). Available </w:t>
      </w:r>
      <w:proofErr w:type="gramStart"/>
      <w:r w:rsidRPr="00E91A66">
        <w:rPr>
          <w:rFonts w:ascii="Calibri" w:hAnsi="Calibri" w:cs="Calibri"/>
        </w:rPr>
        <w:t>at;</w:t>
      </w:r>
      <w:proofErr w:type="gramEnd"/>
    </w:p>
    <w:p w14:paraId="2D6A93DC" w14:textId="77777777" w:rsidR="00256A16" w:rsidRPr="00E91A66" w:rsidRDefault="00F9105A" w:rsidP="00256A16">
      <w:pPr>
        <w:pStyle w:val="NormalWeb"/>
        <w:spacing w:before="0" w:beforeAutospacing="0" w:after="0" w:afterAutospacing="0"/>
        <w:rPr>
          <w:rFonts w:ascii="Calibri" w:hAnsi="Calibri" w:cs="Calibri"/>
        </w:rPr>
      </w:pPr>
      <w:hyperlink r:id="rId73" w:anchor="community-resolution" w:history="1">
        <w:r w:rsidR="00256A16" w:rsidRPr="00E91A66">
          <w:rPr>
            <w:rStyle w:val="Hyperlink"/>
            <w:rFonts w:ascii="Calibri" w:hAnsi="Calibri" w:cs="Calibri"/>
          </w:rPr>
          <w:t>Possible justice outcomes following investigation | College of Policing</w:t>
        </w:r>
      </w:hyperlink>
    </w:p>
    <w:p w14:paraId="6CB71F6F"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(Accessed 16th October 2022)</w:t>
      </w:r>
    </w:p>
    <w:p w14:paraId="483DCE39"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061D45F0"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Wilson, D.B., Brennan, I. and </w:t>
      </w:r>
      <w:proofErr w:type="spellStart"/>
      <w:r w:rsidRPr="00E91A66">
        <w:rPr>
          <w:rFonts w:ascii="Calibri" w:hAnsi="Calibri" w:cs="Calibri"/>
        </w:rPr>
        <w:t>Olaghere</w:t>
      </w:r>
      <w:proofErr w:type="spellEnd"/>
      <w:r w:rsidRPr="00E91A66">
        <w:rPr>
          <w:rFonts w:ascii="Calibri" w:hAnsi="Calibri" w:cs="Calibri"/>
        </w:rPr>
        <w:t xml:space="preserve">, A. (2018) ‘Police‐initiated diversion for youth to prevent future delinquent </w:t>
      </w:r>
      <w:proofErr w:type="spellStart"/>
      <w:r w:rsidRPr="00E91A66">
        <w:rPr>
          <w:rFonts w:ascii="Calibri" w:hAnsi="Calibri" w:cs="Calibri"/>
        </w:rPr>
        <w:t>behavior</w:t>
      </w:r>
      <w:proofErr w:type="spellEnd"/>
      <w:r w:rsidRPr="00E91A66">
        <w:rPr>
          <w:rFonts w:ascii="Calibri" w:hAnsi="Calibri" w:cs="Calibri"/>
        </w:rPr>
        <w:t>: a systematic review’, Campbell systematic review, 14(1), pp. 1–88.</w:t>
      </w:r>
    </w:p>
    <w:p w14:paraId="2C10CAE0"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Available at: </w:t>
      </w:r>
      <w:hyperlink r:id="rId74" w:history="1">
        <w:r w:rsidRPr="00E91A66">
          <w:rPr>
            <w:rStyle w:val="Hyperlink"/>
            <w:rFonts w:ascii="Calibri" w:hAnsi="Calibri" w:cs="Calibri"/>
          </w:rPr>
          <w:t>https://doi.org/10.4073/csr.2018.5</w:t>
        </w:r>
      </w:hyperlink>
      <w:r w:rsidRPr="00E91A66">
        <w:rPr>
          <w:rFonts w:ascii="Calibri" w:hAnsi="Calibri" w:cs="Calibri"/>
        </w:rPr>
        <w:t>.</w:t>
      </w:r>
    </w:p>
    <w:p w14:paraId="1B43C02E"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11305F28"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Regional Reducing reoffending plans.</w:t>
      </w:r>
      <w:r>
        <w:rPr>
          <w:rFonts w:ascii="Calibri" w:hAnsi="Calibri" w:cs="Calibri"/>
        </w:rPr>
        <w:t xml:space="preserve"> Gov.uk.</w:t>
      </w:r>
      <w:r w:rsidRPr="00E91A66">
        <w:rPr>
          <w:rFonts w:ascii="Calibri" w:hAnsi="Calibri" w:cs="Calibri"/>
        </w:rPr>
        <w:t xml:space="preserve"> Available </w:t>
      </w:r>
      <w:proofErr w:type="gramStart"/>
      <w:r w:rsidRPr="00E91A66">
        <w:rPr>
          <w:rFonts w:ascii="Calibri" w:hAnsi="Calibri" w:cs="Calibri"/>
        </w:rPr>
        <w:t>at;</w:t>
      </w:r>
      <w:proofErr w:type="gramEnd"/>
    </w:p>
    <w:p w14:paraId="07BF4F16" w14:textId="77777777" w:rsidR="00256A16" w:rsidRPr="00E91A66" w:rsidRDefault="00F9105A" w:rsidP="00256A16">
      <w:pPr>
        <w:pStyle w:val="NormalWeb"/>
        <w:spacing w:before="0" w:beforeAutospacing="0" w:after="0" w:afterAutospacing="0"/>
        <w:rPr>
          <w:rFonts w:ascii="Calibri" w:hAnsi="Calibri" w:cs="Calibri"/>
        </w:rPr>
      </w:pPr>
      <w:hyperlink r:id="rId75" w:history="1">
        <w:r w:rsidR="00256A16" w:rsidRPr="00E91A66">
          <w:rPr>
            <w:rStyle w:val="Hyperlink"/>
            <w:rFonts w:ascii="Calibri" w:hAnsi="Calibri" w:cs="Calibri"/>
          </w:rPr>
          <w:t>Regional Reducing Reoffending Plans - GOV.UK (www.gov.uk)</w:t>
        </w:r>
      </w:hyperlink>
    </w:p>
    <w:p w14:paraId="5149B264"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(Accessed 14th October 2022)</w:t>
      </w:r>
    </w:p>
    <w:p w14:paraId="134D9766"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22B5DB34"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Rogers, C. (2013) ‘Alley-gates in urban South Wales: Six years down the road’, Crime prevention and community safety, 15(2), pp. 106–126.</w:t>
      </w:r>
    </w:p>
    <w:p w14:paraId="35A727BE"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Available at: </w:t>
      </w:r>
      <w:hyperlink r:id="rId76" w:history="1">
        <w:r w:rsidRPr="00E91A66">
          <w:rPr>
            <w:rStyle w:val="Hyperlink"/>
            <w:rFonts w:ascii="Calibri" w:hAnsi="Calibri" w:cs="Calibri"/>
          </w:rPr>
          <w:t>https://doi.org/10.1057/cpcs.2012.16</w:t>
        </w:r>
      </w:hyperlink>
      <w:r w:rsidRPr="00E91A66">
        <w:rPr>
          <w:rFonts w:ascii="Calibri" w:hAnsi="Calibri" w:cs="Calibri"/>
        </w:rPr>
        <w:t>.</w:t>
      </w:r>
    </w:p>
    <w:p w14:paraId="68AC734C"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lastRenderedPageBreak/>
        <w:t> </w:t>
      </w:r>
    </w:p>
    <w:p w14:paraId="3AD00B31"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Sidebottom, A. et al. (2018) ‘Gating Alleys to Reduce Crime: A Meta-Analysis and Realist Synthesis’.</w:t>
      </w:r>
    </w:p>
    <w:p w14:paraId="5A4A35CF"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Justice </w:t>
      </w:r>
      <w:proofErr w:type="gramStart"/>
      <w:r w:rsidRPr="00E91A66">
        <w:rPr>
          <w:rFonts w:ascii="Calibri" w:hAnsi="Calibri" w:cs="Calibri"/>
        </w:rPr>
        <w:t>Quarterly ,</w:t>
      </w:r>
      <w:proofErr w:type="gramEnd"/>
      <w:r w:rsidRPr="00E91A66">
        <w:rPr>
          <w:rFonts w:ascii="Calibri" w:hAnsi="Calibri" w:cs="Calibri"/>
        </w:rPr>
        <w:t xml:space="preserve"> 35 (1) pp. 55-86</w:t>
      </w:r>
    </w:p>
    <w:p w14:paraId="6BFF2C53"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Available at: </w:t>
      </w:r>
      <w:hyperlink r:id="rId77" w:history="1">
        <w:r w:rsidRPr="00E91A66">
          <w:rPr>
            <w:rStyle w:val="Hyperlink"/>
            <w:rFonts w:ascii="Calibri" w:hAnsi="Calibri" w:cs="Calibri"/>
          </w:rPr>
          <w:t>10.1080/07418825.2017.1293135</w:t>
        </w:r>
      </w:hyperlink>
      <w:r w:rsidRPr="00E91A66">
        <w:rPr>
          <w:rFonts w:ascii="Calibri" w:hAnsi="Calibri" w:cs="Calibri"/>
        </w:rPr>
        <w:t>.</w:t>
      </w:r>
    </w:p>
    <w:p w14:paraId="37545C19"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3A5DECF2" w14:textId="77777777" w:rsidR="00256A16" w:rsidRPr="00E91A66" w:rsidRDefault="00256A16" w:rsidP="00256A16">
      <w:pPr>
        <w:pStyle w:val="NormalWeb"/>
        <w:spacing w:before="0" w:beforeAutospacing="0" w:after="0" w:afterAutospacing="0"/>
        <w:rPr>
          <w:rFonts w:ascii="Calibri" w:hAnsi="Calibri" w:cs="Calibri"/>
        </w:rPr>
      </w:pPr>
      <w:proofErr w:type="spellStart"/>
      <w:r w:rsidRPr="00E91A66">
        <w:rPr>
          <w:rFonts w:ascii="Calibri" w:hAnsi="Calibri" w:cs="Calibri"/>
        </w:rPr>
        <w:t>Slothower</w:t>
      </w:r>
      <w:proofErr w:type="spellEnd"/>
      <w:r w:rsidRPr="00E91A66">
        <w:rPr>
          <w:rFonts w:ascii="Calibri" w:hAnsi="Calibri" w:cs="Calibri"/>
        </w:rPr>
        <w:t xml:space="preserve">, M.P. and Joyce, T. (2020) ‘Victims’ Satisfaction </w:t>
      </w:r>
      <w:proofErr w:type="gramStart"/>
      <w:r w:rsidRPr="00E91A66">
        <w:rPr>
          <w:rFonts w:ascii="Calibri" w:hAnsi="Calibri" w:cs="Calibri"/>
        </w:rPr>
        <w:t>With</w:t>
      </w:r>
      <w:proofErr w:type="gramEnd"/>
      <w:r w:rsidRPr="00E91A66">
        <w:rPr>
          <w:rFonts w:ascii="Calibri" w:hAnsi="Calibri" w:cs="Calibri"/>
        </w:rPr>
        <w:t xml:space="preserve"> Arrestee Diversion from Prosecution to a Police-Led, Out-of-Court Desistance Contract: a Randomized Controlled Trial’, Cambridge journal of evidence-based policing, 4(1-2), pp. 56–76.</w:t>
      </w:r>
    </w:p>
    <w:p w14:paraId="4057CCCA"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Available at: </w:t>
      </w:r>
      <w:hyperlink r:id="rId78" w:history="1">
        <w:r w:rsidRPr="00E91A66">
          <w:rPr>
            <w:rStyle w:val="Hyperlink"/>
            <w:rFonts w:ascii="Calibri" w:hAnsi="Calibri" w:cs="Calibri"/>
          </w:rPr>
          <w:t>https://doi.org/10.1007/s41887-020-00042-3</w:t>
        </w:r>
      </w:hyperlink>
      <w:r w:rsidRPr="00E91A66">
        <w:rPr>
          <w:rFonts w:ascii="Calibri" w:hAnsi="Calibri" w:cs="Calibri"/>
        </w:rPr>
        <w:t>.</w:t>
      </w:r>
    </w:p>
    <w:p w14:paraId="0358492A"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6CFB7352"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Suzuki, M. and Jenkins, T. (2022) ‘The role of (self-)forgiveness in restorative justice: Linking restorative justice to desistance’, European journal of criminology, 19(2), pp. 202–219.</w:t>
      </w:r>
    </w:p>
    <w:p w14:paraId="0584114C"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xml:space="preserve">Available at: </w:t>
      </w:r>
      <w:hyperlink r:id="rId79" w:history="1">
        <w:r w:rsidRPr="00E91A66">
          <w:rPr>
            <w:rStyle w:val="Hyperlink"/>
            <w:rFonts w:ascii="Calibri" w:hAnsi="Calibri" w:cs="Calibri"/>
          </w:rPr>
          <w:t>https://doi.org/10.1177/1477370819895959</w:t>
        </w:r>
      </w:hyperlink>
      <w:r w:rsidRPr="00E91A66">
        <w:rPr>
          <w:rFonts w:ascii="Calibri" w:hAnsi="Calibri" w:cs="Calibri"/>
        </w:rPr>
        <w:t>.</w:t>
      </w:r>
    </w:p>
    <w:p w14:paraId="36983181" w14:textId="77777777" w:rsidR="00256A16" w:rsidRPr="00E91A66" w:rsidRDefault="00256A16" w:rsidP="00256A16">
      <w:pPr>
        <w:pStyle w:val="NormalWeb"/>
        <w:spacing w:before="0" w:beforeAutospacing="0" w:after="0" w:afterAutospacing="0"/>
        <w:rPr>
          <w:rFonts w:ascii="Calibri" w:hAnsi="Calibri" w:cs="Calibri"/>
        </w:rPr>
      </w:pPr>
      <w:r w:rsidRPr="00E91A66">
        <w:rPr>
          <w:rFonts w:ascii="Calibri" w:hAnsi="Calibri" w:cs="Calibri"/>
        </w:rPr>
        <w:t> </w:t>
      </w:r>
    </w:p>
    <w:p w14:paraId="27F81B26" w14:textId="37BB6E58" w:rsidR="00256A16" w:rsidRPr="00E91A66" w:rsidRDefault="00256A16" w:rsidP="009001E6">
      <w:pPr>
        <w:pStyle w:val="NormalWeb"/>
        <w:spacing w:before="0" w:beforeAutospacing="0" w:after="0" w:afterAutospacing="0"/>
      </w:pPr>
      <w:r w:rsidRPr="00E91A66">
        <w:rPr>
          <w:rFonts w:ascii="Calibri" w:hAnsi="Calibri" w:cs="Calibri"/>
        </w:rPr>
        <w:t> </w:t>
      </w:r>
    </w:p>
    <w:p w14:paraId="38AC38C3" w14:textId="77777777" w:rsidR="00256A16" w:rsidRPr="00E91A66" w:rsidRDefault="00256A16" w:rsidP="00256A16">
      <w:pPr>
        <w:spacing w:line="360" w:lineRule="auto"/>
        <w:rPr>
          <w:sz w:val="24"/>
          <w:szCs w:val="24"/>
        </w:rPr>
      </w:pPr>
    </w:p>
    <w:sectPr w:rsidR="00256A16" w:rsidRPr="00E91A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00662" w14:textId="77777777" w:rsidR="002B5272" w:rsidRDefault="002B5272" w:rsidP="002B5272">
      <w:pPr>
        <w:spacing w:after="0" w:line="240" w:lineRule="auto"/>
      </w:pPr>
      <w:r>
        <w:separator/>
      </w:r>
    </w:p>
  </w:endnote>
  <w:endnote w:type="continuationSeparator" w:id="0">
    <w:p w14:paraId="15AB17FB" w14:textId="77777777" w:rsidR="002B5272" w:rsidRDefault="002B5272" w:rsidP="002B5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6BD5D" w14:textId="77777777" w:rsidR="002B5272" w:rsidRDefault="002B5272" w:rsidP="002B5272">
      <w:pPr>
        <w:spacing w:after="0" w:line="240" w:lineRule="auto"/>
      </w:pPr>
      <w:r>
        <w:separator/>
      </w:r>
    </w:p>
  </w:footnote>
  <w:footnote w:type="continuationSeparator" w:id="0">
    <w:p w14:paraId="4DFD30AB" w14:textId="77777777" w:rsidR="002B5272" w:rsidRDefault="002B5272" w:rsidP="002B52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272"/>
    <w:rsid w:val="0019291F"/>
    <w:rsid w:val="001E6C14"/>
    <w:rsid w:val="00241D13"/>
    <w:rsid w:val="00256A16"/>
    <w:rsid w:val="002B5272"/>
    <w:rsid w:val="00436116"/>
    <w:rsid w:val="00454336"/>
    <w:rsid w:val="004672B8"/>
    <w:rsid w:val="005742EC"/>
    <w:rsid w:val="005D6BDB"/>
    <w:rsid w:val="00611951"/>
    <w:rsid w:val="0077335D"/>
    <w:rsid w:val="007B3F07"/>
    <w:rsid w:val="00815FBA"/>
    <w:rsid w:val="008D212A"/>
    <w:rsid w:val="008D7A06"/>
    <w:rsid w:val="009001E6"/>
    <w:rsid w:val="009839E9"/>
    <w:rsid w:val="009A4706"/>
    <w:rsid w:val="00B2121A"/>
    <w:rsid w:val="00BE08F7"/>
    <w:rsid w:val="00C547E5"/>
    <w:rsid w:val="00E912C6"/>
    <w:rsid w:val="00E91A66"/>
    <w:rsid w:val="00F30390"/>
    <w:rsid w:val="00F9105A"/>
    <w:rsid w:val="00FF2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92AEA"/>
  <w15:chartTrackingRefBased/>
  <w15:docId w15:val="{C0EFB253-0933-4EEC-9E64-E2B59F303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1A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91A66"/>
    <w:rPr>
      <w:color w:val="0000FF"/>
      <w:u w:val="single"/>
    </w:rPr>
  </w:style>
  <w:style w:type="character" w:styleId="HTMLCite">
    <w:name w:val="HTML Cite"/>
    <w:basedOn w:val="DefaultParagraphFont"/>
    <w:uiPriority w:val="99"/>
    <w:semiHidden/>
    <w:unhideWhenUsed/>
    <w:rsid w:val="00E91A66"/>
    <w:rPr>
      <w:i/>
      <w:iCs/>
    </w:rPr>
  </w:style>
  <w:style w:type="character" w:styleId="UnresolvedMention">
    <w:name w:val="Unresolved Mention"/>
    <w:basedOn w:val="DefaultParagraphFont"/>
    <w:uiPriority w:val="99"/>
    <w:semiHidden/>
    <w:unhideWhenUsed/>
    <w:rsid w:val="00E91A66"/>
    <w:rPr>
      <w:color w:val="605E5C"/>
      <w:shd w:val="clear" w:color="auto" w:fill="E1DFDD"/>
    </w:rPr>
  </w:style>
  <w:style w:type="character" w:styleId="FollowedHyperlink">
    <w:name w:val="FollowedHyperlink"/>
    <w:basedOn w:val="DefaultParagraphFont"/>
    <w:uiPriority w:val="99"/>
    <w:semiHidden/>
    <w:unhideWhenUsed/>
    <w:rsid w:val="00C547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8830">
      <w:bodyDiv w:val="1"/>
      <w:marLeft w:val="0"/>
      <w:marRight w:val="0"/>
      <w:marTop w:val="0"/>
      <w:marBottom w:val="0"/>
      <w:divBdr>
        <w:top w:val="none" w:sz="0" w:space="0" w:color="auto"/>
        <w:left w:val="none" w:sz="0" w:space="0" w:color="auto"/>
        <w:bottom w:val="none" w:sz="0" w:space="0" w:color="auto"/>
        <w:right w:val="none" w:sz="0" w:space="0" w:color="auto"/>
      </w:divBdr>
      <w:divsChild>
        <w:div w:id="2074699693">
          <w:marLeft w:val="0"/>
          <w:marRight w:val="0"/>
          <w:marTop w:val="0"/>
          <w:marBottom w:val="0"/>
          <w:divBdr>
            <w:top w:val="none" w:sz="0" w:space="0" w:color="auto"/>
            <w:left w:val="none" w:sz="0" w:space="0" w:color="auto"/>
            <w:bottom w:val="none" w:sz="0" w:space="0" w:color="auto"/>
            <w:right w:val="none" w:sz="0" w:space="0" w:color="auto"/>
          </w:divBdr>
          <w:divsChild>
            <w:div w:id="1350375389">
              <w:marLeft w:val="0"/>
              <w:marRight w:val="0"/>
              <w:marTop w:val="0"/>
              <w:marBottom w:val="0"/>
              <w:divBdr>
                <w:top w:val="none" w:sz="0" w:space="0" w:color="auto"/>
                <w:left w:val="none" w:sz="0" w:space="0" w:color="auto"/>
                <w:bottom w:val="none" w:sz="0" w:space="0" w:color="auto"/>
                <w:right w:val="none" w:sz="0" w:space="0" w:color="auto"/>
              </w:divBdr>
              <w:divsChild>
                <w:div w:id="96037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5843">
      <w:bodyDiv w:val="1"/>
      <w:marLeft w:val="0"/>
      <w:marRight w:val="0"/>
      <w:marTop w:val="0"/>
      <w:marBottom w:val="0"/>
      <w:divBdr>
        <w:top w:val="none" w:sz="0" w:space="0" w:color="auto"/>
        <w:left w:val="none" w:sz="0" w:space="0" w:color="auto"/>
        <w:bottom w:val="none" w:sz="0" w:space="0" w:color="auto"/>
        <w:right w:val="none" w:sz="0" w:space="0" w:color="auto"/>
      </w:divBdr>
    </w:div>
    <w:div w:id="177500736">
      <w:bodyDiv w:val="1"/>
      <w:marLeft w:val="0"/>
      <w:marRight w:val="0"/>
      <w:marTop w:val="0"/>
      <w:marBottom w:val="0"/>
      <w:divBdr>
        <w:top w:val="none" w:sz="0" w:space="0" w:color="auto"/>
        <w:left w:val="none" w:sz="0" w:space="0" w:color="auto"/>
        <w:bottom w:val="none" w:sz="0" w:space="0" w:color="auto"/>
        <w:right w:val="none" w:sz="0" w:space="0" w:color="auto"/>
      </w:divBdr>
    </w:div>
    <w:div w:id="361713362">
      <w:bodyDiv w:val="1"/>
      <w:marLeft w:val="0"/>
      <w:marRight w:val="0"/>
      <w:marTop w:val="0"/>
      <w:marBottom w:val="0"/>
      <w:divBdr>
        <w:top w:val="none" w:sz="0" w:space="0" w:color="auto"/>
        <w:left w:val="none" w:sz="0" w:space="0" w:color="auto"/>
        <w:bottom w:val="none" w:sz="0" w:space="0" w:color="auto"/>
        <w:right w:val="none" w:sz="0" w:space="0" w:color="auto"/>
      </w:divBdr>
    </w:div>
    <w:div w:id="519396724">
      <w:bodyDiv w:val="1"/>
      <w:marLeft w:val="0"/>
      <w:marRight w:val="0"/>
      <w:marTop w:val="0"/>
      <w:marBottom w:val="0"/>
      <w:divBdr>
        <w:top w:val="none" w:sz="0" w:space="0" w:color="auto"/>
        <w:left w:val="none" w:sz="0" w:space="0" w:color="auto"/>
        <w:bottom w:val="none" w:sz="0" w:space="0" w:color="auto"/>
        <w:right w:val="none" w:sz="0" w:space="0" w:color="auto"/>
      </w:divBdr>
    </w:div>
    <w:div w:id="559681516">
      <w:bodyDiv w:val="1"/>
      <w:marLeft w:val="0"/>
      <w:marRight w:val="0"/>
      <w:marTop w:val="0"/>
      <w:marBottom w:val="0"/>
      <w:divBdr>
        <w:top w:val="none" w:sz="0" w:space="0" w:color="auto"/>
        <w:left w:val="none" w:sz="0" w:space="0" w:color="auto"/>
        <w:bottom w:val="none" w:sz="0" w:space="0" w:color="auto"/>
        <w:right w:val="none" w:sz="0" w:space="0" w:color="auto"/>
      </w:divBdr>
    </w:div>
    <w:div w:id="693312696">
      <w:bodyDiv w:val="1"/>
      <w:marLeft w:val="0"/>
      <w:marRight w:val="0"/>
      <w:marTop w:val="0"/>
      <w:marBottom w:val="0"/>
      <w:divBdr>
        <w:top w:val="none" w:sz="0" w:space="0" w:color="auto"/>
        <w:left w:val="none" w:sz="0" w:space="0" w:color="auto"/>
        <w:bottom w:val="none" w:sz="0" w:space="0" w:color="auto"/>
        <w:right w:val="none" w:sz="0" w:space="0" w:color="auto"/>
      </w:divBdr>
    </w:div>
    <w:div w:id="778717982">
      <w:bodyDiv w:val="1"/>
      <w:marLeft w:val="0"/>
      <w:marRight w:val="0"/>
      <w:marTop w:val="0"/>
      <w:marBottom w:val="0"/>
      <w:divBdr>
        <w:top w:val="none" w:sz="0" w:space="0" w:color="auto"/>
        <w:left w:val="none" w:sz="0" w:space="0" w:color="auto"/>
        <w:bottom w:val="none" w:sz="0" w:space="0" w:color="auto"/>
        <w:right w:val="none" w:sz="0" w:space="0" w:color="auto"/>
      </w:divBdr>
    </w:div>
    <w:div w:id="1057583203">
      <w:bodyDiv w:val="1"/>
      <w:marLeft w:val="0"/>
      <w:marRight w:val="0"/>
      <w:marTop w:val="0"/>
      <w:marBottom w:val="0"/>
      <w:divBdr>
        <w:top w:val="none" w:sz="0" w:space="0" w:color="auto"/>
        <w:left w:val="none" w:sz="0" w:space="0" w:color="auto"/>
        <w:bottom w:val="none" w:sz="0" w:space="0" w:color="auto"/>
        <w:right w:val="none" w:sz="0" w:space="0" w:color="auto"/>
      </w:divBdr>
    </w:div>
    <w:div w:id="1067219731">
      <w:bodyDiv w:val="1"/>
      <w:marLeft w:val="0"/>
      <w:marRight w:val="0"/>
      <w:marTop w:val="0"/>
      <w:marBottom w:val="0"/>
      <w:divBdr>
        <w:top w:val="none" w:sz="0" w:space="0" w:color="auto"/>
        <w:left w:val="none" w:sz="0" w:space="0" w:color="auto"/>
        <w:bottom w:val="none" w:sz="0" w:space="0" w:color="auto"/>
        <w:right w:val="none" w:sz="0" w:space="0" w:color="auto"/>
      </w:divBdr>
    </w:div>
    <w:div w:id="1079406944">
      <w:bodyDiv w:val="1"/>
      <w:marLeft w:val="0"/>
      <w:marRight w:val="0"/>
      <w:marTop w:val="0"/>
      <w:marBottom w:val="0"/>
      <w:divBdr>
        <w:top w:val="none" w:sz="0" w:space="0" w:color="auto"/>
        <w:left w:val="none" w:sz="0" w:space="0" w:color="auto"/>
        <w:bottom w:val="none" w:sz="0" w:space="0" w:color="auto"/>
        <w:right w:val="none" w:sz="0" w:space="0" w:color="auto"/>
      </w:divBdr>
    </w:div>
    <w:div w:id="1314525413">
      <w:bodyDiv w:val="1"/>
      <w:marLeft w:val="0"/>
      <w:marRight w:val="0"/>
      <w:marTop w:val="0"/>
      <w:marBottom w:val="0"/>
      <w:divBdr>
        <w:top w:val="none" w:sz="0" w:space="0" w:color="auto"/>
        <w:left w:val="none" w:sz="0" w:space="0" w:color="auto"/>
        <w:bottom w:val="none" w:sz="0" w:space="0" w:color="auto"/>
        <w:right w:val="none" w:sz="0" w:space="0" w:color="auto"/>
      </w:divBdr>
      <w:divsChild>
        <w:div w:id="2104296443">
          <w:marLeft w:val="0"/>
          <w:marRight w:val="0"/>
          <w:marTop w:val="0"/>
          <w:marBottom w:val="0"/>
          <w:divBdr>
            <w:top w:val="none" w:sz="0" w:space="0" w:color="auto"/>
            <w:left w:val="none" w:sz="0" w:space="0" w:color="auto"/>
            <w:bottom w:val="none" w:sz="0" w:space="0" w:color="auto"/>
            <w:right w:val="none" w:sz="0" w:space="0" w:color="auto"/>
          </w:divBdr>
          <w:divsChild>
            <w:div w:id="1263218424">
              <w:marLeft w:val="0"/>
              <w:marRight w:val="0"/>
              <w:marTop w:val="0"/>
              <w:marBottom w:val="0"/>
              <w:divBdr>
                <w:top w:val="none" w:sz="0" w:space="0" w:color="auto"/>
                <w:left w:val="none" w:sz="0" w:space="0" w:color="auto"/>
                <w:bottom w:val="none" w:sz="0" w:space="0" w:color="auto"/>
                <w:right w:val="none" w:sz="0" w:space="0" w:color="auto"/>
              </w:divBdr>
              <w:divsChild>
                <w:div w:id="170794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858533">
      <w:bodyDiv w:val="1"/>
      <w:marLeft w:val="0"/>
      <w:marRight w:val="0"/>
      <w:marTop w:val="0"/>
      <w:marBottom w:val="0"/>
      <w:divBdr>
        <w:top w:val="none" w:sz="0" w:space="0" w:color="auto"/>
        <w:left w:val="none" w:sz="0" w:space="0" w:color="auto"/>
        <w:bottom w:val="none" w:sz="0" w:space="0" w:color="auto"/>
        <w:right w:val="none" w:sz="0" w:space="0" w:color="auto"/>
      </w:divBdr>
    </w:div>
    <w:div w:id="1397893143">
      <w:bodyDiv w:val="1"/>
      <w:marLeft w:val="0"/>
      <w:marRight w:val="0"/>
      <w:marTop w:val="0"/>
      <w:marBottom w:val="0"/>
      <w:divBdr>
        <w:top w:val="none" w:sz="0" w:space="0" w:color="auto"/>
        <w:left w:val="none" w:sz="0" w:space="0" w:color="auto"/>
        <w:bottom w:val="none" w:sz="0" w:space="0" w:color="auto"/>
        <w:right w:val="none" w:sz="0" w:space="0" w:color="auto"/>
      </w:divBdr>
    </w:div>
    <w:div w:id="2051492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incolnshire-pcc.gov.uk/news-archive/2022/opcc-peqf-u-turn/" TargetMode="External"/><Relationship Id="rId21" Type="http://schemas.openxmlformats.org/officeDocument/2006/relationships/hyperlink" Target="https://doi.org/10.1108/JOEPP-06-2016-0040" TargetMode="External"/><Relationship Id="rId42" Type="http://schemas.openxmlformats.org/officeDocument/2006/relationships/hyperlink" Target="https://doi.org/10.1177/0032258X20926939" TargetMode="External"/><Relationship Id="rId47" Type="http://schemas.openxmlformats.org/officeDocument/2006/relationships/hyperlink" Target="https://doi.org/10.14361/9783839437827" TargetMode="External"/><Relationship Id="rId63" Type="http://schemas.openxmlformats.org/officeDocument/2006/relationships/hyperlink" Target="https://www.legislation.gov.uk/ukpga/2003/38/contents" TargetMode="External"/><Relationship Id="rId68" Type="http://schemas.openxmlformats.org/officeDocument/2006/relationships/hyperlink" Target="https://civilservice.blog.gov.uk/2021/06/28/innovating-to-tackle-reoffending/" TargetMode="External"/><Relationship Id="rId16" Type="http://schemas.openxmlformats.org/officeDocument/2006/relationships/hyperlink" Target="https://doi.org/10.1080/09540962.2021.1940481" TargetMode="External"/><Relationship Id="rId11" Type="http://schemas.openxmlformats.org/officeDocument/2006/relationships/hyperlink" Target="https://www-vlebooks-com.ezproxy.uwtsd.ac.uk/Product/Index/1846184?page=0" TargetMode="External"/><Relationship Id="rId32" Type="http://schemas.openxmlformats.org/officeDocument/2006/relationships/hyperlink" Target="https://doi.org/10.1080/15614263.2021.1942873" TargetMode="External"/><Relationship Id="rId37" Type="http://schemas.openxmlformats.org/officeDocument/2006/relationships/hyperlink" Target="https://www.bbc.co.uk/news/uk-wales-39949232" TargetMode="External"/><Relationship Id="rId53" Type="http://schemas.openxmlformats.org/officeDocument/2006/relationships/hyperlink" Target="https://doi.org/10.1007/s12117-013-9195-3" TargetMode="External"/><Relationship Id="rId58" Type="http://schemas.openxmlformats.org/officeDocument/2006/relationships/hyperlink" Target="https://www.cps.gov.uk/organised-crime-strategy" TargetMode="External"/><Relationship Id="rId74" Type="http://schemas.openxmlformats.org/officeDocument/2006/relationships/hyperlink" Target="https://doi.org/10.4073/csr.2018.5" TargetMode="External"/><Relationship Id="rId79" Type="http://schemas.openxmlformats.org/officeDocument/2006/relationships/hyperlink" Target="https://doi.org/10.1177/1477370819895959" TargetMode="External"/><Relationship Id="rId5" Type="http://schemas.openxmlformats.org/officeDocument/2006/relationships/endnotes" Target="endnotes.xml"/><Relationship Id="rId61" Type="http://schemas.openxmlformats.org/officeDocument/2006/relationships/hyperlink" Target="https://doi.org/10.1111/puar.12889" TargetMode="External"/><Relationship Id="rId19" Type="http://schemas.openxmlformats.org/officeDocument/2006/relationships/hyperlink" Target="https://doi.org/10.1177/1748895817690214" TargetMode="External"/><Relationship Id="rId14" Type="http://schemas.openxmlformats.org/officeDocument/2006/relationships/hyperlink" Target="https://doi.org/10.1007/s11896-018-9275-z" TargetMode="External"/><Relationship Id="rId22" Type="http://schemas.openxmlformats.org/officeDocument/2006/relationships/hyperlink" Target="https://doi.org/10.1111/j.1467-6486.2005.00500.x" TargetMode="External"/><Relationship Id="rId27" Type="http://schemas.openxmlformats.org/officeDocument/2006/relationships/hyperlink" Target="https://doi.org/10.1108/13639511111157474" TargetMode="External"/><Relationship Id="rId30" Type="http://schemas.openxmlformats.org/officeDocument/2006/relationships/hyperlink" Target="https://doi.org/10.1177/1098611116653723" TargetMode="External"/><Relationship Id="rId35" Type="http://schemas.openxmlformats.org/officeDocument/2006/relationships/hyperlink" Target="https://www.legislation.gov.uk/ukpga/1967/58/contents" TargetMode="External"/><Relationship Id="rId43" Type="http://schemas.openxmlformats.org/officeDocument/2006/relationships/hyperlink" Target="https://doi.org/10.1073/pnas.1910157116" TargetMode="External"/><Relationship Id="rId48" Type="http://schemas.openxmlformats.org/officeDocument/2006/relationships/hyperlink" Target="https://doi.org/10.1111/j.1745-9125.2012.00291.x" TargetMode="External"/><Relationship Id="rId56" Type="http://schemas.openxmlformats.org/officeDocument/2006/relationships/hyperlink" Target="https://doi.org/10.1023/B:CRIS.0000039600.88691.af" TargetMode="External"/><Relationship Id="rId64" Type="http://schemas.openxmlformats.org/officeDocument/2006/relationships/hyperlink" Target="https://www.legislation.gov.uk/ukpga/2014/12/contents/enacted" TargetMode="External"/><Relationship Id="rId69" Type="http://schemas.openxmlformats.org/officeDocument/2006/relationships/hyperlink" Target="https://doi.org/10.1057/cpcs.2010.22" TargetMode="External"/><Relationship Id="rId77" Type="http://schemas.openxmlformats.org/officeDocument/2006/relationships/hyperlink" Target="https://doi.org/10.1080/07418825.2017.1293135" TargetMode="External"/><Relationship Id="rId8" Type="http://schemas.openxmlformats.org/officeDocument/2006/relationships/hyperlink" Target="https://doi.org/10.1002/piq.21365" TargetMode="External"/><Relationship Id="rId51" Type="http://schemas.openxmlformats.org/officeDocument/2006/relationships/hyperlink" Target="https://popcenter.asu.edu/sites/default/files/opportunity_makes_the_thief.pdf" TargetMode="External"/><Relationship Id="rId72" Type="http://schemas.openxmlformats.org/officeDocument/2006/relationships/hyperlink" Target="https://doi.org/10.1111/j.1468-2311.2006.00438.x" TargetMode="External"/><Relationship Id="rId80"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r2.vlereader.com/Reader?ean=9781447337126" TargetMode="External"/><Relationship Id="rId17" Type="http://schemas.openxmlformats.org/officeDocument/2006/relationships/hyperlink" Target="https://doi.org/10.3390/admsci12030092" TargetMode="External"/><Relationship Id="rId25" Type="http://schemas.openxmlformats.org/officeDocument/2006/relationships/hyperlink" Target="https://doi.org/10.1016/j.jvb.2009.06.002" TargetMode="External"/><Relationship Id="rId33" Type="http://schemas.openxmlformats.org/officeDocument/2006/relationships/hyperlink" Target="https://doi.org/10.1080/10439463.2010.540655" TargetMode="External"/><Relationship Id="rId38" Type="http://schemas.openxmlformats.org/officeDocument/2006/relationships/hyperlink" Target="https://doi.org/10.1108/PIJPSM-05-2015-0058" TargetMode="External"/><Relationship Id="rId46" Type="http://schemas.openxmlformats.org/officeDocument/2006/relationships/hyperlink" Target="https://doi.org/10.1177/02750740211005699" TargetMode="External"/><Relationship Id="rId59" Type="http://schemas.openxmlformats.org/officeDocument/2006/relationships/hyperlink" Target="https://doi.org/10.1007/s12117-012-9154-4" TargetMode="External"/><Relationship Id="rId67" Type="http://schemas.openxmlformats.org/officeDocument/2006/relationships/hyperlink" Target="https://doi.org/10.1108/SC-02-2018-0006" TargetMode="External"/><Relationship Id="rId20" Type="http://schemas.openxmlformats.org/officeDocument/2006/relationships/hyperlink" Target="https://doi.org/10.1177/1461355720907620" TargetMode="External"/><Relationship Id="rId41" Type="http://schemas.openxmlformats.org/officeDocument/2006/relationships/hyperlink" Target="https://www.legislation.gov.uk/ukpga/1984/60/contents" TargetMode="External"/><Relationship Id="rId54" Type="http://schemas.openxmlformats.org/officeDocument/2006/relationships/hyperlink" Target="https://doi.org/10.1007/s12117-012-9173-1" TargetMode="External"/><Relationship Id="rId62" Type="http://schemas.openxmlformats.org/officeDocument/2006/relationships/hyperlink" Target="https://doi.org/10.1080/21582041.2012.751504" TargetMode="External"/><Relationship Id="rId70" Type="http://schemas.openxmlformats.org/officeDocument/2006/relationships/hyperlink" Target="https://doi.org/10.1002/soej.12112" TargetMode="External"/><Relationship Id="rId75" Type="http://schemas.openxmlformats.org/officeDocument/2006/relationships/hyperlink" Target="https://www.gov.uk/government/publications/regional-reducing-reoffending-plans" TargetMode="External"/><Relationship Id="rId1" Type="http://schemas.openxmlformats.org/officeDocument/2006/relationships/styles" Target="styles.xml"/><Relationship Id="rId6" Type="http://schemas.openxmlformats.org/officeDocument/2006/relationships/hyperlink" Target="https://doi.org/10.1108/PIJPSM-10-2013-0105" TargetMode="External"/><Relationship Id="rId15" Type="http://schemas.openxmlformats.org/officeDocument/2006/relationships/hyperlink" Target="https://doi.org/10.3402/ejpt.v4i0.19696" TargetMode="External"/><Relationship Id="rId23" Type="http://schemas.openxmlformats.org/officeDocument/2006/relationships/hyperlink" Target="https://doi.org/10.1177/0003122411400056" TargetMode="External"/><Relationship Id="rId28" Type="http://schemas.openxmlformats.org/officeDocument/2006/relationships/hyperlink" Target="https://doi.org/10.1007/s11896-018-9265-1" TargetMode="External"/><Relationship Id="rId36" Type="http://schemas.openxmlformats.org/officeDocument/2006/relationships/hyperlink" Target="https://doi.org/10.1007/s11292-021-09487-6" TargetMode="External"/><Relationship Id="rId49" Type="http://schemas.openxmlformats.org/officeDocument/2006/relationships/hyperlink" Target="https://www.college.police.uk/app/public-order/core-principles-and-legislation/police-use-force" TargetMode="External"/><Relationship Id="rId57" Type="http://schemas.openxmlformats.org/officeDocument/2006/relationships/hyperlink" Target="https://doi.org/10.1108/13639511111106588" TargetMode="External"/><Relationship Id="rId10" Type="http://schemas.openxmlformats.org/officeDocument/2006/relationships/hyperlink" Target="https://doi.org/10.1350/pojo.2010.00.0.481" TargetMode="External"/><Relationship Id="rId31" Type="http://schemas.openxmlformats.org/officeDocument/2006/relationships/hyperlink" Target="https://doi.org/10.1007/s10940-014-9236-3" TargetMode="External"/><Relationship Id="rId44" Type="http://schemas.openxmlformats.org/officeDocument/2006/relationships/hyperlink" Target="https://doi.org/10.1111/1745-9133.12511" TargetMode="External"/><Relationship Id="rId52" Type="http://schemas.openxmlformats.org/officeDocument/2006/relationships/hyperlink" Target="https://doi.org/10.1007/s10611-007-9083-3" TargetMode="External"/><Relationship Id="rId60" Type="http://schemas.openxmlformats.org/officeDocument/2006/relationships/hyperlink" Target="https://doi.org/10.1177/1748895811398459" TargetMode="External"/><Relationship Id="rId65" Type="http://schemas.openxmlformats.org/officeDocument/2006/relationships/hyperlink" Target="https://doi.org/10.1007/s11292-016-9260-4" TargetMode="External"/><Relationship Id="rId73" Type="http://schemas.openxmlformats.org/officeDocument/2006/relationships/hyperlink" Target="https://www.college.police.uk/app/prosecution-and-case-management/possible-justice-outcomes-following-investigation" TargetMode="External"/><Relationship Id="rId78" Type="http://schemas.openxmlformats.org/officeDocument/2006/relationships/hyperlink" Target="https://doi.org/10.1007/s41887-020-00042-3" TargetMode="External"/><Relationship Id="rId8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oi.org/10.1080/09585192.2022.2047755" TargetMode="External"/><Relationship Id="rId13" Type="http://schemas.openxmlformats.org/officeDocument/2006/relationships/hyperlink" Target="https://www.college.police.uk/app/public-order/core-principles-and-legislation/police-use-force" TargetMode="External"/><Relationship Id="rId18" Type="http://schemas.openxmlformats.org/officeDocument/2006/relationships/hyperlink" Target="https://doi.org/10.1350/pojo.2014.87.2.662" TargetMode="External"/><Relationship Id="rId39" Type="http://schemas.openxmlformats.org/officeDocument/2006/relationships/hyperlink" Target="https://doi.org/10.1016/j.jcrimjus.2019.101631" TargetMode="External"/><Relationship Id="rId34" Type="http://schemas.openxmlformats.org/officeDocument/2006/relationships/hyperlink" Target="https://doi.org/10.1177/0734016819846236" TargetMode="External"/><Relationship Id="rId50" Type="http://schemas.openxmlformats.org/officeDocument/2006/relationships/hyperlink" Target="http://www.jstor.org/stable/10.1525/j.ctt1w8h1r1.7" TargetMode="External"/><Relationship Id="rId55" Type="http://schemas.openxmlformats.org/officeDocument/2006/relationships/hyperlink" Target="https://doi.org/10.1177/0002716218782654" TargetMode="External"/><Relationship Id="rId76" Type="http://schemas.openxmlformats.org/officeDocument/2006/relationships/hyperlink" Target="https://doi.org/10.1057/cpcs.2012.16" TargetMode="External"/><Relationship Id="rId7" Type="http://schemas.openxmlformats.org/officeDocument/2006/relationships/hyperlink" Target="https://doi.org/10.3390/ijerph19159218" TargetMode="External"/><Relationship Id="rId71" Type="http://schemas.openxmlformats.org/officeDocument/2006/relationships/hyperlink" Target="https://doi.org/10.1080/10437797.2021.1997690" TargetMode="External"/><Relationship Id="rId2" Type="http://schemas.openxmlformats.org/officeDocument/2006/relationships/settings" Target="settings.xml"/><Relationship Id="rId29" Type="http://schemas.openxmlformats.org/officeDocument/2006/relationships/hyperlink" Target="https://doi.org/10.1080/14719037.2016.1266021" TargetMode="External"/><Relationship Id="rId24" Type="http://schemas.openxmlformats.org/officeDocument/2006/relationships/hyperlink" Target="https://doi.org/10.1016/j.jvb.2010.01.001" TargetMode="External"/><Relationship Id="rId40" Type="http://schemas.openxmlformats.org/officeDocument/2006/relationships/hyperlink" Target="https://doi.org/10.1080/07418825.2019.1679864" TargetMode="External"/><Relationship Id="rId45" Type="http://schemas.openxmlformats.org/officeDocument/2006/relationships/hyperlink" Target="https://doi.org/10.1080/10439460600662098" TargetMode="External"/><Relationship Id="rId66" Type="http://schemas.openxmlformats.org/officeDocument/2006/relationships/hyperlink" Target="https://www.legislation.gov.uk/ukpga/1998/37/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23</Pages>
  <Words>7869</Words>
  <Characters>44858</Characters>
  <Application>Microsoft Office Word</Application>
  <DocSecurity>0</DocSecurity>
  <Lines>373</Lines>
  <Paragraphs>105</Paragraphs>
  <ScaleCrop>false</ScaleCrop>
  <Company/>
  <LinksUpToDate>false</LinksUpToDate>
  <CharactersWithSpaces>52622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Hamer,Ross swp6997</dc:creator>
  <cp:keywords/>
  <dc:description/>
  <cp:lastModifiedBy>Hamer,Ross swp6997</cp:lastModifiedBy>
  <cp:revision>9</cp:revision>
  <dcterms:created xsi:type="dcterms:W3CDTF">2023-01-28T14:52:00Z</dcterms:created>
  <dcterms:modified xsi:type="dcterms:W3CDTF">2023-02-02T15:17:00Z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2022-10-14T14:19:51Z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1459ee0c-8407-4557-943f-c54050b7c78e</vt:lpwstr>
  </property>
  <property fmtid="{D5CDD505-2E9C-101B-9397-08002B2CF9AE}" pid="8" name="MSIP_Label_66cf8fe5-b7b7-4df7-b38d-1c61ac2f6639_ContentBits">
    <vt:lpwstr>0</vt:lpwstr>
  </property>
</Properties>
</file>