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5766D" w:rsidRPr="00F11CEE" w:rsidRDefault="00F11CEE">
      <w:pPr>
        <w:rPr>
          <w:b/>
          <w:sz w:val="28"/>
          <w:u w:val="single"/>
        </w:rPr>
      </w:pPr>
      <w:r>
        <w:rPr>
          <w:b/>
          <w:sz w:val="28"/>
          <w:u w:val="single"/>
        </w:rPr>
        <w:t>Me</w:t>
      </w:r>
      <w:r w:rsidRPr="00F11CEE">
        <w:rPr>
          <w:b/>
          <w:sz w:val="28"/>
          <w:u w:val="single"/>
        </w:rPr>
        <w:t>ga</w:t>
      </w:r>
      <w:r>
        <w:rPr>
          <w:b/>
          <w:sz w:val="28"/>
          <w:u w:val="single"/>
        </w:rPr>
        <w:t>ri</w:t>
      </w:r>
      <w:r w:rsidRPr="00F11CEE">
        <w:rPr>
          <w:b/>
          <w:sz w:val="28"/>
          <w:u w:val="single"/>
        </w:rPr>
        <w:t>an Decree</w:t>
      </w:r>
    </w:p>
    <w:p w:rsidR="00F11CEE" w:rsidRDefault="00B9284B">
      <w:r>
        <w:t>The Megar</w:t>
      </w:r>
      <w:r w:rsidR="00371587">
        <w:t>i</w:t>
      </w:r>
      <w:r>
        <w:t>an decree was an Athenian lead sanction of the city of Megara</w:t>
      </w:r>
      <w:r w:rsidR="00FB1695">
        <w:t>’</w:t>
      </w:r>
      <w:r>
        <w:t>s market access to Athens and was followed by a naval blockade</w:t>
      </w:r>
      <w:r w:rsidR="00CF150D">
        <w:t xml:space="preserve"> as a result of M</w:t>
      </w:r>
      <w:r w:rsidR="00817E6D">
        <w:t>egar</w:t>
      </w:r>
      <w:r w:rsidR="00371587">
        <w:t>i</w:t>
      </w:r>
      <w:r w:rsidR="00817E6D">
        <w:t>an assistance during the Corcyran conflict with Corinth</w:t>
      </w:r>
      <w:r w:rsidR="00D63E3A">
        <w:t>, in which Athens assisted the Corcyrans</w:t>
      </w:r>
      <w:r w:rsidR="00D63E3A">
        <w:rPr>
          <w:rStyle w:val="FootnoteReference"/>
        </w:rPr>
        <w:footnoteReference w:id="1"/>
      </w:r>
      <w:r w:rsidR="00D63E3A">
        <w:t xml:space="preserve"> </w:t>
      </w:r>
      <w:r w:rsidR="00817E6D">
        <w:t xml:space="preserve">over the use of magistrates in its colonies and their colonies. (Potideia) in which </w:t>
      </w:r>
      <w:r w:rsidR="00371587">
        <w:t>ships from Megara</w:t>
      </w:r>
      <w:r w:rsidR="00817E6D">
        <w:t xml:space="preserve"> were used to a</w:t>
      </w:r>
      <w:r w:rsidR="00CF150D">
        <w:t>id Corinth’s navy.</w:t>
      </w:r>
    </w:p>
    <w:p w:rsidR="00D63E3A" w:rsidRDefault="00CF150D">
      <w:r>
        <w:t xml:space="preserve">The solution that the Athenians conceived was put in motion by Pericles, as a way of circumventing the existing truce between them and Sparta as a way to punish Megara for aiding Corinth during the Corinth-Corcyra conflict. This solution was to bar access to the trading hubs of the Delian League </w:t>
      </w:r>
      <w:r w:rsidR="00D63E3A">
        <w:t>from the citizens of Megara</w:t>
      </w:r>
      <w:r w:rsidR="00D63E3A">
        <w:rPr>
          <w:rStyle w:val="FootnoteReference"/>
        </w:rPr>
        <w:footnoteReference w:id="2"/>
      </w:r>
      <w:r w:rsidR="00FB1695">
        <w:t xml:space="preserve">. However given indeterminate evidence it isn’t clear whether it would affect the Megarian economy more than simply being a political damnation of the state. </w:t>
      </w:r>
      <w:r w:rsidR="00FB1695">
        <w:rPr>
          <w:rStyle w:val="FootnoteReference"/>
        </w:rPr>
        <w:footnoteReference w:id="3"/>
      </w:r>
      <w:r w:rsidR="00384871">
        <w:t>Diodorus provides direct mention of Megara and the punishment imposed as opposed to Thucydides who mentions it in passing as a minor excuse for the Peloponnese league to go to war with the Athenians and the Delian league. The immediate results were as would have been anticipated, aid was requested from the Lacedaemon people, although it was Pericles thought that Archidamus and the rest of the Spartans would realise they are not in a position for war</w:t>
      </w:r>
      <w:r w:rsidR="00912D0C">
        <w:rPr>
          <w:rStyle w:val="FootnoteReference"/>
        </w:rPr>
        <w:footnoteReference w:id="4"/>
      </w:r>
      <w:r w:rsidR="00384871">
        <w:t>, he had underestimated the willingness of the pro war elements in the Peloponnesian league</w:t>
      </w:r>
      <w:r w:rsidR="00384871">
        <w:rPr>
          <w:rStyle w:val="FootnoteReference"/>
        </w:rPr>
        <w:footnoteReference w:id="5"/>
      </w:r>
      <w:r w:rsidR="00403AC2">
        <w:t>.</w:t>
      </w:r>
      <w:r w:rsidR="00FB1695">
        <w:t xml:space="preserve"> </w:t>
      </w:r>
    </w:p>
    <w:p w:rsidR="00403AC2" w:rsidRDefault="00403AC2">
      <w:r>
        <w:t xml:space="preserve">The events that </w:t>
      </w:r>
      <w:r w:rsidR="00912D0C">
        <w:t>led</w:t>
      </w:r>
      <w:r>
        <w:t xml:space="preserve"> up to the Megar</w:t>
      </w:r>
      <w:r w:rsidR="00371587">
        <w:t>i</w:t>
      </w:r>
      <w:r>
        <w:t>an Decree would be a major source of tension within what would make up the pro-war elements of the Peloponnesian League such as the Athenian interference in Corinth and her colonies affairs, knowing full well that responding to the Corcyran appeal would put the Athenian people in direct conflict with a member of the Peloponnesian league it was provided as a defence pact rather than an outright alliance so that the Athenians could claim that they have not transgressed the treaty in any way</w:t>
      </w:r>
      <w:r w:rsidR="00912D0C">
        <w:t>.</w:t>
      </w:r>
    </w:p>
    <w:p w:rsidR="00912D0C" w:rsidRDefault="00912D0C">
      <w:r>
        <w:t>As a result of the Megar</w:t>
      </w:r>
      <w:r w:rsidR="00371587">
        <w:t>i</w:t>
      </w:r>
      <w:r>
        <w:t>an decree which was imposed due to Megar</w:t>
      </w:r>
      <w:r w:rsidR="00371587">
        <w:t>i</w:t>
      </w:r>
      <w:r>
        <w:t>an aid to Corinth, Sparta and her allies decided that the Athenians had gone too far in this instance and that they would be the ones to break the thirty years truce.</w:t>
      </w:r>
    </w:p>
    <w:p w:rsidR="00887C5D" w:rsidRDefault="00912D0C" w:rsidP="00912D0C">
      <w:r>
        <w:t xml:space="preserve">The Athenian </w:t>
      </w:r>
      <w:r w:rsidR="00731272">
        <w:t>people’s</w:t>
      </w:r>
      <w:r>
        <w:t xml:space="preserve"> diplomacy with colonies and its allies in the Delian League would receive similar treatment during the Great Peloponnesian War and result in many revolts against Athenian supremacy in the Aegean.</w:t>
      </w:r>
    </w:p>
    <w:p w:rsidR="00887C5D" w:rsidRDefault="00887C5D" w:rsidP="00887C5D">
      <w:pPr>
        <w:tabs>
          <w:tab w:val="left" w:pos="6045"/>
        </w:tabs>
      </w:pPr>
      <w:r>
        <w:t>Bibliography</w:t>
      </w:r>
      <w:bookmarkStart w:id="0" w:name="_GoBack"/>
      <w:bookmarkEnd w:id="0"/>
    </w:p>
    <w:p w:rsidR="00887C5D" w:rsidRPr="00FB1695" w:rsidRDefault="00887C5D" w:rsidP="00887C5D">
      <w:pPr>
        <w:tabs>
          <w:tab w:val="left" w:pos="6045"/>
        </w:tabs>
        <w:rPr>
          <w:rFonts w:cstheme="minorHAnsi"/>
          <w:shd w:val="clear" w:color="auto" w:fill="FFFFFF"/>
        </w:rPr>
      </w:pPr>
      <w:r w:rsidRPr="00FB1695">
        <w:rPr>
          <w:rStyle w:val="bibliographicauthorname"/>
          <w:rFonts w:cstheme="minorHAnsi"/>
          <w:shd w:val="clear" w:color="auto" w:fill="FFFFFF"/>
        </w:rPr>
        <w:t>Thucydides</w:t>
      </w:r>
      <w:r w:rsidRPr="00FB1695">
        <w:rPr>
          <w:rFonts w:cstheme="minorHAnsi"/>
          <w:shd w:val="clear" w:color="auto" w:fill="FFFFFF"/>
        </w:rPr>
        <w:t>. </w:t>
      </w:r>
      <w:r w:rsidRPr="00FB1695">
        <w:rPr>
          <w:rFonts w:cstheme="minorHAnsi"/>
          <w:i/>
          <w:iCs/>
          <w:shd w:val="clear" w:color="auto" w:fill="FFFFFF"/>
        </w:rPr>
        <w:t>History of the Peloponnesian War, Volume I: Books 1-2. </w:t>
      </w:r>
      <w:r w:rsidRPr="00FB1695">
        <w:rPr>
          <w:rStyle w:val="translators"/>
          <w:rFonts w:cstheme="minorHAnsi"/>
          <w:shd w:val="clear" w:color="auto" w:fill="FFFFFF"/>
        </w:rPr>
        <w:t>Translated by </w:t>
      </w:r>
      <w:r w:rsidRPr="00FB1695">
        <w:rPr>
          <w:rStyle w:val="contributorname"/>
          <w:rFonts w:cstheme="minorHAnsi"/>
          <w:shd w:val="clear" w:color="auto" w:fill="FFFFFF"/>
        </w:rPr>
        <w:t>C. F. Smith</w:t>
      </w:r>
      <w:r w:rsidRPr="00FB1695">
        <w:rPr>
          <w:rStyle w:val="translators"/>
          <w:rFonts w:cstheme="minorHAnsi"/>
          <w:shd w:val="clear" w:color="auto" w:fill="FFFFFF"/>
        </w:rPr>
        <w:t>. </w:t>
      </w:r>
      <w:r w:rsidRPr="00FB1695">
        <w:rPr>
          <w:rFonts w:cstheme="minorHAnsi"/>
          <w:shd w:val="clear" w:color="auto" w:fill="FFFFFF"/>
        </w:rPr>
        <w:t>Loeb Classical Library 108. Cambridge, MA: Harvard University Press, 1919.</w:t>
      </w:r>
    </w:p>
    <w:p w:rsidR="00FB1695" w:rsidRPr="00FB1695" w:rsidRDefault="00887C5D" w:rsidP="00887C5D">
      <w:pPr>
        <w:tabs>
          <w:tab w:val="left" w:pos="6045"/>
        </w:tabs>
        <w:rPr>
          <w:rFonts w:cstheme="minorHAnsi"/>
          <w:shd w:val="clear" w:color="auto" w:fill="FFFFFF"/>
        </w:rPr>
      </w:pPr>
      <w:r w:rsidRPr="00FB1695">
        <w:rPr>
          <w:rStyle w:val="bibliographicauthorname"/>
          <w:rFonts w:cstheme="minorHAnsi"/>
          <w:shd w:val="clear" w:color="auto" w:fill="FFFFFF"/>
        </w:rPr>
        <w:t>Diodorus Siculus</w:t>
      </w:r>
      <w:r w:rsidRPr="00FB1695">
        <w:rPr>
          <w:rFonts w:cstheme="minorHAnsi"/>
          <w:shd w:val="clear" w:color="auto" w:fill="FFFFFF"/>
        </w:rPr>
        <w:t>. </w:t>
      </w:r>
      <w:r w:rsidRPr="00FB1695">
        <w:rPr>
          <w:rFonts w:cstheme="minorHAnsi"/>
          <w:i/>
          <w:iCs/>
          <w:shd w:val="clear" w:color="auto" w:fill="FFFFFF"/>
        </w:rPr>
        <w:t>Library of History, Volume IV: Books 9-12.40. </w:t>
      </w:r>
      <w:r w:rsidRPr="00FB1695">
        <w:rPr>
          <w:rStyle w:val="translators"/>
          <w:rFonts w:cstheme="minorHAnsi"/>
          <w:shd w:val="clear" w:color="auto" w:fill="FFFFFF"/>
        </w:rPr>
        <w:t>Translated by </w:t>
      </w:r>
      <w:r w:rsidRPr="00FB1695">
        <w:rPr>
          <w:rStyle w:val="contributorname"/>
          <w:rFonts w:cstheme="minorHAnsi"/>
          <w:shd w:val="clear" w:color="auto" w:fill="FFFFFF"/>
        </w:rPr>
        <w:t>C. H. Oldfather</w:t>
      </w:r>
      <w:r w:rsidRPr="00FB1695">
        <w:rPr>
          <w:rStyle w:val="translators"/>
          <w:rFonts w:cstheme="minorHAnsi"/>
          <w:shd w:val="clear" w:color="auto" w:fill="FFFFFF"/>
        </w:rPr>
        <w:t>. </w:t>
      </w:r>
      <w:r w:rsidRPr="00FB1695">
        <w:rPr>
          <w:rFonts w:cstheme="minorHAnsi"/>
          <w:shd w:val="clear" w:color="auto" w:fill="FFFFFF"/>
        </w:rPr>
        <w:t>Loeb Classical Library 375. Cambridge, MA: Harvard University Press, 1946</w:t>
      </w:r>
    </w:p>
    <w:p w:rsidR="00887C5D" w:rsidRPr="00FB1695" w:rsidRDefault="00FB1695" w:rsidP="00887C5D">
      <w:pPr>
        <w:tabs>
          <w:tab w:val="left" w:pos="6045"/>
        </w:tabs>
        <w:rPr>
          <w:rFonts w:cstheme="minorHAnsi"/>
          <w:shd w:val="clear" w:color="auto" w:fill="FFFFFF"/>
        </w:rPr>
      </w:pPr>
      <w:r w:rsidRPr="00FB1695">
        <w:rPr>
          <w:rFonts w:cstheme="minorHAnsi"/>
          <w:shd w:val="clear" w:color="auto" w:fill="FFFFFF"/>
        </w:rPr>
        <w:t>MacDonald, Brian R. “The Megarian Decree.” </w:t>
      </w:r>
      <w:r w:rsidRPr="00FB1695">
        <w:rPr>
          <w:rFonts w:cstheme="minorHAnsi"/>
          <w:i/>
          <w:iCs/>
          <w:shd w:val="clear" w:color="auto" w:fill="FFFFFF"/>
        </w:rPr>
        <w:t>Historia: Zeitschrift Für Alte Geschichte</w:t>
      </w:r>
      <w:r w:rsidRPr="00FB1695">
        <w:rPr>
          <w:rFonts w:cstheme="minorHAnsi"/>
          <w:shd w:val="clear" w:color="auto" w:fill="FFFFFF"/>
        </w:rPr>
        <w:t>, vol. 32, no. 4, 1983, pp. 385–410. </w:t>
      </w:r>
      <w:r w:rsidRPr="00FB1695">
        <w:rPr>
          <w:rFonts w:cstheme="minorHAnsi"/>
          <w:i/>
          <w:iCs/>
          <w:shd w:val="clear" w:color="auto" w:fill="FFFFFF"/>
        </w:rPr>
        <w:t>JSTOR</w:t>
      </w:r>
      <w:r w:rsidRPr="00FB1695">
        <w:rPr>
          <w:rFonts w:cstheme="minorHAnsi"/>
          <w:shd w:val="clear" w:color="auto" w:fill="FFFFFF"/>
        </w:rPr>
        <w:t>, www.jstor</w:t>
      </w:r>
      <w:r w:rsidRPr="00FB1695">
        <w:rPr>
          <w:rFonts w:cstheme="minorHAnsi"/>
          <w:shd w:val="clear" w:color="auto" w:fill="FFFFFF"/>
        </w:rPr>
        <w:t>.org/stable/4435862. Accessed 16</w:t>
      </w:r>
      <w:r w:rsidRPr="00FB1695">
        <w:rPr>
          <w:rFonts w:cstheme="minorHAnsi"/>
          <w:shd w:val="clear" w:color="auto" w:fill="FFFFFF"/>
        </w:rPr>
        <w:t xml:space="preserve"> Jan. 2020</w:t>
      </w:r>
    </w:p>
    <w:p w:rsidR="00731272" w:rsidRPr="00887C5D" w:rsidRDefault="00731272" w:rsidP="00887C5D">
      <w:pPr>
        <w:tabs>
          <w:tab w:val="left" w:pos="6045"/>
        </w:tabs>
      </w:pPr>
    </w:p>
    <w:sectPr w:rsidR="00731272" w:rsidRPr="00887C5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E42E6" w:rsidRDefault="00FE42E6" w:rsidP="00D63E3A">
      <w:pPr>
        <w:spacing w:after="0" w:line="240" w:lineRule="auto"/>
      </w:pPr>
      <w:r>
        <w:separator/>
      </w:r>
    </w:p>
  </w:endnote>
  <w:endnote w:type="continuationSeparator" w:id="0">
    <w:p w:rsidR="00FE42E6" w:rsidRDefault="00FE42E6" w:rsidP="00D63E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E42E6" w:rsidRDefault="00FE42E6" w:rsidP="00D63E3A">
      <w:pPr>
        <w:spacing w:after="0" w:line="240" w:lineRule="auto"/>
      </w:pPr>
      <w:r>
        <w:separator/>
      </w:r>
    </w:p>
  </w:footnote>
  <w:footnote w:type="continuationSeparator" w:id="0">
    <w:p w:rsidR="00FE42E6" w:rsidRDefault="00FE42E6" w:rsidP="00D63E3A">
      <w:pPr>
        <w:spacing w:after="0" w:line="240" w:lineRule="auto"/>
      </w:pPr>
      <w:r>
        <w:continuationSeparator/>
      </w:r>
    </w:p>
  </w:footnote>
  <w:footnote w:id="1">
    <w:p w:rsidR="00D63E3A" w:rsidRPr="00D63E3A" w:rsidRDefault="00D63E3A">
      <w:pPr>
        <w:pStyle w:val="FootnoteText"/>
        <w:rPr>
          <w:i/>
        </w:rPr>
      </w:pPr>
      <w:r>
        <w:rPr>
          <w:rStyle w:val="FootnoteReference"/>
        </w:rPr>
        <w:footnoteRef/>
      </w:r>
      <w:r>
        <w:t xml:space="preserve"> Thuc. 1.45 </w:t>
      </w:r>
      <w:r>
        <w:rPr>
          <w:i/>
        </w:rPr>
        <w:t>History of the Peloponnesian war</w:t>
      </w:r>
    </w:p>
  </w:footnote>
  <w:footnote w:id="2">
    <w:p w:rsidR="00D63E3A" w:rsidRPr="00887C5D" w:rsidRDefault="00D63E3A">
      <w:pPr>
        <w:pStyle w:val="FootnoteText"/>
      </w:pPr>
      <w:r>
        <w:rPr>
          <w:rStyle w:val="FootnoteReference"/>
        </w:rPr>
        <w:footnoteRef/>
      </w:r>
      <w:r>
        <w:t xml:space="preserve"> </w:t>
      </w:r>
      <w:r w:rsidR="00887C5D">
        <w:t xml:space="preserve">Diod 12.39 4-5 </w:t>
      </w:r>
      <w:r w:rsidR="00887C5D">
        <w:rPr>
          <w:i/>
        </w:rPr>
        <w:t>Library of History</w:t>
      </w:r>
    </w:p>
  </w:footnote>
  <w:footnote w:id="3">
    <w:p w:rsidR="00FB1695" w:rsidRDefault="00FB1695">
      <w:pPr>
        <w:pStyle w:val="FootnoteText"/>
      </w:pPr>
      <w:r>
        <w:rPr>
          <w:rStyle w:val="FootnoteReference"/>
        </w:rPr>
        <w:footnoteRef/>
      </w:r>
      <w:r>
        <w:t xml:space="preserve"> Brian R, 1983</w:t>
      </w:r>
      <w:r>
        <w:t xml:space="preserve">, </w:t>
      </w:r>
      <w:r>
        <w:t>pg 386</w:t>
      </w:r>
    </w:p>
  </w:footnote>
  <w:footnote w:id="4">
    <w:p w:rsidR="00912D0C" w:rsidRPr="00912D0C" w:rsidRDefault="00912D0C">
      <w:pPr>
        <w:pStyle w:val="FootnoteText"/>
        <w:rPr>
          <w:i/>
        </w:rPr>
      </w:pPr>
      <w:r>
        <w:rPr>
          <w:rStyle w:val="FootnoteReference"/>
        </w:rPr>
        <w:footnoteRef/>
      </w:r>
      <w:r>
        <w:t xml:space="preserve"> Diod 12.40 4-6 </w:t>
      </w:r>
      <w:r>
        <w:rPr>
          <w:i/>
        </w:rPr>
        <w:t>Library of History</w:t>
      </w:r>
    </w:p>
  </w:footnote>
  <w:footnote w:id="5">
    <w:p w:rsidR="00384871" w:rsidRPr="00384871" w:rsidRDefault="00384871">
      <w:pPr>
        <w:pStyle w:val="FootnoteText"/>
        <w:rPr>
          <w:i/>
        </w:rPr>
      </w:pPr>
      <w:r>
        <w:rPr>
          <w:rStyle w:val="FootnoteReference"/>
        </w:rPr>
        <w:footnoteRef/>
      </w:r>
      <w:r>
        <w:t xml:space="preserve"> Thuc. 1.86 </w:t>
      </w:r>
      <w:r>
        <w:rPr>
          <w:i/>
        </w:rPr>
        <w:t>History of the Peloponnesian war</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1CEE"/>
    <w:rsid w:val="00094BFD"/>
    <w:rsid w:val="00371587"/>
    <w:rsid w:val="00384871"/>
    <w:rsid w:val="00403AC2"/>
    <w:rsid w:val="005A764E"/>
    <w:rsid w:val="00731272"/>
    <w:rsid w:val="007F5B20"/>
    <w:rsid w:val="00817E6D"/>
    <w:rsid w:val="00887C5D"/>
    <w:rsid w:val="00912D0C"/>
    <w:rsid w:val="00B9284B"/>
    <w:rsid w:val="00CF150D"/>
    <w:rsid w:val="00D63E3A"/>
    <w:rsid w:val="00F11CEE"/>
    <w:rsid w:val="00F5766D"/>
    <w:rsid w:val="00FB1695"/>
    <w:rsid w:val="00FE42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5D3738B-29CF-4881-BD5B-9140531BBF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D63E3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63E3A"/>
    <w:rPr>
      <w:sz w:val="20"/>
      <w:szCs w:val="20"/>
    </w:rPr>
  </w:style>
  <w:style w:type="character" w:styleId="FootnoteReference">
    <w:name w:val="footnote reference"/>
    <w:basedOn w:val="DefaultParagraphFont"/>
    <w:uiPriority w:val="99"/>
    <w:semiHidden/>
    <w:unhideWhenUsed/>
    <w:rsid w:val="00D63E3A"/>
    <w:rPr>
      <w:vertAlign w:val="superscript"/>
    </w:rPr>
  </w:style>
  <w:style w:type="character" w:customStyle="1" w:styleId="bibliographicauthorname">
    <w:name w:val="bibliographicauthorname"/>
    <w:basedOn w:val="DefaultParagraphFont"/>
    <w:rsid w:val="00887C5D"/>
  </w:style>
  <w:style w:type="character" w:customStyle="1" w:styleId="translators">
    <w:name w:val="translators"/>
    <w:basedOn w:val="DefaultParagraphFont"/>
    <w:rsid w:val="00887C5D"/>
  </w:style>
  <w:style w:type="character" w:customStyle="1" w:styleId="contributorname">
    <w:name w:val="contributorname"/>
    <w:basedOn w:val="DefaultParagraphFont"/>
    <w:rsid w:val="00887C5D"/>
  </w:style>
  <w:style w:type="paragraph" w:styleId="EndnoteText">
    <w:name w:val="endnote text"/>
    <w:basedOn w:val="Normal"/>
    <w:link w:val="EndnoteTextChar"/>
    <w:uiPriority w:val="99"/>
    <w:semiHidden/>
    <w:unhideWhenUsed/>
    <w:rsid w:val="00FB1695"/>
    <w:pPr>
      <w:spacing w:after="0" w:line="240" w:lineRule="auto"/>
    </w:pPr>
    <w:rPr>
      <w:sz w:val="20"/>
      <w:szCs w:val="20"/>
    </w:rPr>
  </w:style>
  <w:style w:type="character" w:customStyle="1" w:styleId="EndnoteTextChar">
    <w:name w:val="Endnote Text Char"/>
    <w:basedOn w:val="DefaultParagraphFont"/>
    <w:link w:val="EndnoteText"/>
    <w:uiPriority w:val="99"/>
    <w:semiHidden/>
    <w:rsid w:val="00FB1695"/>
    <w:rPr>
      <w:sz w:val="20"/>
      <w:szCs w:val="20"/>
    </w:rPr>
  </w:style>
  <w:style w:type="character" w:styleId="EndnoteReference">
    <w:name w:val="endnote reference"/>
    <w:basedOn w:val="DefaultParagraphFont"/>
    <w:uiPriority w:val="99"/>
    <w:semiHidden/>
    <w:unhideWhenUsed/>
    <w:rsid w:val="00FB169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00CFCD-03DE-4EC7-B658-2C0AFE2FEF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3385</TotalTime>
  <Pages>1</Pages>
  <Words>440</Words>
  <Characters>2511</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Callum Fielding</dc:creator>
  <cp:keywords/>
  <dc:description/>
  <cp:lastModifiedBy>Callum Fielding</cp:lastModifiedBy>
  <cp:revision>4</cp:revision>
  <dcterms:created xsi:type="dcterms:W3CDTF">2020-01-16T02:02:00Z</dcterms:created>
  <dcterms:modified xsi:type="dcterms:W3CDTF">2020-01-19T03:41:00Z</dcterms:modified>
</cp:coreProperties>
</file>