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tbl>
      <w:tblPr>
        <w:tblStyle w:val="17"/>
        <w:tblpPr w:leftFromText="180" w:rightFromText="180" w:vertAnchor="page" w:horzAnchor="margin" w:tblpY="3817"/>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108" w:type="dxa"/>
          <w:bottom w:w="0" w:type="dxa"/>
          <w:right w:w="108" w:type="dxa"/>
        </w:tblCellMar>
      </w:tblPr>
      <w:tblGrid>
        <w:gridCol w:w="2910"/>
        <w:gridCol w:w="6450"/>
      </w:tblGrid>
      <w:tr w14:paraId="25941EE5">
        <w:tblPrEx>
          <w:tblLayout w:type="fixed"/>
        </w:tblPrEx>
        <w:tc>
          <w:tcPr>
            <w:tcW w:w="2910" w:type="dxa"/>
            <w:tcMar>
              <w:top w:w="100" w:type="dxa"/>
              <w:left w:w="100" w:type="dxa"/>
              <w:bottom w:w="100" w:type="dxa"/>
              <w:right w:w="100" w:type="dxa"/>
            </w:tcMar>
          </w:tcPr>
          <w:p w14:paraId="3AAA92AD">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b/>
                <w:bCs/>
              </w:rPr>
            </w:pPr>
            <w:r>
              <w:rPr>
                <w:b/>
                <w:bCs/>
              </w:rPr>
              <w:t>Programme</w:t>
            </w:r>
          </w:p>
        </w:tc>
        <w:tc>
          <w:tcPr>
            <w:tcW w:w="6450" w:type="dxa"/>
            <w:tcMar>
              <w:top w:w="100" w:type="dxa"/>
              <w:left w:w="100" w:type="dxa"/>
              <w:bottom w:w="100" w:type="dxa"/>
              <w:right w:w="100" w:type="dxa"/>
            </w:tcMar>
          </w:tcPr>
          <w:p w14:paraId="3CC9D243">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b/>
                <w:bCs/>
              </w:rPr>
            </w:pPr>
            <w:r>
              <w:rPr>
                <w:b/>
                <w:bCs/>
              </w:rPr>
              <w:t>MSc Public Health and Social Care in Practice</w:t>
            </w:r>
          </w:p>
        </w:tc>
      </w:tr>
      <w:tr w14:paraId="6D402922">
        <w:tblPrEx>
          <w:tblLayout w:type="fixed"/>
        </w:tblPrEx>
        <w:tc>
          <w:tcPr>
            <w:tcW w:w="2910" w:type="dxa"/>
            <w:tcMar>
              <w:top w:w="100" w:type="dxa"/>
              <w:left w:w="100" w:type="dxa"/>
              <w:bottom w:w="100" w:type="dxa"/>
              <w:right w:w="100" w:type="dxa"/>
            </w:tcMar>
          </w:tcPr>
          <w:p w14:paraId="3E7206C4">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b/>
                <w:bCs/>
              </w:rPr>
            </w:pPr>
            <w:r>
              <w:rPr>
                <w:b/>
                <w:bCs/>
              </w:rPr>
              <w:t>Module</w:t>
            </w:r>
          </w:p>
        </w:tc>
        <w:tc>
          <w:tcPr>
            <w:tcW w:w="6450" w:type="dxa"/>
            <w:tcMar>
              <w:top w:w="100" w:type="dxa"/>
              <w:left w:w="100" w:type="dxa"/>
              <w:bottom w:w="100" w:type="dxa"/>
              <w:right w:w="100" w:type="dxa"/>
            </w:tcMar>
          </w:tcPr>
          <w:p w14:paraId="377A634C">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b/>
                <w:bCs/>
              </w:rPr>
            </w:pPr>
            <w:r>
              <w:rPr>
                <w:b/>
                <w:bCs/>
              </w:rPr>
              <w:t>Practice-Based Research</w:t>
            </w:r>
          </w:p>
        </w:tc>
      </w:tr>
      <w:tr w14:paraId="4E30AB19">
        <w:tblPrEx>
          <w:tblLayout w:type="fixed"/>
        </w:tblPrEx>
        <w:tc>
          <w:tcPr>
            <w:tcW w:w="2910" w:type="dxa"/>
            <w:tcMar>
              <w:top w:w="100" w:type="dxa"/>
              <w:left w:w="100" w:type="dxa"/>
              <w:bottom w:w="100" w:type="dxa"/>
              <w:right w:w="100" w:type="dxa"/>
            </w:tcMar>
          </w:tcPr>
          <w:p w14:paraId="5176E4FA">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b/>
                <w:bCs/>
              </w:rPr>
            </w:pPr>
            <w:r>
              <w:rPr>
                <w:b/>
                <w:bCs/>
              </w:rPr>
              <w:t>Module code</w:t>
            </w:r>
          </w:p>
        </w:tc>
        <w:tc>
          <w:tcPr>
            <w:tcW w:w="6450" w:type="dxa"/>
            <w:tcMar>
              <w:top w:w="100" w:type="dxa"/>
              <w:left w:w="100" w:type="dxa"/>
              <w:bottom w:w="100" w:type="dxa"/>
              <w:right w:w="100" w:type="dxa"/>
            </w:tcMar>
          </w:tcPr>
          <w:p w14:paraId="593B2CC0">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b/>
                <w:bCs/>
              </w:rPr>
            </w:pPr>
            <w:r>
              <w:rPr>
                <w:b/>
                <w:bCs/>
              </w:rPr>
              <w:t>LCHS7008</w:t>
            </w:r>
          </w:p>
        </w:tc>
      </w:tr>
      <w:tr w14:paraId="52D81785">
        <w:tblPrEx>
          <w:tblLayout w:type="fixed"/>
        </w:tblPrEx>
        <w:tc>
          <w:tcPr>
            <w:tcW w:w="2910" w:type="dxa"/>
            <w:tcMar>
              <w:top w:w="100" w:type="dxa"/>
              <w:left w:w="100" w:type="dxa"/>
              <w:bottom w:w="100" w:type="dxa"/>
              <w:right w:w="100" w:type="dxa"/>
            </w:tcMar>
          </w:tcPr>
          <w:p w14:paraId="3C20C6C2">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b/>
                <w:bCs/>
              </w:rPr>
            </w:pPr>
            <w:r>
              <w:rPr>
                <w:b/>
                <w:bCs/>
              </w:rPr>
              <w:t>Lecturer</w:t>
            </w:r>
          </w:p>
        </w:tc>
        <w:tc>
          <w:tcPr>
            <w:tcW w:w="6450" w:type="dxa"/>
            <w:tcMar>
              <w:top w:w="100" w:type="dxa"/>
              <w:left w:w="100" w:type="dxa"/>
              <w:bottom w:w="100" w:type="dxa"/>
              <w:right w:w="100" w:type="dxa"/>
            </w:tcMar>
          </w:tcPr>
          <w:p w14:paraId="33945F61">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b/>
                <w:bCs/>
              </w:rPr>
            </w:pPr>
            <w:r>
              <w:rPr>
                <w:b/>
                <w:bCs/>
              </w:rPr>
              <w:t>Oluwadamilola Tayo</w:t>
            </w:r>
          </w:p>
          <w:p w14:paraId="5075D0CD">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b/>
                <w:bCs/>
              </w:rPr>
            </w:pPr>
            <w:r>
              <w:rPr>
                <w:b/>
                <w:bCs/>
              </w:rPr>
              <w:t>Diola Bijlhout</w:t>
            </w:r>
          </w:p>
        </w:tc>
      </w:tr>
      <w:tr w14:paraId="7C3749F6">
        <w:tblPrEx>
          <w:tblLayout w:type="fixed"/>
        </w:tblPrEx>
        <w:tc>
          <w:tcPr>
            <w:tcW w:w="2910" w:type="dxa"/>
            <w:tcMar>
              <w:top w:w="100" w:type="dxa"/>
              <w:left w:w="100" w:type="dxa"/>
              <w:bottom w:w="100" w:type="dxa"/>
              <w:right w:w="100" w:type="dxa"/>
            </w:tcMar>
          </w:tcPr>
          <w:p w14:paraId="470B3B5B">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b/>
                <w:bCs/>
              </w:rPr>
            </w:pPr>
            <w:r>
              <w:rPr>
                <w:b/>
                <w:bCs/>
              </w:rPr>
              <w:t>Assignment Title</w:t>
            </w:r>
          </w:p>
        </w:tc>
        <w:tc>
          <w:tcPr>
            <w:tcW w:w="6450" w:type="dxa"/>
            <w:tcMar>
              <w:top w:w="100" w:type="dxa"/>
              <w:left w:w="100" w:type="dxa"/>
              <w:bottom w:w="100" w:type="dxa"/>
              <w:right w:w="100" w:type="dxa"/>
            </w:tcMar>
          </w:tcPr>
          <w:p w14:paraId="14F0FD6F">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b/>
                <w:bCs/>
              </w:rPr>
            </w:pPr>
            <w:r>
              <w:rPr>
                <w:b/>
                <w:bCs/>
              </w:rPr>
              <w:t>Component 2 Written Research Proposal</w:t>
            </w:r>
          </w:p>
        </w:tc>
      </w:tr>
      <w:tr w14:paraId="36B62BC3">
        <w:tblPrEx>
          <w:tblLayout w:type="fixed"/>
        </w:tblPrEx>
        <w:tc>
          <w:tcPr>
            <w:tcW w:w="2910" w:type="dxa"/>
            <w:tcMar>
              <w:top w:w="100" w:type="dxa"/>
              <w:left w:w="100" w:type="dxa"/>
              <w:bottom w:w="100" w:type="dxa"/>
              <w:right w:w="100" w:type="dxa"/>
            </w:tcMar>
          </w:tcPr>
          <w:p w14:paraId="701D5CDF">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b/>
                <w:bCs/>
              </w:rPr>
            </w:pPr>
            <w:r>
              <w:rPr>
                <w:b/>
                <w:bCs/>
              </w:rPr>
              <w:t>Student Name</w:t>
            </w:r>
          </w:p>
        </w:tc>
        <w:tc>
          <w:tcPr>
            <w:tcW w:w="6450" w:type="dxa"/>
            <w:tcMar>
              <w:top w:w="100" w:type="dxa"/>
              <w:left w:w="100" w:type="dxa"/>
              <w:bottom w:w="100" w:type="dxa"/>
              <w:right w:w="100" w:type="dxa"/>
            </w:tcMar>
          </w:tcPr>
          <w:p w14:paraId="3180D69E">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b/>
                <w:bCs/>
              </w:rPr>
            </w:pPr>
            <w:r>
              <w:rPr>
                <w:b/>
                <w:bCs/>
              </w:rPr>
              <w:t>Joli Jayantilal parmar</w:t>
            </w:r>
          </w:p>
        </w:tc>
      </w:tr>
      <w:tr w14:paraId="59C0B8DA">
        <w:tblPrEx>
          <w:tblLayout w:type="fixed"/>
        </w:tblPrEx>
        <w:tc>
          <w:tcPr>
            <w:tcW w:w="2910" w:type="dxa"/>
            <w:tcMar>
              <w:top w:w="100" w:type="dxa"/>
              <w:left w:w="100" w:type="dxa"/>
              <w:bottom w:w="100" w:type="dxa"/>
              <w:right w:w="100" w:type="dxa"/>
            </w:tcMar>
          </w:tcPr>
          <w:p w14:paraId="05B9B2CF">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b/>
                <w:bCs/>
              </w:rPr>
            </w:pPr>
            <w:r>
              <w:rPr>
                <w:b/>
                <w:bCs/>
              </w:rPr>
              <w:t>Student ID</w:t>
            </w:r>
          </w:p>
        </w:tc>
        <w:tc>
          <w:tcPr>
            <w:tcW w:w="6450" w:type="dxa"/>
            <w:tcMar>
              <w:top w:w="100" w:type="dxa"/>
              <w:left w:w="100" w:type="dxa"/>
              <w:bottom w:w="100" w:type="dxa"/>
              <w:right w:w="100" w:type="dxa"/>
            </w:tcMar>
          </w:tcPr>
          <w:p w14:paraId="400D4FF1">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b/>
                <w:bCs/>
              </w:rPr>
            </w:pPr>
            <w:r>
              <w:rPr>
                <w:b/>
                <w:bCs/>
              </w:rPr>
              <w:t>2518476</w:t>
            </w:r>
            <w:bookmarkStart w:id="31" w:name="_GoBack"/>
            <w:bookmarkEnd w:id="31"/>
          </w:p>
        </w:tc>
      </w:tr>
    </w:tbl>
    <w:p w14:paraId="48F0048E">
      <w:pPr>
        <w:jc w:val="right"/>
        <w:rPr>
          <w:rFonts w:eastAsia="Times New Roman"/>
          <w:b/>
          <w:bCs/>
        </w:rPr>
      </w:pPr>
      <w:r>
        <w:rPr>
          <w:rFonts w:eastAsia="Times New Roman"/>
          <w:lang w:val="en-IN"/>
        </w:rPr>
        <w:drawing>
          <wp:inline distT="0" distB="0" distL="0" distR="0">
            <wp:extent cx="1524000" cy="609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4"/>
                    <a:stretch>
                      <a:fillRect/>
                    </a:stretch>
                  </pic:blipFill>
                  <pic:spPr>
                    <a:xfrm>
                      <a:off x="0" y="0"/>
                      <a:ext cx="1524213" cy="609685"/>
                    </a:xfrm>
                    <a:prstGeom prst="rect">
                      <a:avLst/>
                    </a:prstGeom>
                  </pic:spPr>
                </pic:pic>
              </a:graphicData>
            </a:graphic>
          </wp:inline>
        </w:drawing>
      </w:r>
      <w:r>
        <w:rPr>
          <w:rFonts w:eastAsia="Times New Roman"/>
          <w:b/>
          <w:bCs/>
        </w:rPr>
        <w:br w:type="page"/>
      </w:r>
    </w:p>
    <w:sdt>
      <w:sdtPr>
        <w:rPr>
          <w:rFonts w:ascii="Arial" w:hAnsi="Arial" w:eastAsia="Arial" w:cs="Arial"/>
          <w:color w:val="auto"/>
          <w:sz w:val="22"/>
          <w:szCs w:val="22"/>
          <w:lang w:val="en-GB" w:eastAsia="en-IN"/>
        </w:rPr>
        <w:id w:val="2035604051"/>
      </w:sdtPr>
      <w:sdtEndPr>
        <w:rPr>
          <w:rFonts w:ascii="Arial" w:hAnsi="Arial" w:eastAsia="Arial" w:cs="Arial"/>
          <w:b/>
          <w:bCs/>
          <w:color w:val="auto"/>
          <w:sz w:val="22"/>
          <w:szCs w:val="22"/>
          <w:lang w:val="en-GB" w:eastAsia="en-IN"/>
        </w:rPr>
      </w:sdtEndPr>
      <w:sdtContent>
        <w:p w14:paraId="3AEB9487">
          <w:pPr>
            <w:pStyle w:val="24"/>
            <w:spacing w:line="360" w:lineRule="auto"/>
            <w:jc w:val="center"/>
            <w:rPr>
              <w:rFonts w:ascii="Arial" w:hAnsi="Arial" w:cs="Arial"/>
              <w:b/>
              <w:color w:val="auto"/>
              <w:sz w:val="22"/>
              <w:szCs w:val="22"/>
            </w:rPr>
          </w:pPr>
          <w:r>
            <w:rPr>
              <w:rFonts w:ascii="Arial" w:hAnsi="Arial" w:cs="Arial"/>
              <w:b/>
              <w:color w:val="auto"/>
              <w:sz w:val="22"/>
              <w:szCs w:val="22"/>
            </w:rPr>
            <w:t>Table of Contents</w:t>
          </w:r>
        </w:p>
        <w:p w14:paraId="7AADC9D1">
          <w:pPr>
            <w:pStyle w:val="12"/>
            <w:tabs>
              <w:tab w:val="right" w:leader="dot" w:pos="9350"/>
            </w:tabs>
            <w:spacing w:line="360" w:lineRule="auto"/>
            <w:jc w:val="both"/>
          </w:pPr>
          <w:r>
            <w:fldChar w:fldCharType="begin"/>
          </w:r>
          <w:r>
            <w:instrText xml:space="preserve"> TOC \o "1-3" \h \z \u </w:instrText>
          </w:r>
          <w:r>
            <w:fldChar w:fldCharType="separate"/>
          </w:r>
          <w:r>
            <w:fldChar w:fldCharType="begin"/>
          </w:r>
          <w:r>
            <w:instrText xml:space="preserve"> HYPERLINK \l "_Toc237625154" </w:instrText>
          </w:r>
          <w:r>
            <w:fldChar w:fldCharType="separate"/>
          </w:r>
          <w:r>
            <w:rPr>
              <w:rStyle w:val="16"/>
            </w:rPr>
            <w:t>Introduction and background</w:t>
          </w:r>
          <w:r>
            <w:tab/>
          </w:r>
          <w:r>
            <w:fldChar w:fldCharType="begin"/>
          </w:r>
          <w:r>
            <w:instrText xml:space="preserve"> PAGEREF _Toc237625154 \h </w:instrText>
          </w:r>
          <w:r>
            <w:fldChar w:fldCharType="separate"/>
          </w:r>
          <w:r>
            <w:t>5</w:t>
          </w:r>
          <w:r>
            <w:fldChar w:fldCharType="end"/>
          </w:r>
          <w:r>
            <w:fldChar w:fldCharType="end"/>
          </w:r>
        </w:p>
        <w:p w14:paraId="782461C4">
          <w:pPr>
            <w:pStyle w:val="13"/>
            <w:tabs>
              <w:tab w:val="right" w:leader="dot" w:pos="9350"/>
            </w:tabs>
            <w:spacing w:line="360" w:lineRule="auto"/>
            <w:jc w:val="both"/>
          </w:pPr>
          <w:r>
            <w:fldChar w:fldCharType="begin"/>
          </w:r>
          <w:r>
            <w:instrText xml:space="preserve"> HYPERLINK \l "_Toc237625155" </w:instrText>
          </w:r>
          <w:r>
            <w:fldChar w:fldCharType="separate"/>
          </w:r>
          <w:r>
            <w:rPr>
              <w:rStyle w:val="16"/>
            </w:rPr>
            <w:t>The issue</w:t>
          </w:r>
          <w:r>
            <w:tab/>
          </w:r>
          <w:r>
            <w:fldChar w:fldCharType="begin"/>
          </w:r>
          <w:r>
            <w:instrText xml:space="preserve"> PAGEREF _Toc237625155 \h </w:instrText>
          </w:r>
          <w:r>
            <w:fldChar w:fldCharType="separate"/>
          </w:r>
          <w:r>
            <w:t>5</w:t>
          </w:r>
          <w:r>
            <w:fldChar w:fldCharType="end"/>
          </w:r>
          <w:r>
            <w:fldChar w:fldCharType="end"/>
          </w:r>
        </w:p>
        <w:p w14:paraId="26C78C5F">
          <w:pPr>
            <w:pStyle w:val="13"/>
            <w:tabs>
              <w:tab w:val="right" w:leader="dot" w:pos="9350"/>
            </w:tabs>
            <w:spacing w:line="360" w:lineRule="auto"/>
            <w:jc w:val="both"/>
          </w:pPr>
          <w:r>
            <w:fldChar w:fldCharType="begin"/>
          </w:r>
          <w:r>
            <w:instrText xml:space="preserve"> HYPERLINK \l "_Toc237625156" </w:instrText>
          </w:r>
          <w:r>
            <w:fldChar w:fldCharType="separate"/>
          </w:r>
          <w:r>
            <w:rPr>
              <w:rStyle w:val="16"/>
            </w:rPr>
            <w:t>Explaining the scale</w:t>
          </w:r>
          <w:r>
            <w:tab/>
          </w:r>
          <w:r>
            <w:fldChar w:fldCharType="begin"/>
          </w:r>
          <w:r>
            <w:instrText xml:space="preserve"> PAGEREF _Toc237625156 \h </w:instrText>
          </w:r>
          <w:r>
            <w:fldChar w:fldCharType="separate"/>
          </w:r>
          <w:r>
            <w:t>5</w:t>
          </w:r>
          <w:r>
            <w:fldChar w:fldCharType="end"/>
          </w:r>
          <w:r>
            <w:fldChar w:fldCharType="end"/>
          </w:r>
        </w:p>
        <w:p w14:paraId="5060EF34">
          <w:pPr>
            <w:pStyle w:val="13"/>
            <w:tabs>
              <w:tab w:val="right" w:leader="dot" w:pos="9350"/>
            </w:tabs>
            <w:spacing w:line="360" w:lineRule="auto"/>
            <w:jc w:val="both"/>
          </w:pPr>
          <w:r>
            <w:fldChar w:fldCharType="begin"/>
          </w:r>
          <w:r>
            <w:instrText xml:space="preserve"> HYPERLINK \l "_Toc237625157" </w:instrText>
          </w:r>
          <w:r>
            <w:fldChar w:fldCharType="separate"/>
          </w:r>
          <w:r>
            <w:rPr>
              <w:rStyle w:val="16"/>
            </w:rPr>
            <w:t>Explaining the consequences</w:t>
          </w:r>
          <w:r>
            <w:tab/>
          </w:r>
          <w:r>
            <w:fldChar w:fldCharType="begin"/>
          </w:r>
          <w:r>
            <w:instrText xml:space="preserve"> PAGEREF _Toc237625157 \h </w:instrText>
          </w:r>
          <w:r>
            <w:fldChar w:fldCharType="separate"/>
          </w:r>
          <w:r>
            <w:t>6</w:t>
          </w:r>
          <w:r>
            <w:fldChar w:fldCharType="end"/>
          </w:r>
          <w:r>
            <w:fldChar w:fldCharType="end"/>
          </w:r>
        </w:p>
        <w:p w14:paraId="31C57DCD">
          <w:pPr>
            <w:pStyle w:val="13"/>
            <w:tabs>
              <w:tab w:val="right" w:leader="dot" w:pos="9350"/>
            </w:tabs>
            <w:spacing w:line="360" w:lineRule="auto"/>
            <w:jc w:val="both"/>
          </w:pPr>
          <w:r>
            <w:fldChar w:fldCharType="begin"/>
          </w:r>
          <w:r>
            <w:instrText xml:space="preserve"> HYPERLINK \l "_Toc237625158" </w:instrText>
          </w:r>
          <w:r>
            <w:fldChar w:fldCharType="separate"/>
          </w:r>
          <w:r>
            <w:rPr>
              <w:rStyle w:val="16"/>
            </w:rPr>
            <w:t>Narrowing the focus</w:t>
          </w:r>
          <w:r>
            <w:tab/>
          </w:r>
          <w:r>
            <w:fldChar w:fldCharType="begin"/>
          </w:r>
          <w:r>
            <w:instrText xml:space="preserve"> PAGEREF _Toc237625158 \h </w:instrText>
          </w:r>
          <w:r>
            <w:fldChar w:fldCharType="separate"/>
          </w:r>
          <w:r>
            <w:t>7</w:t>
          </w:r>
          <w:r>
            <w:fldChar w:fldCharType="end"/>
          </w:r>
          <w:r>
            <w:fldChar w:fldCharType="end"/>
          </w:r>
        </w:p>
        <w:p w14:paraId="0077E822">
          <w:pPr>
            <w:pStyle w:val="12"/>
            <w:tabs>
              <w:tab w:val="right" w:leader="dot" w:pos="9350"/>
            </w:tabs>
            <w:spacing w:line="360" w:lineRule="auto"/>
            <w:jc w:val="both"/>
          </w:pPr>
          <w:r>
            <w:fldChar w:fldCharType="begin"/>
          </w:r>
          <w:r>
            <w:instrText xml:space="preserve"> HYPERLINK \l "_Toc237625159" </w:instrText>
          </w:r>
          <w:r>
            <w:fldChar w:fldCharType="separate"/>
          </w:r>
          <w:r>
            <w:rPr>
              <w:rStyle w:val="16"/>
            </w:rPr>
            <w:t>Research problem, rational and evidence gap</w:t>
          </w:r>
          <w:r>
            <w:tab/>
          </w:r>
          <w:r>
            <w:fldChar w:fldCharType="begin"/>
          </w:r>
          <w:r>
            <w:instrText xml:space="preserve"> PAGEREF _Toc237625159 \h </w:instrText>
          </w:r>
          <w:r>
            <w:fldChar w:fldCharType="separate"/>
          </w:r>
          <w:r>
            <w:t>7</w:t>
          </w:r>
          <w:r>
            <w:fldChar w:fldCharType="end"/>
          </w:r>
          <w:r>
            <w:fldChar w:fldCharType="end"/>
          </w:r>
        </w:p>
        <w:p w14:paraId="13111ED8">
          <w:pPr>
            <w:pStyle w:val="13"/>
            <w:tabs>
              <w:tab w:val="right" w:leader="dot" w:pos="9350"/>
            </w:tabs>
            <w:spacing w:line="360" w:lineRule="auto"/>
            <w:jc w:val="both"/>
          </w:pPr>
          <w:r>
            <w:fldChar w:fldCharType="begin"/>
          </w:r>
          <w:r>
            <w:instrText xml:space="preserve"> HYPERLINK \l "_Toc237625160" </w:instrText>
          </w:r>
          <w:r>
            <w:fldChar w:fldCharType="separate"/>
          </w:r>
          <w:r>
            <w:rPr>
              <w:rStyle w:val="16"/>
            </w:rPr>
            <w:t>Research Problem</w:t>
          </w:r>
          <w:r>
            <w:tab/>
          </w:r>
          <w:r>
            <w:fldChar w:fldCharType="begin"/>
          </w:r>
          <w:r>
            <w:instrText xml:space="preserve"> PAGEREF _Toc237625160 \h </w:instrText>
          </w:r>
          <w:r>
            <w:fldChar w:fldCharType="separate"/>
          </w:r>
          <w:r>
            <w:t>7</w:t>
          </w:r>
          <w:r>
            <w:fldChar w:fldCharType="end"/>
          </w:r>
          <w:r>
            <w:fldChar w:fldCharType="end"/>
          </w:r>
        </w:p>
        <w:p w14:paraId="12D90AAE">
          <w:pPr>
            <w:pStyle w:val="13"/>
            <w:tabs>
              <w:tab w:val="right" w:leader="dot" w:pos="9350"/>
            </w:tabs>
            <w:spacing w:line="360" w:lineRule="auto"/>
            <w:jc w:val="both"/>
          </w:pPr>
          <w:r>
            <w:fldChar w:fldCharType="begin"/>
          </w:r>
          <w:r>
            <w:instrText xml:space="preserve"> HYPERLINK \l "_Toc237625161" </w:instrText>
          </w:r>
          <w:r>
            <w:fldChar w:fldCharType="separate"/>
          </w:r>
          <w:r>
            <w:rPr>
              <w:rStyle w:val="16"/>
            </w:rPr>
            <w:t>Research Rationale</w:t>
          </w:r>
          <w:r>
            <w:tab/>
          </w:r>
          <w:r>
            <w:fldChar w:fldCharType="begin"/>
          </w:r>
          <w:r>
            <w:instrText xml:space="preserve"> PAGEREF _Toc237625161 \h </w:instrText>
          </w:r>
          <w:r>
            <w:fldChar w:fldCharType="separate"/>
          </w:r>
          <w:r>
            <w:t>8</w:t>
          </w:r>
          <w:r>
            <w:fldChar w:fldCharType="end"/>
          </w:r>
          <w:r>
            <w:fldChar w:fldCharType="end"/>
          </w:r>
        </w:p>
        <w:p w14:paraId="2B7B7BC2">
          <w:pPr>
            <w:pStyle w:val="13"/>
            <w:tabs>
              <w:tab w:val="right" w:leader="dot" w:pos="9350"/>
            </w:tabs>
            <w:spacing w:line="360" w:lineRule="auto"/>
            <w:jc w:val="both"/>
          </w:pPr>
          <w:r>
            <w:fldChar w:fldCharType="begin"/>
          </w:r>
          <w:r>
            <w:instrText xml:space="preserve"> HYPERLINK \l "_Toc237625162" </w:instrText>
          </w:r>
          <w:r>
            <w:fldChar w:fldCharType="separate"/>
          </w:r>
          <w:r>
            <w:rPr>
              <w:rStyle w:val="16"/>
            </w:rPr>
            <w:t>Evidence Gap</w:t>
          </w:r>
          <w:r>
            <w:tab/>
          </w:r>
          <w:r>
            <w:fldChar w:fldCharType="begin"/>
          </w:r>
          <w:r>
            <w:instrText xml:space="preserve"> PAGEREF _Toc237625162 \h </w:instrText>
          </w:r>
          <w:r>
            <w:fldChar w:fldCharType="separate"/>
          </w:r>
          <w:r>
            <w:t>8</w:t>
          </w:r>
          <w:r>
            <w:fldChar w:fldCharType="end"/>
          </w:r>
          <w:r>
            <w:fldChar w:fldCharType="end"/>
          </w:r>
        </w:p>
        <w:p w14:paraId="3B4788B2">
          <w:pPr>
            <w:pStyle w:val="12"/>
            <w:tabs>
              <w:tab w:val="right" w:leader="dot" w:pos="9350"/>
            </w:tabs>
            <w:spacing w:line="360" w:lineRule="auto"/>
            <w:jc w:val="both"/>
          </w:pPr>
          <w:r>
            <w:fldChar w:fldCharType="begin"/>
          </w:r>
          <w:r>
            <w:instrText xml:space="preserve"> HYPERLINK \l "_Toc237625163" </w:instrText>
          </w:r>
          <w:r>
            <w:fldChar w:fldCharType="separate"/>
          </w:r>
          <w:r>
            <w:rPr>
              <w:rStyle w:val="16"/>
            </w:rPr>
            <w:t>Literature Review</w:t>
          </w:r>
          <w:r>
            <w:tab/>
          </w:r>
          <w:r>
            <w:fldChar w:fldCharType="begin"/>
          </w:r>
          <w:r>
            <w:instrText xml:space="preserve"> PAGEREF _Toc237625163 \h </w:instrText>
          </w:r>
          <w:r>
            <w:fldChar w:fldCharType="separate"/>
          </w:r>
          <w:r>
            <w:t>8</w:t>
          </w:r>
          <w:r>
            <w:fldChar w:fldCharType="end"/>
          </w:r>
          <w:r>
            <w:fldChar w:fldCharType="end"/>
          </w:r>
        </w:p>
        <w:p w14:paraId="4253F43C">
          <w:pPr>
            <w:pStyle w:val="13"/>
            <w:tabs>
              <w:tab w:val="right" w:leader="dot" w:pos="9350"/>
            </w:tabs>
            <w:spacing w:line="360" w:lineRule="auto"/>
            <w:jc w:val="both"/>
          </w:pPr>
          <w:r>
            <w:fldChar w:fldCharType="begin"/>
          </w:r>
          <w:r>
            <w:instrText xml:space="preserve"> HYPERLINK \l "_Toc237625164" </w:instrText>
          </w:r>
          <w:r>
            <w:fldChar w:fldCharType="separate"/>
          </w:r>
          <w:r>
            <w:rPr>
              <w:rStyle w:val="16"/>
            </w:rPr>
            <w:t>Psychological and individual level barriers in accessing mental health services</w:t>
          </w:r>
          <w:r>
            <w:tab/>
          </w:r>
          <w:r>
            <w:fldChar w:fldCharType="begin"/>
          </w:r>
          <w:r>
            <w:instrText xml:space="preserve"> PAGEREF _Toc237625164 \h </w:instrText>
          </w:r>
          <w:r>
            <w:fldChar w:fldCharType="separate"/>
          </w:r>
          <w:r>
            <w:t>8</w:t>
          </w:r>
          <w:r>
            <w:fldChar w:fldCharType="end"/>
          </w:r>
          <w:r>
            <w:fldChar w:fldCharType="end"/>
          </w:r>
        </w:p>
        <w:p w14:paraId="29CD829B">
          <w:pPr>
            <w:pStyle w:val="13"/>
            <w:tabs>
              <w:tab w:val="right" w:leader="dot" w:pos="9350"/>
            </w:tabs>
            <w:spacing w:line="360" w:lineRule="auto"/>
            <w:jc w:val="both"/>
          </w:pPr>
          <w:r>
            <w:fldChar w:fldCharType="begin"/>
          </w:r>
          <w:r>
            <w:instrText xml:space="preserve"> HYPERLINK \l "_Toc237625165" </w:instrText>
          </w:r>
          <w:r>
            <w:fldChar w:fldCharType="separate"/>
          </w:r>
          <w:r>
            <w:rPr>
              <w:rStyle w:val="16"/>
            </w:rPr>
            <w:t>Systematic and structural barriers to access metal health services</w:t>
          </w:r>
          <w:r>
            <w:tab/>
          </w:r>
          <w:r>
            <w:fldChar w:fldCharType="begin"/>
          </w:r>
          <w:r>
            <w:instrText xml:space="preserve"> PAGEREF _Toc237625165 \h </w:instrText>
          </w:r>
          <w:r>
            <w:fldChar w:fldCharType="separate"/>
          </w:r>
          <w:r>
            <w:t>9</w:t>
          </w:r>
          <w:r>
            <w:fldChar w:fldCharType="end"/>
          </w:r>
          <w:r>
            <w:fldChar w:fldCharType="end"/>
          </w:r>
        </w:p>
        <w:p w14:paraId="4C1841DC">
          <w:pPr>
            <w:pStyle w:val="13"/>
            <w:tabs>
              <w:tab w:val="right" w:leader="dot" w:pos="9350"/>
            </w:tabs>
            <w:spacing w:line="360" w:lineRule="auto"/>
            <w:jc w:val="both"/>
          </w:pPr>
          <w:r>
            <w:fldChar w:fldCharType="begin"/>
          </w:r>
          <w:r>
            <w:instrText xml:space="preserve"> HYPERLINK \l "_Toc237625166" </w:instrText>
          </w:r>
          <w:r>
            <w:fldChar w:fldCharType="separate"/>
          </w:r>
          <w:r>
            <w:rPr>
              <w:rStyle w:val="16"/>
            </w:rPr>
            <w:t>Literature Gap</w:t>
          </w:r>
          <w:r>
            <w:tab/>
          </w:r>
          <w:r>
            <w:fldChar w:fldCharType="begin"/>
          </w:r>
          <w:r>
            <w:instrText xml:space="preserve"> PAGEREF _Toc237625166 \h </w:instrText>
          </w:r>
          <w:r>
            <w:fldChar w:fldCharType="separate"/>
          </w:r>
          <w:r>
            <w:t>9</w:t>
          </w:r>
          <w:r>
            <w:fldChar w:fldCharType="end"/>
          </w:r>
          <w:r>
            <w:fldChar w:fldCharType="end"/>
          </w:r>
        </w:p>
        <w:p w14:paraId="59A36EAF">
          <w:pPr>
            <w:pStyle w:val="12"/>
            <w:tabs>
              <w:tab w:val="right" w:leader="dot" w:pos="9350"/>
            </w:tabs>
            <w:spacing w:line="360" w:lineRule="auto"/>
            <w:jc w:val="both"/>
          </w:pPr>
          <w:r>
            <w:fldChar w:fldCharType="begin"/>
          </w:r>
          <w:r>
            <w:instrText xml:space="preserve"> HYPERLINK \l "_Toc237625167" </w:instrText>
          </w:r>
          <w:r>
            <w:fldChar w:fldCharType="separate"/>
          </w:r>
          <w:r>
            <w:rPr>
              <w:rStyle w:val="16"/>
            </w:rPr>
            <w:t>Research Aim, objectives and question</w:t>
          </w:r>
          <w:r>
            <w:tab/>
          </w:r>
          <w:r>
            <w:fldChar w:fldCharType="begin"/>
          </w:r>
          <w:r>
            <w:instrText xml:space="preserve"> PAGEREF _Toc237625167 \h </w:instrText>
          </w:r>
          <w:r>
            <w:fldChar w:fldCharType="separate"/>
          </w:r>
          <w:r>
            <w:t>10</w:t>
          </w:r>
          <w:r>
            <w:fldChar w:fldCharType="end"/>
          </w:r>
          <w:r>
            <w:fldChar w:fldCharType="end"/>
          </w:r>
        </w:p>
        <w:p w14:paraId="6DDA20A3">
          <w:pPr>
            <w:pStyle w:val="13"/>
            <w:tabs>
              <w:tab w:val="right" w:leader="dot" w:pos="9350"/>
            </w:tabs>
            <w:spacing w:line="360" w:lineRule="auto"/>
            <w:jc w:val="both"/>
          </w:pPr>
          <w:r>
            <w:fldChar w:fldCharType="begin"/>
          </w:r>
          <w:r>
            <w:instrText xml:space="preserve"> HYPERLINK \l "_Toc237625168" </w:instrText>
          </w:r>
          <w:r>
            <w:fldChar w:fldCharType="separate"/>
          </w:r>
          <w:r>
            <w:rPr>
              <w:rStyle w:val="16"/>
            </w:rPr>
            <w:t>Research Question:</w:t>
          </w:r>
          <w:r>
            <w:tab/>
          </w:r>
          <w:r>
            <w:fldChar w:fldCharType="begin"/>
          </w:r>
          <w:r>
            <w:instrText xml:space="preserve"> PAGEREF _Toc237625168 \h </w:instrText>
          </w:r>
          <w:r>
            <w:fldChar w:fldCharType="separate"/>
          </w:r>
          <w:r>
            <w:t>10</w:t>
          </w:r>
          <w:r>
            <w:fldChar w:fldCharType="end"/>
          </w:r>
          <w:r>
            <w:fldChar w:fldCharType="end"/>
          </w:r>
        </w:p>
        <w:p w14:paraId="64231116">
          <w:pPr>
            <w:pStyle w:val="13"/>
            <w:tabs>
              <w:tab w:val="right" w:leader="dot" w:pos="9350"/>
            </w:tabs>
            <w:spacing w:line="360" w:lineRule="auto"/>
            <w:jc w:val="both"/>
          </w:pPr>
          <w:r>
            <w:fldChar w:fldCharType="begin"/>
          </w:r>
          <w:r>
            <w:instrText xml:space="preserve"> HYPERLINK \l "_Toc237625169" </w:instrText>
          </w:r>
          <w:r>
            <w:fldChar w:fldCharType="separate"/>
          </w:r>
          <w:r>
            <w:rPr>
              <w:rStyle w:val="16"/>
            </w:rPr>
            <w:t>Aim:</w:t>
          </w:r>
          <w:r>
            <w:tab/>
          </w:r>
          <w:r>
            <w:fldChar w:fldCharType="begin"/>
          </w:r>
          <w:r>
            <w:instrText xml:space="preserve"> PAGEREF _Toc237625169 \h </w:instrText>
          </w:r>
          <w:r>
            <w:fldChar w:fldCharType="separate"/>
          </w:r>
          <w:r>
            <w:t>10</w:t>
          </w:r>
          <w:r>
            <w:fldChar w:fldCharType="end"/>
          </w:r>
          <w:r>
            <w:fldChar w:fldCharType="end"/>
          </w:r>
        </w:p>
        <w:p w14:paraId="30536D35">
          <w:pPr>
            <w:pStyle w:val="13"/>
            <w:tabs>
              <w:tab w:val="right" w:leader="dot" w:pos="9350"/>
            </w:tabs>
            <w:spacing w:line="360" w:lineRule="auto"/>
            <w:jc w:val="both"/>
          </w:pPr>
          <w:r>
            <w:fldChar w:fldCharType="begin"/>
          </w:r>
          <w:r>
            <w:instrText xml:space="preserve"> HYPERLINK \l "_Toc237625170" </w:instrText>
          </w:r>
          <w:r>
            <w:fldChar w:fldCharType="separate"/>
          </w:r>
          <w:r>
            <w:rPr>
              <w:rStyle w:val="16"/>
            </w:rPr>
            <w:t>Objectives:</w:t>
          </w:r>
          <w:r>
            <w:tab/>
          </w:r>
          <w:r>
            <w:fldChar w:fldCharType="begin"/>
          </w:r>
          <w:r>
            <w:instrText xml:space="preserve"> PAGEREF _Toc237625170 \h </w:instrText>
          </w:r>
          <w:r>
            <w:fldChar w:fldCharType="separate"/>
          </w:r>
          <w:r>
            <w:t>10</w:t>
          </w:r>
          <w:r>
            <w:fldChar w:fldCharType="end"/>
          </w:r>
          <w:r>
            <w:fldChar w:fldCharType="end"/>
          </w:r>
        </w:p>
        <w:p w14:paraId="0B915988">
          <w:pPr>
            <w:pStyle w:val="12"/>
            <w:tabs>
              <w:tab w:val="right" w:leader="dot" w:pos="9350"/>
            </w:tabs>
            <w:spacing w:line="360" w:lineRule="auto"/>
            <w:jc w:val="both"/>
          </w:pPr>
          <w:r>
            <w:fldChar w:fldCharType="begin"/>
          </w:r>
          <w:r>
            <w:instrText xml:space="preserve"> HYPERLINK \l "_Toc237625171" </w:instrText>
          </w:r>
          <w:r>
            <w:fldChar w:fldCharType="separate"/>
          </w:r>
          <w:r>
            <w:rPr>
              <w:rStyle w:val="16"/>
            </w:rPr>
            <w:t>Methodology</w:t>
          </w:r>
          <w:r>
            <w:tab/>
          </w:r>
          <w:r>
            <w:fldChar w:fldCharType="begin"/>
          </w:r>
          <w:r>
            <w:instrText xml:space="preserve"> PAGEREF _Toc237625171 \h </w:instrText>
          </w:r>
          <w:r>
            <w:fldChar w:fldCharType="separate"/>
          </w:r>
          <w:r>
            <w:t>10</w:t>
          </w:r>
          <w:r>
            <w:fldChar w:fldCharType="end"/>
          </w:r>
          <w:r>
            <w:fldChar w:fldCharType="end"/>
          </w:r>
        </w:p>
        <w:p w14:paraId="622470A0">
          <w:pPr>
            <w:pStyle w:val="13"/>
            <w:tabs>
              <w:tab w:val="right" w:leader="dot" w:pos="9350"/>
            </w:tabs>
            <w:spacing w:line="360" w:lineRule="auto"/>
            <w:jc w:val="both"/>
          </w:pPr>
          <w:r>
            <w:fldChar w:fldCharType="begin"/>
          </w:r>
          <w:r>
            <w:instrText xml:space="preserve"> HYPERLINK \l "_Toc237625172" </w:instrText>
          </w:r>
          <w:r>
            <w:fldChar w:fldCharType="separate"/>
          </w:r>
          <w:r>
            <w:rPr>
              <w:rStyle w:val="16"/>
            </w:rPr>
            <w:t>Research Design</w:t>
          </w:r>
          <w:r>
            <w:tab/>
          </w:r>
          <w:r>
            <w:fldChar w:fldCharType="begin"/>
          </w:r>
          <w:r>
            <w:instrText xml:space="preserve"> PAGEREF _Toc237625172 \h </w:instrText>
          </w:r>
          <w:r>
            <w:fldChar w:fldCharType="separate"/>
          </w:r>
          <w:r>
            <w:t>10</w:t>
          </w:r>
          <w:r>
            <w:fldChar w:fldCharType="end"/>
          </w:r>
          <w:r>
            <w:fldChar w:fldCharType="end"/>
          </w:r>
        </w:p>
        <w:p w14:paraId="2B018923">
          <w:pPr>
            <w:pStyle w:val="13"/>
            <w:tabs>
              <w:tab w:val="right" w:leader="dot" w:pos="9350"/>
            </w:tabs>
            <w:spacing w:line="360" w:lineRule="auto"/>
            <w:jc w:val="both"/>
          </w:pPr>
          <w:r>
            <w:fldChar w:fldCharType="begin"/>
          </w:r>
          <w:r>
            <w:instrText xml:space="preserve"> HYPERLINK \l "_Toc237625173" </w:instrText>
          </w:r>
          <w:r>
            <w:fldChar w:fldCharType="separate"/>
          </w:r>
          <w:r>
            <w:rPr>
              <w:rStyle w:val="16"/>
            </w:rPr>
            <w:t>Question Framework</w:t>
          </w:r>
          <w:r>
            <w:tab/>
          </w:r>
          <w:r>
            <w:fldChar w:fldCharType="begin"/>
          </w:r>
          <w:r>
            <w:instrText xml:space="preserve"> PAGEREF _Toc237625173 \h </w:instrText>
          </w:r>
          <w:r>
            <w:fldChar w:fldCharType="separate"/>
          </w:r>
          <w:r>
            <w:t>11</w:t>
          </w:r>
          <w:r>
            <w:fldChar w:fldCharType="end"/>
          </w:r>
          <w:r>
            <w:fldChar w:fldCharType="end"/>
          </w:r>
        </w:p>
        <w:p w14:paraId="74F6C37A">
          <w:pPr>
            <w:pStyle w:val="13"/>
            <w:tabs>
              <w:tab w:val="right" w:leader="dot" w:pos="9350"/>
            </w:tabs>
            <w:spacing w:line="360" w:lineRule="auto"/>
            <w:jc w:val="both"/>
          </w:pPr>
          <w:r>
            <w:fldChar w:fldCharType="begin"/>
          </w:r>
          <w:r>
            <w:instrText xml:space="preserve"> HYPERLINK \l "_Toc237625174" </w:instrText>
          </w:r>
          <w:r>
            <w:fldChar w:fldCharType="separate"/>
          </w:r>
          <w:r>
            <w:rPr>
              <w:rStyle w:val="16"/>
            </w:rPr>
            <w:t>Information sources and databases searching:</w:t>
          </w:r>
          <w:r>
            <w:tab/>
          </w:r>
          <w:r>
            <w:fldChar w:fldCharType="begin"/>
          </w:r>
          <w:r>
            <w:instrText xml:space="preserve"> PAGEREF _Toc237625174 \h </w:instrText>
          </w:r>
          <w:r>
            <w:fldChar w:fldCharType="separate"/>
          </w:r>
          <w:r>
            <w:t>11</w:t>
          </w:r>
          <w:r>
            <w:fldChar w:fldCharType="end"/>
          </w:r>
          <w:r>
            <w:fldChar w:fldCharType="end"/>
          </w:r>
        </w:p>
        <w:p w14:paraId="39B60F44">
          <w:pPr>
            <w:pStyle w:val="13"/>
            <w:tabs>
              <w:tab w:val="right" w:leader="dot" w:pos="9350"/>
            </w:tabs>
            <w:spacing w:line="360" w:lineRule="auto"/>
            <w:jc w:val="both"/>
          </w:pPr>
          <w:r>
            <w:fldChar w:fldCharType="begin"/>
          </w:r>
          <w:r>
            <w:instrText xml:space="preserve"> HYPERLINK \l "_Toc237625175" </w:instrText>
          </w:r>
          <w:r>
            <w:fldChar w:fldCharType="separate"/>
          </w:r>
          <w:r>
            <w:rPr>
              <w:rStyle w:val="16"/>
            </w:rPr>
            <w:t>Search Strategy</w:t>
          </w:r>
          <w:r>
            <w:tab/>
          </w:r>
          <w:r>
            <w:fldChar w:fldCharType="begin"/>
          </w:r>
          <w:r>
            <w:instrText xml:space="preserve"> PAGEREF _Toc237625175 \h </w:instrText>
          </w:r>
          <w:r>
            <w:fldChar w:fldCharType="separate"/>
          </w:r>
          <w:r>
            <w:t>11</w:t>
          </w:r>
          <w:r>
            <w:fldChar w:fldCharType="end"/>
          </w:r>
          <w:r>
            <w:fldChar w:fldCharType="end"/>
          </w:r>
        </w:p>
        <w:p w14:paraId="18746591">
          <w:pPr>
            <w:pStyle w:val="13"/>
            <w:tabs>
              <w:tab w:val="right" w:leader="dot" w:pos="9350"/>
            </w:tabs>
            <w:spacing w:line="360" w:lineRule="auto"/>
            <w:jc w:val="both"/>
          </w:pPr>
          <w:r>
            <w:fldChar w:fldCharType="begin"/>
          </w:r>
          <w:r>
            <w:instrText xml:space="preserve"> HYPERLINK \l "_Toc237625176" </w:instrText>
          </w:r>
          <w:r>
            <w:fldChar w:fldCharType="separate"/>
          </w:r>
          <w:r>
            <w:rPr>
              <w:rStyle w:val="16"/>
            </w:rPr>
            <w:t>Inclusion and exclusion criteria:</w:t>
          </w:r>
          <w:r>
            <w:tab/>
          </w:r>
          <w:r>
            <w:fldChar w:fldCharType="begin"/>
          </w:r>
          <w:r>
            <w:instrText xml:space="preserve"> PAGEREF _Toc237625176 \h </w:instrText>
          </w:r>
          <w:r>
            <w:fldChar w:fldCharType="separate"/>
          </w:r>
          <w:r>
            <w:t>12</w:t>
          </w:r>
          <w:r>
            <w:fldChar w:fldCharType="end"/>
          </w:r>
          <w:r>
            <w:fldChar w:fldCharType="end"/>
          </w:r>
        </w:p>
        <w:p w14:paraId="4469388D">
          <w:pPr>
            <w:pStyle w:val="13"/>
            <w:tabs>
              <w:tab w:val="right" w:leader="dot" w:pos="9350"/>
            </w:tabs>
            <w:spacing w:line="360" w:lineRule="auto"/>
            <w:jc w:val="both"/>
          </w:pPr>
          <w:r>
            <w:fldChar w:fldCharType="begin"/>
          </w:r>
          <w:r>
            <w:instrText xml:space="preserve"> HYPERLINK \l "_Toc237625177" </w:instrText>
          </w:r>
          <w:r>
            <w:fldChar w:fldCharType="separate"/>
          </w:r>
          <w:r>
            <w:rPr>
              <w:rStyle w:val="16"/>
            </w:rPr>
            <w:t>Study screening and selection:</w:t>
          </w:r>
          <w:r>
            <w:tab/>
          </w:r>
          <w:r>
            <w:fldChar w:fldCharType="begin"/>
          </w:r>
          <w:r>
            <w:instrText xml:space="preserve"> PAGEREF _Toc237625177 \h </w:instrText>
          </w:r>
          <w:r>
            <w:fldChar w:fldCharType="separate"/>
          </w:r>
          <w:r>
            <w:t>13</w:t>
          </w:r>
          <w:r>
            <w:fldChar w:fldCharType="end"/>
          </w:r>
          <w:r>
            <w:fldChar w:fldCharType="end"/>
          </w:r>
        </w:p>
        <w:p w14:paraId="13AB6100">
          <w:pPr>
            <w:pStyle w:val="13"/>
            <w:tabs>
              <w:tab w:val="right" w:leader="dot" w:pos="9350"/>
            </w:tabs>
            <w:spacing w:line="360" w:lineRule="auto"/>
            <w:jc w:val="both"/>
          </w:pPr>
          <w:r>
            <w:fldChar w:fldCharType="begin"/>
          </w:r>
          <w:r>
            <w:instrText xml:space="preserve"> HYPERLINK \l "_Toc237625178" </w:instrText>
          </w:r>
          <w:r>
            <w:fldChar w:fldCharType="separate"/>
          </w:r>
          <w:r>
            <w:rPr>
              <w:rStyle w:val="16"/>
            </w:rPr>
            <w:t>Quality appraisal and risk of bias:</w:t>
          </w:r>
          <w:r>
            <w:tab/>
          </w:r>
          <w:r>
            <w:fldChar w:fldCharType="begin"/>
          </w:r>
          <w:r>
            <w:instrText xml:space="preserve"> PAGEREF _Toc237625178 \h </w:instrText>
          </w:r>
          <w:r>
            <w:fldChar w:fldCharType="separate"/>
          </w:r>
          <w:r>
            <w:t>13</w:t>
          </w:r>
          <w:r>
            <w:fldChar w:fldCharType="end"/>
          </w:r>
          <w:r>
            <w:fldChar w:fldCharType="end"/>
          </w:r>
        </w:p>
        <w:p w14:paraId="30B5066E">
          <w:pPr>
            <w:pStyle w:val="13"/>
            <w:tabs>
              <w:tab w:val="right" w:leader="dot" w:pos="9350"/>
            </w:tabs>
            <w:spacing w:line="360" w:lineRule="auto"/>
            <w:jc w:val="both"/>
          </w:pPr>
          <w:r>
            <w:fldChar w:fldCharType="begin"/>
          </w:r>
          <w:r>
            <w:instrText xml:space="preserve"> HYPERLINK \l "_Toc237625179" </w:instrText>
          </w:r>
          <w:r>
            <w:fldChar w:fldCharType="separate"/>
          </w:r>
          <w:r>
            <w:rPr>
              <w:rStyle w:val="16"/>
            </w:rPr>
            <w:t>Data extraction and synthesis:</w:t>
          </w:r>
          <w:r>
            <w:tab/>
          </w:r>
          <w:r>
            <w:fldChar w:fldCharType="begin"/>
          </w:r>
          <w:r>
            <w:instrText xml:space="preserve"> PAGEREF _Toc237625179 \h </w:instrText>
          </w:r>
          <w:r>
            <w:fldChar w:fldCharType="separate"/>
          </w:r>
          <w:r>
            <w:t>13</w:t>
          </w:r>
          <w:r>
            <w:fldChar w:fldCharType="end"/>
          </w:r>
          <w:r>
            <w:fldChar w:fldCharType="end"/>
          </w:r>
        </w:p>
        <w:p w14:paraId="2BC4841A">
          <w:pPr>
            <w:pStyle w:val="13"/>
            <w:tabs>
              <w:tab w:val="right" w:leader="dot" w:pos="9350"/>
            </w:tabs>
            <w:spacing w:line="360" w:lineRule="auto"/>
            <w:jc w:val="both"/>
          </w:pPr>
          <w:r>
            <w:fldChar w:fldCharType="begin"/>
          </w:r>
          <w:r>
            <w:instrText xml:space="preserve"> HYPERLINK \l "_Toc237625180" </w:instrText>
          </w:r>
          <w:r>
            <w:fldChar w:fldCharType="separate"/>
          </w:r>
          <w:r>
            <w:rPr>
              <w:rStyle w:val="16"/>
            </w:rPr>
            <w:t>Data Analysis:</w:t>
          </w:r>
          <w:r>
            <w:tab/>
          </w:r>
          <w:r>
            <w:fldChar w:fldCharType="begin"/>
          </w:r>
          <w:r>
            <w:instrText xml:space="preserve"> PAGEREF _Toc237625180 \h </w:instrText>
          </w:r>
          <w:r>
            <w:fldChar w:fldCharType="separate"/>
          </w:r>
          <w:r>
            <w:t>13</w:t>
          </w:r>
          <w:r>
            <w:fldChar w:fldCharType="end"/>
          </w:r>
          <w:r>
            <w:fldChar w:fldCharType="end"/>
          </w:r>
        </w:p>
        <w:p w14:paraId="2D0CA0A1">
          <w:pPr>
            <w:pStyle w:val="12"/>
            <w:tabs>
              <w:tab w:val="right" w:leader="dot" w:pos="9350"/>
            </w:tabs>
            <w:spacing w:line="360" w:lineRule="auto"/>
            <w:jc w:val="both"/>
          </w:pPr>
          <w:r>
            <w:fldChar w:fldCharType="begin"/>
          </w:r>
          <w:r>
            <w:instrText xml:space="preserve"> HYPERLINK \l "_Toc237625181" </w:instrText>
          </w:r>
          <w:r>
            <w:fldChar w:fldCharType="separate"/>
          </w:r>
          <w:r>
            <w:rPr>
              <w:rStyle w:val="16"/>
            </w:rPr>
            <w:t>Ethical considerations</w:t>
          </w:r>
          <w:r>
            <w:tab/>
          </w:r>
          <w:r>
            <w:fldChar w:fldCharType="begin"/>
          </w:r>
          <w:r>
            <w:instrText xml:space="preserve"> PAGEREF _Toc237625181 \h </w:instrText>
          </w:r>
          <w:r>
            <w:fldChar w:fldCharType="separate"/>
          </w:r>
          <w:r>
            <w:t>14</w:t>
          </w:r>
          <w:r>
            <w:fldChar w:fldCharType="end"/>
          </w:r>
          <w:r>
            <w:fldChar w:fldCharType="end"/>
          </w:r>
        </w:p>
        <w:p w14:paraId="587B0964">
          <w:pPr>
            <w:pStyle w:val="12"/>
            <w:tabs>
              <w:tab w:val="right" w:leader="dot" w:pos="9350"/>
            </w:tabs>
            <w:spacing w:line="360" w:lineRule="auto"/>
            <w:jc w:val="both"/>
          </w:pPr>
          <w:r>
            <w:fldChar w:fldCharType="begin"/>
          </w:r>
          <w:r>
            <w:instrText xml:space="preserve"> HYPERLINK \l "_Toc237625182" </w:instrText>
          </w:r>
          <w:r>
            <w:fldChar w:fldCharType="separate"/>
          </w:r>
          <w:r>
            <w:rPr>
              <w:rStyle w:val="16"/>
            </w:rPr>
            <w:t>Limitations</w:t>
          </w:r>
          <w:r>
            <w:tab/>
          </w:r>
          <w:r>
            <w:fldChar w:fldCharType="begin"/>
          </w:r>
          <w:r>
            <w:instrText xml:space="preserve"> PAGEREF _Toc237625182 \h </w:instrText>
          </w:r>
          <w:r>
            <w:fldChar w:fldCharType="separate"/>
          </w:r>
          <w:r>
            <w:t>14</w:t>
          </w:r>
          <w:r>
            <w:fldChar w:fldCharType="end"/>
          </w:r>
          <w:r>
            <w:fldChar w:fldCharType="end"/>
          </w:r>
        </w:p>
        <w:p w14:paraId="0324376B">
          <w:pPr>
            <w:pStyle w:val="12"/>
            <w:tabs>
              <w:tab w:val="right" w:leader="dot" w:pos="9350"/>
            </w:tabs>
            <w:spacing w:line="360" w:lineRule="auto"/>
            <w:jc w:val="both"/>
          </w:pPr>
          <w:r>
            <w:fldChar w:fldCharType="begin"/>
          </w:r>
          <w:r>
            <w:instrText xml:space="preserve"> HYPERLINK \l "_Toc237625183" </w:instrText>
          </w:r>
          <w:r>
            <w:fldChar w:fldCharType="separate"/>
          </w:r>
          <w:r>
            <w:rPr>
              <w:rStyle w:val="16"/>
            </w:rPr>
            <w:t>Timeline and expected contribution</w:t>
          </w:r>
          <w:r>
            <w:tab/>
          </w:r>
          <w:r>
            <w:fldChar w:fldCharType="begin"/>
          </w:r>
          <w:r>
            <w:instrText xml:space="preserve"> PAGEREF _Toc237625183 \h </w:instrText>
          </w:r>
          <w:r>
            <w:fldChar w:fldCharType="separate"/>
          </w:r>
          <w:r>
            <w:t>15</w:t>
          </w:r>
          <w:r>
            <w:fldChar w:fldCharType="end"/>
          </w:r>
          <w:r>
            <w:fldChar w:fldCharType="end"/>
          </w:r>
        </w:p>
        <w:p w14:paraId="1F6EC18A">
          <w:pPr>
            <w:pStyle w:val="12"/>
            <w:tabs>
              <w:tab w:val="right" w:leader="dot" w:pos="9350"/>
            </w:tabs>
            <w:spacing w:line="360" w:lineRule="auto"/>
            <w:jc w:val="both"/>
          </w:pPr>
          <w:r>
            <w:fldChar w:fldCharType="begin"/>
          </w:r>
          <w:r>
            <w:instrText xml:space="preserve"> HYPERLINK \l "_Toc237625184" </w:instrText>
          </w:r>
          <w:r>
            <w:fldChar w:fldCharType="separate"/>
          </w:r>
          <w:r>
            <w:rPr>
              <w:rStyle w:val="16"/>
            </w:rPr>
            <w:t>Reference</w:t>
          </w:r>
          <w:r>
            <w:tab/>
          </w:r>
          <w:r>
            <w:fldChar w:fldCharType="begin"/>
          </w:r>
          <w:r>
            <w:instrText xml:space="preserve"> PAGEREF _Toc237625184 \h </w:instrText>
          </w:r>
          <w:r>
            <w:fldChar w:fldCharType="separate"/>
          </w:r>
          <w:r>
            <w:t>16</w:t>
          </w:r>
          <w:r>
            <w:fldChar w:fldCharType="end"/>
          </w:r>
          <w:r>
            <w:fldChar w:fldCharType="end"/>
          </w:r>
        </w:p>
        <w:p w14:paraId="7703916A">
          <w:pPr>
            <w:spacing w:line="360" w:lineRule="auto"/>
            <w:jc w:val="both"/>
          </w:pPr>
          <w:r>
            <w:rPr>
              <w:b/>
              <w:bCs/>
            </w:rPr>
            <w:fldChar w:fldCharType="end"/>
          </w:r>
        </w:p>
      </w:sdtContent>
    </w:sdt>
    <w:p w14:paraId="5EEE8EE2">
      <w:pPr>
        <w:rPr>
          <w:rFonts w:eastAsia="Times New Roman"/>
          <w:b/>
          <w:bCs/>
        </w:rPr>
      </w:pPr>
      <w:r>
        <w:rPr>
          <w:rFonts w:eastAsia="Times New Roman"/>
          <w:b/>
          <w:bCs/>
        </w:rPr>
        <w:br w:type="page"/>
      </w:r>
    </w:p>
    <w:p w14:paraId="00EC6C37">
      <w:pPr>
        <w:spacing w:line="360" w:lineRule="auto"/>
        <w:jc w:val="both"/>
        <w:rPr>
          <w:rFonts w:eastAsia="Times New Roman"/>
          <w:b/>
          <w:bCs/>
        </w:rPr>
      </w:pPr>
      <w:r>
        <w:rPr>
          <w:rFonts w:eastAsia="Times New Roman"/>
          <w:b/>
          <w:bCs/>
        </w:rPr>
        <w:t>Research title: Barriers to Accessing Mental Health Services Among Young Adults in the United Kingdom: A systematic review</w:t>
      </w:r>
    </w:p>
    <w:p w14:paraId="090033FB">
      <w:pPr>
        <w:spacing w:line="360" w:lineRule="auto"/>
        <w:jc w:val="both"/>
        <w:rPr>
          <w:rFonts w:eastAsia="Times New Roman"/>
        </w:rPr>
      </w:pPr>
    </w:p>
    <w:p w14:paraId="67D6C7EC">
      <w:pPr>
        <w:rPr>
          <w:rFonts w:eastAsia="Times New Roman"/>
          <w:b/>
          <w:bCs/>
        </w:rPr>
      </w:pPr>
      <w:r>
        <w:rPr>
          <w:rFonts w:eastAsia="Times New Roman"/>
          <w:b/>
          <w:bCs/>
        </w:rPr>
        <w:br w:type="page"/>
      </w:r>
    </w:p>
    <w:p w14:paraId="35C0A6BA">
      <w:pPr>
        <w:pStyle w:val="2"/>
      </w:pPr>
      <w:bookmarkStart w:id="0" w:name="_Toc237625154"/>
      <w:r>
        <w:t>Introduction and background</w:t>
      </w:r>
      <w:bookmarkEnd w:id="0"/>
      <w:r>
        <w:t xml:space="preserve"> </w:t>
      </w:r>
    </w:p>
    <w:p w14:paraId="3AC904A3">
      <w:pPr>
        <w:pStyle w:val="3"/>
      </w:pPr>
      <w:bookmarkStart w:id="1" w:name="_Toc237625155"/>
      <w:r>
        <w:t>The issue</w:t>
      </w:r>
      <w:bookmarkEnd w:id="1"/>
    </w:p>
    <w:p w14:paraId="4CC3BD9A">
      <w:pPr>
        <w:spacing w:line="360" w:lineRule="auto"/>
        <w:jc w:val="both"/>
        <w:rPr>
          <w:rFonts w:eastAsia="Times New Roman"/>
          <w:b/>
          <w:bCs/>
        </w:rPr>
      </w:pPr>
      <w:r>
        <w:rPr>
          <w:rFonts w:eastAsia="Times New Roman"/>
        </w:rPr>
        <w:t xml:space="preserve">Mental health is an important factor in the well-being of an individual. During adulthood, mental health difficulties can arise due to complex life circumstances; hence, access to proper mental health services becomes important. Young adults in the UK face severe obstacles when they seek help due to mental health issues. The obstacles are stimulated by various factors such as the fear of judgement, where young adults often worry about negative labels from peers or family, as they will judge them if mental health conditions are shared; thus, it creates a barrier for young adults to access mental health care (Udu et al., 2026). Additionally, some young adults also prefer to handle their mental health problems independently, as they doubt the seriousness of the problem, while the problem is serious enough to concern professional care (Mehrotra, 2022). </w:t>
      </w:r>
    </w:p>
    <w:p w14:paraId="0C4D955D">
      <w:pPr>
        <w:pStyle w:val="3"/>
      </w:pPr>
      <w:bookmarkStart w:id="2" w:name="_Toc237625156"/>
      <w:r>
        <w:t>Explaining the scale</w:t>
      </w:r>
      <w:bookmarkEnd w:id="2"/>
    </w:p>
    <w:p w14:paraId="1767D127">
      <w:pPr>
        <w:spacing w:line="360" w:lineRule="auto"/>
        <w:jc w:val="both"/>
        <w:rPr>
          <w:rFonts w:eastAsia="Times New Roman"/>
        </w:rPr>
      </w:pPr>
      <w:r>
        <w:rPr>
          <w:rFonts w:eastAsia="Times New Roman"/>
        </w:rPr>
        <w:t xml:space="preserve">Young adults in the UK face multi-layered barriers while trying to get service from mental health care. In the UK, 50% of mental health issues are seen at 14 years among people and by the age of 24 it increases to 75% (Mental Health Foundation, 2026). In this context, it is found that 23.3% of 17 to 19-year-old individuals and 21.7% of 20 to 25 year individuals are facing mental health issue in the UK (NHS England, 2023). In the UK, young adults have to wait in long NHS queues for a long time for emergency mental health care treatment. This has created an obstacle for young adults to access mental health care in the UK (Youngminds, 2026). </w:t>
      </w:r>
    </w:p>
    <w:p w14:paraId="04CF79C6">
      <w:pPr>
        <w:spacing w:line="360" w:lineRule="auto"/>
        <w:jc w:val="center"/>
        <w:rPr>
          <w:rFonts w:eastAsia="Times New Roman"/>
        </w:rPr>
      </w:pPr>
      <w:r>
        <w:rPr>
          <w:rFonts w:eastAsia="Times New Roman"/>
        </w:rPr>
        <w:drawing>
          <wp:inline distT="114300" distB="114300" distL="114300" distR="114300">
            <wp:extent cx="5943600" cy="3225800"/>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referRelativeResize="0"/>
                  </pic:nvPicPr>
                  <pic:blipFill>
                    <a:blip r:embed="rId5"/>
                    <a:srcRect/>
                    <a:stretch>
                      <a:fillRect/>
                    </a:stretch>
                  </pic:blipFill>
                  <pic:spPr>
                    <a:xfrm>
                      <a:off x="0" y="0"/>
                      <a:ext cx="5943600" cy="3225800"/>
                    </a:xfrm>
                    <a:prstGeom prst="rect">
                      <a:avLst/>
                    </a:prstGeom>
                    <a:ln w="25400">
                      <a:solidFill>
                        <a:srgbClr val="000000"/>
                      </a:solidFill>
                      <a:prstDash val="solid"/>
                    </a:ln>
                  </pic:spPr>
                </pic:pic>
              </a:graphicData>
            </a:graphic>
          </wp:inline>
        </w:drawing>
      </w:r>
    </w:p>
    <w:p w14:paraId="267F41AD">
      <w:pPr>
        <w:spacing w:line="360" w:lineRule="auto"/>
        <w:jc w:val="center"/>
        <w:rPr>
          <w:rFonts w:eastAsia="Times New Roman"/>
          <w:b/>
          <w:bCs/>
        </w:rPr>
      </w:pPr>
      <w:r>
        <w:rPr>
          <w:rFonts w:eastAsia="Times New Roman"/>
          <w:b/>
          <w:bCs/>
        </w:rPr>
        <w:t>Figure 1: The poor mental health condition of UK-based university students</w:t>
      </w:r>
    </w:p>
    <w:p w14:paraId="7B074BC8">
      <w:pPr>
        <w:spacing w:line="360" w:lineRule="auto"/>
        <w:jc w:val="center"/>
        <w:rPr>
          <w:rFonts w:eastAsia="Times New Roman"/>
        </w:rPr>
      </w:pPr>
      <w:r>
        <w:rPr>
          <w:rFonts w:eastAsia="Times New Roman"/>
        </w:rPr>
        <w:t>(Source: Lewis and Stiebahl, 2025)</w:t>
      </w:r>
    </w:p>
    <w:p w14:paraId="61F331DD">
      <w:pPr>
        <w:pStyle w:val="3"/>
      </w:pPr>
      <w:bookmarkStart w:id="3" w:name="_Toc237625157"/>
      <w:r>
        <w:t>Explaining the consequences</w:t>
      </w:r>
      <w:bookmarkEnd w:id="3"/>
    </w:p>
    <w:p w14:paraId="49CCCF04">
      <w:pPr>
        <w:spacing w:line="360" w:lineRule="auto"/>
        <w:jc w:val="both"/>
        <w:rPr>
          <w:rFonts w:eastAsia="Times New Roman"/>
        </w:rPr>
      </w:pPr>
      <w:r>
        <w:rPr>
          <w:rFonts w:eastAsia="Times New Roman"/>
        </w:rPr>
        <w:t xml:space="preserve">The poor mental health conditions among young adults often lead to major problems in their lives. From this perspective, Schlack et al. (2021), highlighted that barriers hindering young adults’ access to mental health care might lead to lower life satisfaction, reduced quality of life and diminished reproductive health. More adversely, it is related to the increased use of drugs by young adults and may induce suicide related thoughts (CDC, 2024). The barriers in mental health services in the long term may severely exacerbate mental health issues in young adults, often induced by depression, anxiety and lack of sleep (Kuhlman et al., 2025). Therefore, these barriers should be identified and mitigated for the betterment of the mental health condition of the UK-based young adults. </w:t>
      </w:r>
    </w:p>
    <w:p w14:paraId="512E9D3A">
      <w:pPr>
        <w:spacing w:line="360" w:lineRule="auto"/>
        <w:jc w:val="center"/>
        <w:rPr>
          <w:rFonts w:eastAsia="Times New Roman"/>
        </w:rPr>
      </w:pPr>
      <w:r>
        <w:rPr>
          <w:rFonts w:eastAsia="Times New Roman"/>
        </w:rPr>
        <w:drawing>
          <wp:inline distT="114300" distB="114300" distL="114300" distR="114300">
            <wp:extent cx="5943600" cy="3060700"/>
            <wp:effectExtent l="25400" t="25400" r="25400" b="25400"/>
            <wp:docPr id="7" name="image6.png"/>
            <wp:cNvGraphicFramePr/>
            <a:graphic xmlns:a="http://schemas.openxmlformats.org/drawingml/2006/main">
              <a:graphicData uri="http://schemas.openxmlformats.org/drawingml/2006/picture">
                <pic:pic xmlns:pic="http://schemas.openxmlformats.org/drawingml/2006/picture">
                  <pic:nvPicPr>
                    <pic:cNvPr id="7" name="image6.png"/>
                    <pic:cNvPicPr preferRelativeResize="0"/>
                  </pic:nvPicPr>
                  <pic:blipFill>
                    <a:blip r:embed="rId6"/>
                    <a:srcRect/>
                    <a:stretch>
                      <a:fillRect/>
                    </a:stretch>
                  </pic:blipFill>
                  <pic:spPr>
                    <a:xfrm>
                      <a:off x="0" y="0"/>
                      <a:ext cx="5943600" cy="3060700"/>
                    </a:xfrm>
                    <a:prstGeom prst="rect">
                      <a:avLst/>
                    </a:prstGeom>
                    <a:ln w="25400">
                      <a:solidFill>
                        <a:srgbClr val="000000"/>
                      </a:solidFill>
                      <a:prstDash val="solid"/>
                    </a:ln>
                  </pic:spPr>
                </pic:pic>
              </a:graphicData>
            </a:graphic>
          </wp:inline>
        </w:drawing>
      </w:r>
    </w:p>
    <w:p w14:paraId="04528C92">
      <w:pPr>
        <w:spacing w:line="360" w:lineRule="auto"/>
        <w:jc w:val="center"/>
        <w:rPr>
          <w:rFonts w:eastAsia="Times New Roman"/>
          <w:b/>
          <w:bCs/>
        </w:rPr>
      </w:pPr>
      <w:r>
        <w:rPr>
          <w:rFonts w:eastAsia="Times New Roman"/>
          <w:b/>
          <w:bCs/>
        </w:rPr>
        <w:t>Figure 2: Suicide rate among university students in the UK</w:t>
      </w:r>
    </w:p>
    <w:p w14:paraId="6DE76FFD">
      <w:pPr>
        <w:spacing w:line="360" w:lineRule="auto"/>
        <w:jc w:val="center"/>
        <w:rPr>
          <w:rFonts w:eastAsia="Times New Roman"/>
        </w:rPr>
      </w:pPr>
      <w:r>
        <w:rPr>
          <w:rFonts w:eastAsia="Times New Roman"/>
        </w:rPr>
        <w:t>(Source: Lewis and Stiebahl, 2025)</w:t>
      </w:r>
    </w:p>
    <w:p w14:paraId="62C02A87">
      <w:pPr>
        <w:pStyle w:val="3"/>
      </w:pPr>
      <w:bookmarkStart w:id="4" w:name="_Toc237625158"/>
      <w:r>
        <w:t>Narrowing the focus</w:t>
      </w:r>
      <w:bookmarkEnd w:id="4"/>
      <w:r>
        <w:t xml:space="preserve"> </w:t>
      </w:r>
    </w:p>
    <w:p w14:paraId="012C735C">
      <w:pPr>
        <w:spacing w:line="360" w:lineRule="auto"/>
        <w:jc w:val="both"/>
        <w:rPr>
          <w:rFonts w:eastAsia="Times New Roman"/>
        </w:rPr>
      </w:pPr>
      <w:r>
        <w:rPr>
          <w:rFonts w:eastAsia="Times New Roman"/>
        </w:rPr>
        <w:t xml:space="preserve">The obstacles to get mental health care in the UK are largely shaped by various factors among young adults. Here, social stigma and limited mental health literacy play an effective role in blocking the access of younger adults to mental health care (Udu et al., 2026). Similarly, influences of the family, such as financial constraints or parental understanding and systemic barriers can also negatively influence young adults’ right to the mental health services (Udu et al., 2026). Therefore, through evaluating these dimensions, this research aims to identify the key obstacles to obtain mental health care in the UK for young adults. </w:t>
      </w:r>
    </w:p>
    <w:p w14:paraId="21523CA2">
      <w:pPr>
        <w:pStyle w:val="2"/>
      </w:pPr>
      <w:bookmarkStart w:id="5" w:name="_Toc237625159"/>
      <w:r>
        <w:t>Research problem, rational and evidence gap</w:t>
      </w:r>
      <w:bookmarkEnd w:id="5"/>
      <w:r>
        <w:t xml:space="preserve"> </w:t>
      </w:r>
    </w:p>
    <w:p w14:paraId="6AECCCC5">
      <w:pPr>
        <w:pStyle w:val="3"/>
      </w:pPr>
      <w:bookmarkStart w:id="6" w:name="_Toc237625160"/>
      <w:r>
        <w:t>Research Problem</w:t>
      </w:r>
      <w:bookmarkEnd w:id="6"/>
    </w:p>
    <w:p w14:paraId="19789692">
      <w:pPr>
        <w:spacing w:line="360" w:lineRule="auto"/>
        <w:jc w:val="both"/>
        <w:rPr>
          <w:rFonts w:eastAsia="Times New Roman"/>
          <w:b/>
          <w:bCs/>
        </w:rPr>
      </w:pPr>
      <w:r>
        <w:rPr>
          <w:rFonts w:eastAsia="Times New Roman"/>
        </w:rPr>
        <w:t xml:space="preserve">Young adults in the UK experience mental health issues due to various personal and interpersonal issues. Despite this, they are unable to receive adequate professional care due to multiple social, individual and systemic obstacles. In the UK, 22.6% adults, who live with issues regarding mental health due to deficiency of adequate mental health care services, which has increased by 20% in recent years from 2014 (Mental Health Foundation, 2025). From this perspective, Thorpe and Gutman (2022), highlighted the importance of improved access for young adults in the UK, which is helpful for improving the mental health of young adults. However, an accelerated number of mental health disorders reflects the possibility of the presence of proper services and preventive measures for the young population in the UK. </w:t>
      </w:r>
    </w:p>
    <w:p w14:paraId="4235179C">
      <w:pPr>
        <w:pStyle w:val="3"/>
      </w:pPr>
      <w:bookmarkStart w:id="7" w:name="_Toc237625161"/>
      <w:r>
        <w:t>Research Rationale</w:t>
      </w:r>
      <w:bookmarkEnd w:id="7"/>
      <w:r>
        <w:t xml:space="preserve"> </w:t>
      </w:r>
    </w:p>
    <w:p w14:paraId="09D79AD6">
      <w:pPr>
        <w:spacing w:line="360" w:lineRule="auto"/>
        <w:jc w:val="both"/>
        <w:rPr>
          <w:rFonts w:eastAsia="Times New Roman"/>
        </w:rPr>
      </w:pPr>
      <w:r>
        <w:rPr>
          <w:rFonts w:eastAsia="Times New Roman"/>
        </w:rPr>
        <w:t>In the UK, 28% of Gen Z have reported high levels of anxiety, and 21% have reported high depressive symptoms at the age of 23 (UCL, 2026). Similarly, 22% of Gen Z report facing long-term mental health problems in their early 20s (UCL, 2026). This indicates that mental health care is indispensable for young adults in the UK, as these issues can extend to long-term problems in young adults in the UK. Correspondingly, it is found that young individuals living in the underprivileged locations of the UK are 64% more inclined to face a mental health disorder due to the lack of adequate support (Mental Health Foundation, 2025). Hence, this research will explore the key obstacles to accessing mental health care for UK-based young adults.</w:t>
      </w:r>
    </w:p>
    <w:p w14:paraId="2F5BAB15">
      <w:pPr>
        <w:pStyle w:val="3"/>
      </w:pPr>
      <w:bookmarkStart w:id="8" w:name="_Toc237625162"/>
      <w:r>
        <w:t>Evidence Gap</w:t>
      </w:r>
      <w:bookmarkEnd w:id="8"/>
      <w:r>
        <w:t xml:space="preserve"> </w:t>
      </w:r>
    </w:p>
    <w:p w14:paraId="6ABF05F7">
      <w:pPr>
        <w:spacing w:line="360" w:lineRule="auto"/>
        <w:jc w:val="both"/>
        <w:rPr>
          <w:rFonts w:eastAsia="Times New Roman"/>
        </w:rPr>
      </w:pPr>
      <w:r>
        <w:rPr>
          <w:rFonts w:eastAsia="Times New Roman"/>
        </w:rPr>
        <w:t xml:space="preserve">The inadequate awareness among younger adults about accessing mental health care has contributed to major mental health issues among young adults in the UK. Here, Zeleke et al. (2025), highlighted that proper access to mental health care facilities helps to reduce further chances of psychological disorders in the future and increases the overall life satisfaction of young adults. However, Meng and Wiznitzer (2024), found that scarcity of proper access to mental health care reduces the overall quality of life and induces lifelong complications regarding mental health. Thus identifying the part of obstacles in hindering the mental health of young adults, this research aims to review and understand the key obstacles to obtain mental health care among young adults in the UK. </w:t>
      </w:r>
    </w:p>
    <w:p w14:paraId="3D54BD8E">
      <w:pPr>
        <w:pStyle w:val="2"/>
      </w:pPr>
      <w:bookmarkStart w:id="9" w:name="_Toc237625163"/>
      <w:r>
        <w:t>Literature Review</w:t>
      </w:r>
      <w:bookmarkEnd w:id="9"/>
    </w:p>
    <w:p w14:paraId="76F8CED8">
      <w:pPr>
        <w:pStyle w:val="3"/>
      </w:pPr>
      <w:bookmarkStart w:id="10" w:name="_Toc237625164"/>
      <w:r>
        <w:t>Psychological and individual level barriers in accessing mental health services</w:t>
      </w:r>
      <w:bookmarkEnd w:id="10"/>
    </w:p>
    <w:p w14:paraId="422421A4">
      <w:pPr>
        <w:spacing w:line="360" w:lineRule="auto"/>
        <w:jc w:val="both"/>
        <w:rPr>
          <w:rFonts w:eastAsia="Times New Roman"/>
        </w:rPr>
      </w:pPr>
      <w:r>
        <w:rPr>
          <w:rFonts w:eastAsia="Times New Roman"/>
        </w:rPr>
        <w:t>The psychological and individual-level barriers prevent young adults in the UK from getting access to adequate mental health services. From this perspective, Zhao et al. (2025), mentioned that insufficient knowledge among young adults and the perception that the available help is ineffective in improving their mental health condition are found to be key barriers to acquiring mental health care. Similarly, Murray and Knudson (2023), found that shame, fear of judgement and discomfiture are the major barriers in accessing mental health care in younger adults. Correspondingly, Aguirre Velasco et al. (2020), stated that the negative faith about help seeking such as no need for professional help and lack of emotional competence are the prominent obstacles to accessing mental health care in younger adults. Lastly, these studies helped to identify major psychological and individual barriers faced by the young adult population in accessing mental health services. However, these studies do not focus on the UK-based population, which needs to be addressed.</w:t>
      </w:r>
    </w:p>
    <w:p w14:paraId="7F2B5D14">
      <w:pPr>
        <w:pStyle w:val="3"/>
      </w:pPr>
      <w:bookmarkStart w:id="11" w:name="_Toc237625165"/>
      <w:r>
        <w:t>Systematic and structural barriers to access metal health services</w:t>
      </w:r>
      <w:bookmarkEnd w:id="11"/>
    </w:p>
    <w:p w14:paraId="3D9EB390">
      <w:pPr>
        <w:spacing w:line="360" w:lineRule="auto"/>
        <w:jc w:val="both"/>
        <w:rPr>
          <w:rFonts w:eastAsia="Times New Roman"/>
          <w:b/>
          <w:bCs/>
        </w:rPr>
      </w:pPr>
      <w:r>
        <w:rPr>
          <w:rFonts w:eastAsia="Times New Roman"/>
        </w:rPr>
        <w:t xml:space="preserve">Young adults face major structural and systemic barriers when they try to get mental health services. From this perspective, Cooper et al. (2025), opined that the improper integration among specialist services, social support systems and primary care creates systematic barriers for younger adults to access mental health care due to fragmented communication and mismatched service criteria. Additionally, Kallakuri et al. (2026), further identified financial constraints and negative experiences with healthcare providers as obstacles to young adults obtain to mental health services. In addition, Ma et al. (2025), highlighted that non-Hispanic White youths have faced high levels of mental health visits, where non-hispanic black youths have faced significant discrimination in mental health visits. Therefore, it can be summarised from the above-mentioned factors that systematic and structural barriers are essential in hindering the access of young adults to mental health services. </w:t>
      </w:r>
    </w:p>
    <w:p w14:paraId="0C5B795A">
      <w:pPr>
        <w:pStyle w:val="3"/>
      </w:pPr>
      <w:bookmarkStart w:id="12" w:name="_Toc237625166"/>
      <w:r>
        <w:t>Literature Gap</w:t>
      </w:r>
      <w:bookmarkEnd w:id="12"/>
    </w:p>
    <w:p w14:paraId="2C4B2399">
      <w:pPr>
        <w:spacing w:line="360" w:lineRule="auto"/>
        <w:jc w:val="both"/>
        <w:rPr>
          <w:rFonts w:eastAsia="Times New Roman"/>
          <w:highlight w:val="white"/>
        </w:rPr>
      </w:pPr>
      <w:r>
        <w:rPr>
          <w:rFonts w:eastAsia="Times New Roman"/>
        </w:rPr>
        <w:t>The aforementioned studies have reflected remarkable wisdom about the key obstacles to get mental health care among younger adults. The study by Zhao et al. (2025), reflected that a lack of awareness and positive perception are major obstacles to obtaining mental health care among younger adults. Conversely, Kallakuri et al. (2026), mentioned the influence of financial constraints and bad behaviour as a barrier for younger adults to get access to mental health care. Similarly, Ma et al. (2025), reflected that racism in health care services acts as a barrier for young adults of ethnic minorities to access health care services. On the other hand, Velasco et al. (2020), shared that the negative beliefs of young adults, such as unnecessary expertise and the lack of emotional competence, create major barriers for young adults to access mental health services.</w:t>
      </w:r>
      <w:r>
        <w:rPr>
          <w:rFonts w:eastAsia="Times New Roman"/>
          <w:highlight w:val="white"/>
        </w:rPr>
        <w:t xml:space="preserve"> However, the evidence still remains scattered in highlighting how these factors collectively </w:t>
      </w:r>
      <w:r>
        <w:rPr>
          <w:rFonts w:eastAsia="Times New Roman"/>
          <w:highlight w:val="white"/>
        </w:rPr>
        <w:t xml:space="preserve">influence the access of young adults to mental health care. Nevertheless, these studies are only focused on a separate dynamic as a barrier for young adults to access mental health care. Moreover, the lack of UK-focused studies becomes a significant gap for the UK population because systematic and structural </w:t>
      </w:r>
      <w:r>
        <w:rPr>
          <w:rFonts w:eastAsia="Times New Roman"/>
          <w:highlight w:val="white"/>
        </w:rPr>
        <w:t>obstacles</w:t>
      </w:r>
      <w:r>
        <w:rPr>
          <w:rFonts w:eastAsia="Times New Roman"/>
          <w:highlight w:val="white"/>
        </w:rPr>
        <w:t xml:space="preserve"> to accessing mental health service vary depending on country context. Also, none of these studies focuses on how to mitigate such barriers for better mental health outcomes among the UK population. Hence, this </w:t>
      </w:r>
      <w:r>
        <w:rPr>
          <w:rFonts w:eastAsia="Times New Roman"/>
          <w:highlight w:val="white"/>
        </w:rPr>
        <w:t xml:space="preserve">study will aim to narrow the gap </w:t>
      </w:r>
      <w:r>
        <w:rPr>
          <w:rFonts w:eastAsia="Times New Roman"/>
          <w:highlight w:val="white"/>
        </w:rPr>
        <w:t>by highlighting the influence of various factors on access to mental health care and proposing mitigation strategies.</w:t>
      </w:r>
    </w:p>
    <w:p w14:paraId="59A17D5F">
      <w:pPr>
        <w:pStyle w:val="2"/>
      </w:pPr>
      <w:bookmarkStart w:id="13" w:name="_Toc237625167"/>
      <w:r>
        <w:t>Research Aim, objectives and question</w:t>
      </w:r>
      <w:bookmarkEnd w:id="13"/>
      <w:r>
        <w:t xml:space="preserve"> </w:t>
      </w:r>
    </w:p>
    <w:p w14:paraId="235388B8">
      <w:pPr>
        <w:pStyle w:val="3"/>
      </w:pPr>
      <w:bookmarkStart w:id="14" w:name="_Toc237625168"/>
      <w:r>
        <w:t>Research Question</w:t>
      </w:r>
      <w:bookmarkEnd w:id="14"/>
      <w:r>
        <w:t xml:space="preserve"> </w:t>
      </w:r>
    </w:p>
    <w:p w14:paraId="56B0C133">
      <w:pPr>
        <w:spacing w:line="360" w:lineRule="auto"/>
        <w:jc w:val="both"/>
        <w:rPr>
          <w:rFonts w:eastAsia="Times New Roman"/>
          <w:b/>
          <w:bCs/>
        </w:rPr>
      </w:pPr>
      <w:r>
        <w:rPr>
          <w:rFonts w:eastAsia="Times New Roman"/>
        </w:rPr>
        <w:t>What are the main barriers that prevent young adults in the United Kingdom from accessing mental health services?</w:t>
      </w:r>
    </w:p>
    <w:p w14:paraId="55F0B0DF">
      <w:pPr>
        <w:pStyle w:val="3"/>
      </w:pPr>
      <w:bookmarkStart w:id="15" w:name="_Toc237625169"/>
      <w:r>
        <w:t>Aim</w:t>
      </w:r>
      <w:bookmarkEnd w:id="15"/>
    </w:p>
    <w:p w14:paraId="0DBE31B5">
      <w:pPr>
        <w:spacing w:line="360" w:lineRule="auto"/>
        <w:jc w:val="both"/>
        <w:rPr>
          <w:rFonts w:eastAsia="Times New Roman"/>
          <w:b/>
          <w:bCs/>
        </w:rPr>
      </w:pPr>
      <w:r>
        <w:rPr>
          <w:rFonts w:eastAsia="Times New Roman"/>
        </w:rPr>
        <w:t>To review and understand the barriers that affect access to mental health services among young adults in the United Kingdom.</w:t>
      </w:r>
    </w:p>
    <w:p w14:paraId="5485A64C">
      <w:pPr>
        <w:pStyle w:val="3"/>
      </w:pPr>
      <w:bookmarkStart w:id="16" w:name="_Toc237625170"/>
      <w:r>
        <w:t>Objectives</w:t>
      </w:r>
      <w:bookmarkEnd w:id="16"/>
    </w:p>
    <w:p w14:paraId="26499EA2">
      <w:pPr>
        <w:spacing w:line="360" w:lineRule="auto"/>
        <w:jc w:val="both"/>
        <w:rPr>
          <w:rFonts w:eastAsia="Times New Roman"/>
        </w:rPr>
      </w:pPr>
      <w:r>
        <w:rPr>
          <w:rFonts w:eastAsia="Times New Roman"/>
        </w:rPr>
        <w:t>1. To identify the main barriers to accessing mental health services among young adults in the UK.</w:t>
      </w:r>
    </w:p>
    <w:p w14:paraId="71576B57">
      <w:pPr>
        <w:spacing w:line="360" w:lineRule="auto"/>
        <w:jc w:val="both"/>
        <w:rPr>
          <w:rFonts w:eastAsia="Times New Roman"/>
        </w:rPr>
      </w:pPr>
      <w:r>
        <w:rPr>
          <w:rFonts w:eastAsia="Times New Roman"/>
        </w:rPr>
        <w:t>2. To explore how social, economic, and cultural factors affect access to mental health services.</w:t>
      </w:r>
    </w:p>
    <w:p w14:paraId="41BDD52D">
      <w:pPr>
        <w:spacing w:line="360" w:lineRule="auto"/>
        <w:jc w:val="both"/>
        <w:rPr>
          <w:rFonts w:eastAsia="Times New Roman"/>
        </w:rPr>
      </w:pPr>
      <w:r>
        <w:rPr>
          <w:rFonts w:eastAsia="Times New Roman"/>
        </w:rPr>
        <w:t>3. To examine how these barriers influence the use of mental health services.</w:t>
      </w:r>
    </w:p>
    <w:p w14:paraId="2AA800D5">
      <w:pPr>
        <w:spacing w:line="360" w:lineRule="auto"/>
        <w:jc w:val="both"/>
        <w:rPr>
          <w:rFonts w:eastAsia="Times New Roman"/>
        </w:rPr>
      </w:pPr>
      <w:r>
        <w:rPr>
          <w:rFonts w:eastAsia="Times New Roman"/>
        </w:rPr>
        <w:t>4. To suggest ways to improve access to mental health services for young adults in the UK</w:t>
      </w:r>
    </w:p>
    <w:p w14:paraId="0A34AAEC">
      <w:pPr>
        <w:pStyle w:val="2"/>
      </w:pPr>
      <w:bookmarkStart w:id="17" w:name="_Toc237625171"/>
      <w:r>
        <w:t>Methodology</w:t>
      </w:r>
      <w:bookmarkEnd w:id="17"/>
      <w:r>
        <w:t xml:space="preserve"> </w:t>
      </w:r>
    </w:p>
    <w:p w14:paraId="218DD469">
      <w:pPr>
        <w:pStyle w:val="3"/>
      </w:pPr>
      <w:bookmarkStart w:id="18" w:name="_Toc237625172"/>
      <w:r>
        <w:t>Research Design</w:t>
      </w:r>
      <w:bookmarkEnd w:id="18"/>
    </w:p>
    <w:p w14:paraId="591A8E38">
      <w:pPr>
        <w:spacing w:line="360" w:lineRule="auto"/>
        <w:jc w:val="both"/>
        <w:rPr>
          <w:rFonts w:eastAsia="Times New Roman"/>
        </w:rPr>
      </w:pPr>
      <w:r>
        <w:rPr>
          <w:rFonts w:eastAsia="Times New Roman"/>
        </w:rPr>
        <w:t xml:space="preserve">In this study, a systematic literature review (SLR) will be adapted for the secondary qualitative research. Here, it will be essential for understanding and evaluating different perspectives of authors together about the key barriers in mental health care which are faced by UK-based young adults. From this perspective, Smela et al. (2023), opined that SLR is the most rigorous way to review a topic by synthesising the existing evidence and is beneficial for strengthening the outcome of the study by finding the key obstacles in accessing mental health services by young adults. Here, the SLR method is justified. </w:t>
      </w:r>
    </w:p>
    <w:p w14:paraId="6ACEDE85">
      <w:pPr>
        <w:pStyle w:val="3"/>
      </w:pPr>
      <w:bookmarkStart w:id="19" w:name="_Toc237625173"/>
      <w:r>
        <w:t>Question Framework</w:t>
      </w:r>
      <w:bookmarkEnd w:id="19"/>
    </w:p>
    <w:p w14:paraId="1D3B8EE7">
      <w:pPr>
        <w:spacing w:line="360" w:lineRule="auto"/>
        <w:jc w:val="both"/>
        <w:rPr>
          <w:rFonts w:eastAsia="Times New Roman"/>
        </w:rPr>
      </w:pPr>
      <w:r>
        <w:rPr>
          <w:rFonts w:eastAsia="Times New Roman"/>
        </w:rPr>
        <w:t xml:space="preserve">The PEO framework will be helpful in this study for deriving the obstacles faced by young adults in getting mental health care services. It is helpful in this research for ensuring the development of the structured search strategy and defining the research question appropriately, as it is mainly used in qualitative research (Capili, 2020). Here, the PEO framework is justified for this study to derive the obstacles faced by younger adults in accessing effective mental health care. </w:t>
      </w:r>
    </w:p>
    <w:tbl>
      <w:tblPr>
        <w:tblStyle w:val="19"/>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2145"/>
        <w:gridCol w:w="7215"/>
      </w:tblGrid>
      <w:tr w14:paraId="22A28AFE">
        <w:tblPrEx>
          <w:tblLayout w:type="fixed"/>
        </w:tblPrEx>
        <w:tc>
          <w:tcPr>
            <w:tcW w:w="2145" w:type="dxa"/>
            <w:tcMar>
              <w:top w:w="100" w:type="dxa"/>
              <w:left w:w="100" w:type="dxa"/>
              <w:bottom w:w="100" w:type="dxa"/>
              <w:right w:w="100" w:type="dxa"/>
            </w:tcMar>
          </w:tcPr>
          <w:p w14:paraId="10E5EDB1">
            <w:pPr>
              <w:widowControl w:val="0"/>
              <w:spacing w:line="360" w:lineRule="auto"/>
              <w:jc w:val="center"/>
              <w:rPr>
                <w:rFonts w:eastAsia="Times New Roman"/>
                <w:b/>
                <w:bCs/>
              </w:rPr>
            </w:pPr>
            <w:r>
              <w:rPr>
                <w:rFonts w:eastAsia="Times New Roman"/>
                <w:b/>
                <w:bCs/>
              </w:rPr>
              <w:t>PEO Element</w:t>
            </w:r>
          </w:p>
        </w:tc>
        <w:tc>
          <w:tcPr>
            <w:tcW w:w="7215" w:type="dxa"/>
            <w:tcMar>
              <w:top w:w="100" w:type="dxa"/>
              <w:left w:w="100" w:type="dxa"/>
              <w:bottom w:w="100" w:type="dxa"/>
              <w:right w:w="100" w:type="dxa"/>
            </w:tcMar>
          </w:tcPr>
          <w:p w14:paraId="5FDC5480">
            <w:pPr>
              <w:widowControl w:val="0"/>
              <w:spacing w:line="360" w:lineRule="auto"/>
              <w:jc w:val="center"/>
              <w:rPr>
                <w:rFonts w:eastAsia="Times New Roman"/>
                <w:b/>
                <w:bCs/>
              </w:rPr>
            </w:pPr>
            <w:r>
              <w:rPr>
                <w:rFonts w:eastAsia="Times New Roman"/>
                <w:b/>
                <w:bCs/>
              </w:rPr>
              <w:t>Description</w:t>
            </w:r>
          </w:p>
        </w:tc>
      </w:tr>
      <w:tr w14:paraId="05554DA7">
        <w:tblPrEx>
          <w:tblLayout w:type="fixed"/>
        </w:tblPrEx>
        <w:tc>
          <w:tcPr>
            <w:tcW w:w="2145" w:type="dxa"/>
            <w:tcMar>
              <w:top w:w="100" w:type="dxa"/>
              <w:left w:w="100" w:type="dxa"/>
              <w:bottom w:w="100" w:type="dxa"/>
              <w:right w:w="100" w:type="dxa"/>
            </w:tcMar>
          </w:tcPr>
          <w:p w14:paraId="50BAF99B">
            <w:pPr>
              <w:widowControl w:val="0"/>
              <w:spacing w:line="360" w:lineRule="auto"/>
              <w:jc w:val="center"/>
              <w:rPr>
                <w:rFonts w:eastAsia="Times New Roman"/>
              </w:rPr>
            </w:pPr>
            <w:r>
              <w:rPr>
                <w:rFonts w:eastAsia="Times New Roman"/>
              </w:rPr>
              <w:t>Population (P)</w:t>
            </w:r>
          </w:p>
        </w:tc>
        <w:tc>
          <w:tcPr>
            <w:tcW w:w="7215" w:type="dxa"/>
            <w:tcMar>
              <w:top w:w="100" w:type="dxa"/>
              <w:left w:w="100" w:type="dxa"/>
              <w:bottom w:w="100" w:type="dxa"/>
              <w:right w:w="100" w:type="dxa"/>
            </w:tcMar>
          </w:tcPr>
          <w:p w14:paraId="30068627">
            <w:pPr>
              <w:widowControl w:val="0"/>
              <w:spacing w:line="360" w:lineRule="auto"/>
              <w:jc w:val="center"/>
              <w:rPr>
                <w:rFonts w:eastAsia="Times New Roman"/>
              </w:rPr>
            </w:pPr>
            <w:r>
              <w:rPr>
                <w:rFonts w:eastAsia="Times New Roman"/>
              </w:rPr>
              <w:t>Young adults living in the United Kingdom.</w:t>
            </w:r>
          </w:p>
        </w:tc>
      </w:tr>
      <w:tr w14:paraId="3576E9F6">
        <w:tblPrEx>
          <w:tblLayout w:type="fixed"/>
        </w:tblPrEx>
        <w:tc>
          <w:tcPr>
            <w:tcW w:w="2145" w:type="dxa"/>
            <w:tcMar>
              <w:top w:w="100" w:type="dxa"/>
              <w:left w:w="100" w:type="dxa"/>
              <w:bottom w:w="100" w:type="dxa"/>
              <w:right w:w="100" w:type="dxa"/>
            </w:tcMar>
          </w:tcPr>
          <w:p w14:paraId="3490BE16">
            <w:pPr>
              <w:widowControl w:val="0"/>
              <w:spacing w:line="360" w:lineRule="auto"/>
              <w:jc w:val="center"/>
              <w:rPr>
                <w:rFonts w:eastAsia="Times New Roman"/>
              </w:rPr>
            </w:pPr>
            <w:r>
              <w:rPr>
                <w:rFonts w:eastAsia="Times New Roman"/>
              </w:rPr>
              <w:t>Exposure (E)</w:t>
            </w:r>
          </w:p>
        </w:tc>
        <w:tc>
          <w:tcPr>
            <w:tcW w:w="7215" w:type="dxa"/>
            <w:tcMar>
              <w:top w:w="100" w:type="dxa"/>
              <w:left w:w="100" w:type="dxa"/>
              <w:bottom w:w="100" w:type="dxa"/>
              <w:right w:w="100" w:type="dxa"/>
            </w:tcMar>
          </w:tcPr>
          <w:p w14:paraId="2FD9113C">
            <w:pPr>
              <w:widowControl w:val="0"/>
              <w:spacing w:line="360" w:lineRule="auto"/>
              <w:jc w:val="center"/>
              <w:rPr>
                <w:rFonts w:eastAsia="Times New Roman"/>
              </w:rPr>
            </w:pPr>
            <w:r>
              <w:rPr>
                <w:rFonts w:eastAsia="Times New Roman"/>
              </w:rPr>
              <w:t>Encountering social, psychological and systematic barriers in accessing mental health care, including low mental health awareness and internal and social stigma.</w:t>
            </w:r>
          </w:p>
        </w:tc>
      </w:tr>
      <w:tr w14:paraId="3D592299">
        <w:tblPrEx>
          <w:tblLayout w:type="fixed"/>
        </w:tblPrEx>
        <w:tc>
          <w:tcPr>
            <w:tcW w:w="2145" w:type="dxa"/>
            <w:tcMar>
              <w:top w:w="100" w:type="dxa"/>
              <w:left w:w="100" w:type="dxa"/>
              <w:bottom w:w="100" w:type="dxa"/>
              <w:right w:w="100" w:type="dxa"/>
            </w:tcMar>
          </w:tcPr>
          <w:p w14:paraId="2DFA60EE">
            <w:pPr>
              <w:widowControl w:val="0"/>
              <w:spacing w:line="360" w:lineRule="auto"/>
              <w:jc w:val="center"/>
              <w:rPr>
                <w:rFonts w:eastAsia="Times New Roman"/>
              </w:rPr>
            </w:pPr>
            <w:r>
              <w:rPr>
                <w:rFonts w:eastAsia="Times New Roman"/>
              </w:rPr>
              <w:t>Outcome (O)</w:t>
            </w:r>
          </w:p>
        </w:tc>
        <w:tc>
          <w:tcPr>
            <w:tcW w:w="7215" w:type="dxa"/>
            <w:tcMar>
              <w:top w:w="100" w:type="dxa"/>
              <w:left w:w="100" w:type="dxa"/>
              <w:bottom w:w="100" w:type="dxa"/>
              <w:right w:w="100" w:type="dxa"/>
            </w:tcMar>
          </w:tcPr>
          <w:p w14:paraId="796546C6">
            <w:pPr>
              <w:widowControl w:val="0"/>
              <w:spacing w:line="360" w:lineRule="auto"/>
              <w:jc w:val="center"/>
              <w:rPr>
                <w:rFonts w:eastAsia="Times New Roman"/>
              </w:rPr>
            </w:pPr>
            <w:r>
              <w:rPr>
                <w:rFonts w:eastAsia="Times New Roman"/>
              </w:rPr>
              <w:t>Reduced utilisation of formal mental health services, unmet mental health needs and dropout from care pathway.</w:t>
            </w:r>
          </w:p>
        </w:tc>
      </w:tr>
    </w:tbl>
    <w:p w14:paraId="1F912D69">
      <w:pPr>
        <w:spacing w:line="360" w:lineRule="auto"/>
        <w:jc w:val="center"/>
        <w:rPr>
          <w:rFonts w:eastAsia="Times New Roman"/>
          <w:b/>
          <w:bCs/>
        </w:rPr>
      </w:pPr>
      <w:r>
        <w:rPr>
          <w:rFonts w:eastAsia="Times New Roman"/>
          <w:b/>
          <w:bCs/>
        </w:rPr>
        <w:t>Table 1: PEO Framework</w:t>
      </w:r>
    </w:p>
    <w:p w14:paraId="1F87E937">
      <w:pPr>
        <w:spacing w:line="360" w:lineRule="auto"/>
        <w:jc w:val="center"/>
        <w:rPr>
          <w:rFonts w:eastAsia="Times New Roman"/>
        </w:rPr>
      </w:pPr>
      <w:r>
        <w:rPr>
          <w:rFonts w:eastAsia="Times New Roman"/>
        </w:rPr>
        <w:t>Source: Self-created</w:t>
      </w:r>
    </w:p>
    <w:p w14:paraId="3C0AB52D">
      <w:pPr>
        <w:pStyle w:val="3"/>
      </w:pPr>
      <w:bookmarkStart w:id="20" w:name="_Toc237625174"/>
      <w:r>
        <w:t>Information sources and databases searching</w:t>
      </w:r>
      <w:bookmarkEnd w:id="20"/>
    </w:p>
    <w:p w14:paraId="01D56328">
      <w:pPr>
        <w:spacing w:line="360" w:lineRule="auto"/>
        <w:jc w:val="both"/>
        <w:rPr>
          <w:rFonts w:eastAsia="Times New Roman"/>
          <w:highlight w:val="yellow"/>
        </w:rPr>
      </w:pPr>
      <w:r>
        <w:rPr>
          <w:rFonts w:eastAsia="Times New Roman"/>
        </w:rPr>
        <w:t xml:space="preserve">In this study, a detailed search of the literature will be conducted with the help of various databases. The confirmed databases for study selection in this research are Google Scholar, Web of Science, PubMed, CINAHL and Science Direct. All of these databases incorporate a large number of peer-reviewed journals in accordance with Mental health services, self-stigma, health inequalities, psychological therapies, depression and mental health literacy (Westberg et al., 2022). </w:t>
      </w:r>
    </w:p>
    <w:p w14:paraId="7249A6E8">
      <w:pPr>
        <w:pStyle w:val="3"/>
      </w:pPr>
      <w:bookmarkStart w:id="21" w:name="_Toc237625175"/>
      <w:r>
        <w:t>Search Strategy</w:t>
      </w:r>
      <w:bookmarkEnd w:id="21"/>
    </w:p>
    <w:p w14:paraId="0E950706">
      <w:pPr>
        <w:spacing w:line="360" w:lineRule="auto"/>
        <w:jc w:val="both"/>
        <w:rPr>
          <w:rFonts w:eastAsia="Times New Roman"/>
        </w:rPr>
      </w:pPr>
      <w:r>
        <w:rPr>
          <w:rFonts w:eastAsia="Times New Roman"/>
        </w:rPr>
        <w:t xml:space="preserve">The search terms will be composed of the key points of the research questions and will be done by the Boolean operators such as ‘AND’, 'OR’, and ‘NOT’. </w:t>
      </w:r>
    </w:p>
    <w:p w14:paraId="063B3B96">
      <w:pPr>
        <w:spacing w:line="360" w:lineRule="auto"/>
        <w:jc w:val="both"/>
        <w:rPr>
          <w:rFonts w:eastAsia="Times New Roman"/>
          <w:b/>
          <w:bCs/>
        </w:rPr>
      </w:pPr>
    </w:p>
    <w:tbl>
      <w:tblPr>
        <w:tblStyle w:val="20"/>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3720"/>
        <w:gridCol w:w="5640"/>
      </w:tblGrid>
      <w:tr w14:paraId="31A810EE">
        <w:tblPrEx>
          <w:tblLayout w:type="fixed"/>
        </w:tblPrEx>
        <w:tc>
          <w:tcPr>
            <w:tcW w:w="3720" w:type="dxa"/>
            <w:tcMar>
              <w:top w:w="100" w:type="dxa"/>
              <w:left w:w="100" w:type="dxa"/>
              <w:bottom w:w="100" w:type="dxa"/>
              <w:right w:w="100" w:type="dxa"/>
            </w:tcMar>
          </w:tcPr>
          <w:p w14:paraId="2969AB22">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rFonts w:eastAsia="Times New Roman"/>
                <w:b/>
                <w:bCs/>
              </w:rPr>
            </w:pPr>
            <w:r>
              <w:rPr>
                <w:rFonts w:eastAsia="Times New Roman"/>
                <w:b/>
                <w:bCs/>
              </w:rPr>
              <w:t>Concept</w:t>
            </w:r>
          </w:p>
        </w:tc>
        <w:tc>
          <w:tcPr>
            <w:tcW w:w="5640" w:type="dxa"/>
            <w:tcMar>
              <w:top w:w="100" w:type="dxa"/>
              <w:left w:w="100" w:type="dxa"/>
              <w:bottom w:w="100" w:type="dxa"/>
              <w:right w:w="100" w:type="dxa"/>
            </w:tcMar>
          </w:tcPr>
          <w:p w14:paraId="55D6EF52">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rFonts w:eastAsia="Times New Roman"/>
                <w:b/>
                <w:bCs/>
              </w:rPr>
            </w:pPr>
            <w:r>
              <w:rPr>
                <w:rFonts w:eastAsia="Times New Roman"/>
                <w:b/>
                <w:bCs/>
              </w:rPr>
              <w:t>Search terms</w:t>
            </w:r>
          </w:p>
        </w:tc>
      </w:tr>
      <w:tr w14:paraId="5F77CBEA">
        <w:tblPrEx>
          <w:tblLayout w:type="fixed"/>
        </w:tblPrEx>
        <w:tc>
          <w:tcPr>
            <w:tcW w:w="3720" w:type="dxa"/>
            <w:tcMar>
              <w:top w:w="100" w:type="dxa"/>
              <w:left w:w="100" w:type="dxa"/>
              <w:bottom w:w="100" w:type="dxa"/>
              <w:right w:w="100" w:type="dxa"/>
            </w:tcMar>
          </w:tcPr>
          <w:p w14:paraId="179E42C5">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rFonts w:eastAsia="Times New Roman"/>
                <w:b/>
                <w:bCs/>
              </w:rPr>
            </w:pPr>
            <w:r>
              <w:rPr>
                <w:rFonts w:eastAsia="Times New Roman"/>
                <w:b/>
                <w:bCs/>
              </w:rPr>
              <w:t>Young adults</w:t>
            </w:r>
          </w:p>
        </w:tc>
        <w:tc>
          <w:tcPr>
            <w:tcW w:w="5640" w:type="dxa"/>
            <w:tcMar>
              <w:top w:w="100" w:type="dxa"/>
              <w:left w:w="100" w:type="dxa"/>
              <w:bottom w:w="100" w:type="dxa"/>
              <w:right w:w="100" w:type="dxa"/>
            </w:tcMar>
          </w:tcPr>
          <w:p w14:paraId="2D743DE9">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rFonts w:eastAsia="Times New Roman"/>
              </w:rPr>
            </w:pPr>
            <w:r>
              <w:rPr>
                <w:rFonts w:eastAsia="Times New Roman"/>
              </w:rPr>
              <w:t>“Young Adults” OR “Young People”</w:t>
            </w:r>
          </w:p>
        </w:tc>
      </w:tr>
      <w:tr w14:paraId="2CB5642F">
        <w:tblPrEx>
          <w:tblLayout w:type="fixed"/>
        </w:tblPrEx>
        <w:tc>
          <w:tcPr>
            <w:tcW w:w="3720" w:type="dxa"/>
            <w:tcMar>
              <w:top w:w="100" w:type="dxa"/>
              <w:left w:w="100" w:type="dxa"/>
              <w:bottom w:w="100" w:type="dxa"/>
              <w:right w:w="100" w:type="dxa"/>
            </w:tcMar>
          </w:tcPr>
          <w:p w14:paraId="11D6B9A9">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rFonts w:eastAsia="Times New Roman"/>
                <w:b/>
                <w:bCs/>
              </w:rPr>
            </w:pPr>
            <w:r>
              <w:rPr>
                <w:rFonts w:eastAsia="Times New Roman"/>
                <w:b/>
                <w:bCs/>
              </w:rPr>
              <w:t>Mental Health Services</w:t>
            </w:r>
          </w:p>
        </w:tc>
        <w:tc>
          <w:tcPr>
            <w:tcW w:w="5640" w:type="dxa"/>
            <w:tcMar>
              <w:top w:w="100" w:type="dxa"/>
              <w:left w:w="100" w:type="dxa"/>
              <w:bottom w:w="100" w:type="dxa"/>
              <w:right w:w="100" w:type="dxa"/>
            </w:tcMar>
          </w:tcPr>
          <w:p w14:paraId="759D4037">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rFonts w:eastAsia="Times New Roman"/>
              </w:rPr>
            </w:pPr>
            <w:r>
              <w:rPr>
                <w:rFonts w:eastAsia="Times New Roman"/>
              </w:rPr>
              <w:t>“Mental Health Care” OR “Psychiatric Service” OR “Mental Health Service”</w:t>
            </w:r>
          </w:p>
        </w:tc>
      </w:tr>
      <w:tr w14:paraId="3C99B429">
        <w:tblPrEx>
          <w:tblLayout w:type="fixed"/>
        </w:tblPrEx>
        <w:trPr>
          <w:trHeight w:val="530" w:hRule="atLeast"/>
        </w:trPr>
        <w:tc>
          <w:tcPr>
            <w:tcW w:w="3720" w:type="dxa"/>
            <w:tcMar>
              <w:top w:w="100" w:type="dxa"/>
              <w:left w:w="100" w:type="dxa"/>
              <w:bottom w:w="100" w:type="dxa"/>
              <w:right w:w="100" w:type="dxa"/>
            </w:tcMar>
          </w:tcPr>
          <w:p w14:paraId="45D12F9F">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rFonts w:eastAsia="Times New Roman"/>
                <w:b/>
                <w:bCs/>
              </w:rPr>
            </w:pPr>
            <w:r>
              <w:rPr>
                <w:rFonts w:eastAsia="Times New Roman"/>
                <w:b/>
                <w:bCs/>
              </w:rPr>
              <w:t>Barriers</w:t>
            </w:r>
          </w:p>
        </w:tc>
        <w:tc>
          <w:tcPr>
            <w:tcW w:w="5640" w:type="dxa"/>
            <w:tcMar>
              <w:top w:w="100" w:type="dxa"/>
              <w:left w:w="100" w:type="dxa"/>
              <w:bottom w:w="100" w:type="dxa"/>
              <w:right w:w="100" w:type="dxa"/>
            </w:tcMar>
          </w:tcPr>
          <w:p w14:paraId="051CCAB8">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rFonts w:eastAsia="Times New Roman"/>
              </w:rPr>
            </w:pPr>
            <w:r>
              <w:rPr>
                <w:rFonts w:eastAsia="Times New Roman"/>
              </w:rPr>
              <w:t>“Stigma” OR “Literacy” OR “Obstacles”</w:t>
            </w:r>
          </w:p>
        </w:tc>
      </w:tr>
      <w:tr w14:paraId="2D5D1551">
        <w:tblPrEx>
          <w:tblLayout w:type="fixed"/>
        </w:tblPrEx>
        <w:tc>
          <w:tcPr>
            <w:tcW w:w="3720" w:type="dxa"/>
            <w:tcMar>
              <w:top w:w="100" w:type="dxa"/>
              <w:left w:w="100" w:type="dxa"/>
              <w:bottom w:w="100" w:type="dxa"/>
              <w:right w:w="100" w:type="dxa"/>
            </w:tcMar>
          </w:tcPr>
          <w:p w14:paraId="6FA14F06">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rFonts w:eastAsia="Times New Roman"/>
                <w:b/>
                <w:bCs/>
              </w:rPr>
            </w:pPr>
            <w:r>
              <w:rPr>
                <w:rFonts w:eastAsia="Times New Roman"/>
                <w:b/>
                <w:bCs/>
              </w:rPr>
              <w:t>Location</w:t>
            </w:r>
          </w:p>
        </w:tc>
        <w:tc>
          <w:tcPr>
            <w:tcW w:w="5640" w:type="dxa"/>
            <w:tcMar>
              <w:top w:w="100" w:type="dxa"/>
              <w:left w:w="100" w:type="dxa"/>
              <w:bottom w:w="100" w:type="dxa"/>
              <w:right w:w="100" w:type="dxa"/>
            </w:tcMar>
          </w:tcPr>
          <w:p w14:paraId="1A6199FC">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rFonts w:eastAsia="Times New Roman"/>
              </w:rPr>
            </w:pPr>
            <w:r>
              <w:rPr>
                <w:rFonts w:eastAsia="Times New Roman"/>
              </w:rPr>
              <w:t>“United Kingdom” OR “UK” OR “Britain”</w:t>
            </w:r>
          </w:p>
        </w:tc>
      </w:tr>
    </w:tbl>
    <w:p w14:paraId="670783D0">
      <w:pPr>
        <w:spacing w:line="360" w:lineRule="auto"/>
        <w:jc w:val="center"/>
        <w:rPr>
          <w:rFonts w:eastAsia="Times New Roman"/>
          <w:b/>
          <w:bCs/>
        </w:rPr>
      </w:pPr>
      <w:r>
        <w:rPr>
          <w:rFonts w:eastAsia="Times New Roman"/>
          <w:b/>
          <w:bCs/>
        </w:rPr>
        <w:t>Table 2: Boolean Operators</w:t>
      </w:r>
    </w:p>
    <w:p w14:paraId="2658B607">
      <w:pPr>
        <w:spacing w:line="360" w:lineRule="auto"/>
        <w:jc w:val="center"/>
        <w:rPr>
          <w:rFonts w:eastAsia="Times New Roman"/>
        </w:rPr>
      </w:pPr>
      <w:r>
        <w:rPr>
          <w:rFonts w:eastAsia="Times New Roman"/>
        </w:rPr>
        <w:t>Source: Self-created</w:t>
      </w:r>
    </w:p>
    <w:p w14:paraId="344C00DD">
      <w:pPr>
        <w:pStyle w:val="3"/>
      </w:pPr>
      <w:bookmarkStart w:id="22" w:name="_Toc237625176"/>
      <w:r>
        <w:t>Inclusion and exclusion criteria</w:t>
      </w:r>
      <w:bookmarkEnd w:id="22"/>
    </w:p>
    <w:p w14:paraId="62C9DB5A">
      <w:pPr>
        <w:spacing w:line="360" w:lineRule="auto"/>
        <w:jc w:val="both"/>
        <w:rPr>
          <w:rFonts w:eastAsia="Times New Roman"/>
        </w:rPr>
      </w:pPr>
      <w:r>
        <w:rPr>
          <w:rFonts w:eastAsia="Times New Roman"/>
        </w:rPr>
        <w:t xml:space="preserve">In this research, the eligibility criteria will be implemented before the screening process, which will help ensure the appropriate selection of journals in alignment with the research question.  </w:t>
      </w:r>
    </w:p>
    <w:tbl>
      <w:tblPr>
        <w:tblStyle w:val="21"/>
        <w:tblW w:w="987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3120"/>
        <w:gridCol w:w="3120"/>
        <w:gridCol w:w="3630"/>
      </w:tblGrid>
      <w:tr w14:paraId="2CCC9300">
        <w:tblPrEx>
          <w:tblLayout w:type="fixed"/>
        </w:tblPrEx>
        <w:tc>
          <w:tcPr>
            <w:tcW w:w="3120" w:type="dxa"/>
            <w:tcMar>
              <w:top w:w="100" w:type="dxa"/>
              <w:left w:w="100" w:type="dxa"/>
              <w:bottom w:w="100" w:type="dxa"/>
              <w:right w:w="100" w:type="dxa"/>
            </w:tcMar>
          </w:tcPr>
          <w:p w14:paraId="74F0E6F4">
            <w:pPr>
              <w:widowControl w:val="0"/>
              <w:spacing w:line="360" w:lineRule="auto"/>
              <w:jc w:val="center"/>
              <w:rPr>
                <w:rFonts w:eastAsia="Times New Roman"/>
                <w:b/>
                <w:bCs/>
              </w:rPr>
            </w:pPr>
            <w:r>
              <w:rPr>
                <w:rFonts w:eastAsia="Times New Roman"/>
                <w:b/>
                <w:bCs/>
              </w:rPr>
              <w:t>Criteria</w:t>
            </w:r>
          </w:p>
        </w:tc>
        <w:tc>
          <w:tcPr>
            <w:tcW w:w="3120" w:type="dxa"/>
            <w:tcMar>
              <w:top w:w="100" w:type="dxa"/>
              <w:left w:w="100" w:type="dxa"/>
              <w:bottom w:w="100" w:type="dxa"/>
              <w:right w:w="100" w:type="dxa"/>
            </w:tcMar>
          </w:tcPr>
          <w:p w14:paraId="58D927FC">
            <w:pPr>
              <w:widowControl w:val="0"/>
              <w:spacing w:line="360" w:lineRule="auto"/>
              <w:jc w:val="center"/>
              <w:rPr>
                <w:rFonts w:eastAsia="Times New Roman"/>
                <w:b/>
                <w:bCs/>
              </w:rPr>
            </w:pPr>
            <w:r>
              <w:rPr>
                <w:rFonts w:eastAsia="Times New Roman"/>
                <w:b/>
                <w:bCs/>
              </w:rPr>
              <w:t>Inclusion</w:t>
            </w:r>
          </w:p>
        </w:tc>
        <w:tc>
          <w:tcPr>
            <w:tcW w:w="3630" w:type="dxa"/>
            <w:tcMar>
              <w:top w:w="100" w:type="dxa"/>
              <w:left w:w="100" w:type="dxa"/>
              <w:bottom w:w="100" w:type="dxa"/>
              <w:right w:w="100" w:type="dxa"/>
            </w:tcMar>
          </w:tcPr>
          <w:p w14:paraId="1DDFC671">
            <w:pPr>
              <w:widowControl w:val="0"/>
              <w:spacing w:line="360" w:lineRule="auto"/>
              <w:jc w:val="center"/>
              <w:rPr>
                <w:rFonts w:eastAsia="Times New Roman"/>
                <w:b/>
                <w:bCs/>
              </w:rPr>
            </w:pPr>
            <w:r>
              <w:rPr>
                <w:rFonts w:eastAsia="Times New Roman"/>
                <w:b/>
                <w:bCs/>
              </w:rPr>
              <w:t>Exclusion</w:t>
            </w:r>
          </w:p>
        </w:tc>
      </w:tr>
      <w:tr w14:paraId="58986117">
        <w:tblPrEx>
          <w:tblLayout w:type="fixed"/>
        </w:tblPrEx>
        <w:tc>
          <w:tcPr>
            <w:tcW w:w="3120" w:type="dxa"/>
            <w:tcMar>
              <w:top w:w="100" w:type="dxa"/>
              <w:left w:w="100" w:type="dxa"/>
              <w:bottom w:w="100" w:type="dxa"/>
              <w:right w:w="100" w:type="dxa"/>
            </w:tcMar>
          </w:tcPr>
          <w:p w14:paraId="3F303873">
            <w:pPr>
              <w:widowControl w:val="0"/>
              <w:spacing w:line="360" w:lineRule="auto"/>
              <w:jc w:val="center"/>
              <w:rPr>
                <w:rFonts w:eastAsia="Times New Roman"/>
                <w:b/>
                <w:bCs/>
              </w:rPr>
            </w:pPr>
            <w:r>
              <w:rPr>
                <w:rFonts w:eastAsia="Times New Roman"/>
                <w:b/>
                <w:bCs/>
              </w:rPr>
              <w:t>Publication type</w:t>
            </w:r>
          </w:p>
        </w:tc>
        <w:tc>
          <w:tcPr>
            <w:tcW w:w="3120" w:type="dxa"/>
            <w:tcMar>
              <w:top w:w="100" w:type="dxa"/>
              <w:left w:w="100" w:type="dxa"/>
              <w:bottom w:w="100" w:type="dxa"/>
              <w:right w:w="100" w:type="dxa"/>
            </w:tcMar>
          </w:tcPr>
          <w:p w14:paraId="37F25843">
            <w:pPr>
              <w:widowControl w:val="0"/>
              <w:spacing w:line="360" w:lineRule="auto"/>
              <w:jc w:val="center"/>
              <w:rPr>
                <w:rFonts w:eastAsia="Times New Roman"/>
              </w:rPr>
            </w:pPr>
            <w:r>
              <w:rPr>
                <w:rFonts w:eastAsia="Times New Roman"/>
              </w:rPr>
              <w:t>Peer-reviewed journal articles</w:t>
            </w:r>
          </w:p>
        </w:tc>
        <w:tc>
          <w:tcPr>
            <w:tcW w:w="3630" w:type="dxa"/>
            <w:tcMar>
              <w:top w:w="100" w:type="dxa"/>
              <w:left w:w="100" w:type="dxa"/>
              <w:bottom w:w="100" w:type="dxa"/>
              <w:right w:w="100" w:type="dxa"/>
            </w:tcMar>
          </w:tcPr>
          <w:p w14:paraId="6730DCED">
            <w:pPr>
              <w:widowControl w:val="0"/>
              <w:spacing w:line="360" w:lineRule="auto"/>
              <w:jc w:val="center"/>
              <w:rPr>
                <w:rFonts w:eastAsia="Times New Roman"/>
              </w:rPr>
            </w:pPr>
            <w:r>
              <w:rPr>
                <w:rFonts w:eastAsia="Times New Roman"/>
              </w:rPr>
              <w:t>Non peer-reviewed sources (Blogs, unpublished manuscripts)</w:t>
            </w:r>
          </w:p>
        </w:tc>
      </w:tr>
      <w:tr w14:paraId="708C30A7">
        <w:tblPrEx>
          <w:tblLayout w:type="fixed"/>
        </w:tblPrEx>
        <w:tc>
          <w:tcPr>
            <w:tcW w:w="3120" w:type="dxa"/>
            <w:tcMar>
              <w:top w:w="100" w:type="dxa"/>
              <w:left w:w="100" w:type="dxa"/>
              <w:bottom w:w="100" w:type="dxa"/>
              <w:right w:w="100" w:type="dxa"/>
            </w:tcMar>
          </w:tcPr>
          <w:p w14:paraId="68D185E5">
            <w:pPr>
              <w:widowControl w:val="0"/>
              <w:spacing w:line="360" w:lineRule="auto"/>
              <w:jc w:val="center"/>
              <w:rPr>
                <w:rFonts w:eastAsia="Times New Roman"/>
                <w:b/>
                <w:bCs/>
              </w:rPr>
            </w:pPr>
            <w:r>
              <w:rPr>
                <w:rFonts w:eastAsia="Times New Roman"/>
                <w:b/>
                <w:bCs/>
              </w:rPr>
              <w:t>Text Availability</w:t>
            </w:r>
          </w:p>
        </w:tc>
        <w:tc>
          <w:tcPr>
            <w:tcW w:w="3120" w:type="dxa"/>
            <w:tcMar>
              <w:top w:w="100" w:type="dxa"/>
              <w:left w:w="100" w:type="dxa"/>
              <w:bottom w:w="100" w:type="dxa"/>
              <w:right w:w="100" w:type="dxa"/>
            </w:tcMar>
          </w:tcPr>
          <w:p w14:paraId="490A9A87">
            <w:pPr>
              <w:widowControl w:val="0"/>
              <w:spacing w:line="360" w:lineRule="auto"/>
              <w:jc w:val="center"/>
              <w:rPr>
                <w:rFonts w:eastAsia="Times New Roman"/>
              </w:rPr>
            </w:pPr>
            <w:r>
              <w:rPr>
                <w:rFonts w:eastAsia="Times New Roman"/>
              </w:rPr>
              <w:t>Full-text article</w:t>
            </w:r>
          </w:p>
        </w:tc>
        <w:tc>
          <w:tcPr>
            <w:tcW w:w="3630" w:type="dxa"/>
            <w:tcMar>
              <w:top w:w="100" w:type="dxa"/>
              <w:left w:w="100" w:type="dxa"/>
              <w:bottom w:w="100" w:type="dxa"/>
              <w:right w:w="100" w:type="dxa"/>
            </w:tcMar>
          </w:tcPr>
          <w:p w14:paraId="36D6FBF1">
            <w:pPr>
              <w:widowControl w:val="0"/>
              <w:spacing w:line="360" w:lineRule="auto"/>
              <w:jc w:val="center"/>
              <w:rPr>
                <w:rFonts w:eastAsia="Times New Roman"/>
              </w:rPr>
            </w:pPr>
            <w:r>
              <w:rPr>
                <w:rFonts w:eastAsia="Times New Roman"/>
              </w:rPr>
              <w:t>Only Abstract</w:t>
            </w:r>
          </w:p>
        </w:tc>
      </w:tr>
      <w:tr w14:paraId="0F63B48B">
        <w:tblPrEx>
          <w:tblLayout w:type="fixed"/>
        </w:tblPrEx>
        <w:tc>
          <w:tcPr>
            <w:tcW w:w="3120" w:type="dxa"/>
            <w:tcMar>
              <w:top w:w="100" w:type="dxa"/>
              <w:left w:w="100" w:type="dxa"/>
              <w:bottom w:w="100" w:type="dxa"/>
              <w:right w:w="100" w:type="dxa"/>
            </w:tcMar>
          </w:tcPr>
          <w:p w14:paraId="4D336A48">
            <w:pPr>
              <w:widowControl w:val="0"/>
              <w:spacing w:line="360" w:lineRule="auto"/>
              <w:jc w:val="center"/>
              <w:rPr>
                <w:rFonts w:eastAsia="Times New Roman"/>
                <w:b/>
                <w:bCs/>
              </w:rPr>
            </w:pPr>
            <w:r>
              <w:rPr>
                <w:rFonts w:eastAsia="Times New Roman"/>
                <w:b/>
                <w:bCs/>
              </w:rPr>
              <w:t>Methodology</w:t>
            </w:r>
          </w:p>
        </w:tc>
        <w:tc>
          <w:tcPr>
            <w:tcW w:w="3120" w:type="dxa"/>
            <w:tcMar>
              <w:top w:w="100" w:type="dxa"/>
              <w:left w:w="100" w:type="dxa"/>
              <w:bottom w:w="100" w:type="dxa"/>
              <w:right w:w="100" w:type="dxa"/>
            </w:tcMar>
          </w:tcPr>
          <w:p w14:paraId="4881307C">
            <w:pPr>
              <w:widowControl w:val="0"/>
              <w:spacing w:line="360" w:lineRule="auto"/>
              <w:jc w:val="center"/>
              <w:rPr>
                <w:rFonts w:eastAsia="Times New Roman"/>
              </w:rPr>
            </w:pPr>
            <w:r>
              <w:rPr>
                <w:rFonts w:eastAsia="Times New Roman"/>
              </w:rPr>
              <w:t>Qualitative and Quantitative</w:t>
            </w:r>
          </w:p>
          <w:p w14:paraId="1F2DE735">
            <w:pPr>
              <w:widowControl w:val="0"/>
              <w:spacing w:line="360" w:lineRule="auto"/>
              <w:jc w:val="center"/>
              <w:rPr>
                <w:rFonts w:eastAsia="Times New Roman"/>
              </w:rPr>
            </w:pPr>
            <w:r>
              <w:rPr>
                <w:rFonts w:eastAsia="Times New Roman"/>
              </w:rPr>
              <w:t>(Empirical Research)</w:t>
            </w:r>
          </w:p>
          <w:p w14:paraId="3F0B8DC8">
            <w:pPr>
              <w:widowControl w:val="0"/>
              <w:spacing w:line="360" w:lineRule="auto"/>
              <w:jc w:val="center"/>
              <w:rPr>
                <w:rFonts w:eastAsia="Times New Roman"/>
              </w:rPr>
            </w:pPr>
            <w:r>
              <w:rPr>
                <w:rFonts w:eastAsia="Times New Roman"/>
              </w:rPr>
              <w:t>Systematic Literature Review Paper</w:t>
            </w:r>
          </w:p>
        </w:tc>
        <w:tc>
          <w:tcPr>
            <w:tcW w:w="3630" w:type="dxa"/>
            <w:tcMar>
              <w:top w:w="100" w:type="dxa"/>
              <w:left w:w="100" w:type="dxa"/>
              <w:bottom w:w="100" w:type="dxa"/>
              <w:right w:w="100" w:type="dxa"/>
            </w:tcMar>
          </w:tcPr>
          <w:p w14:paraId="394B0DF8">
            <w:pPr>
              <w:widowControl w:val="0"/>
              <w:spacing w:line="360" w:lineRule="auto"/>
              <w:jc w:val="center"/>
              <w:rPr>
                <w:rFonts w:eastAsia="Times New Roman"/>
              </w:rPr>
            </w:pPr>
            <w:r>
              <w:rPr>
                <w:rFonts w:eastAsia="Times New Roman"/>
              </w:rPr>
              <w:t>Thesis and dissertation</w:t>
            </w:r>
          </w:p>
        </w:tc>
      </w:tr>
      <w:tr w14:paraId="68CA5D6F">
        <w:tblPrEx>
          <w:tblLayout w:type="fixed"/>
        </w:tblPrEx>
        <w:tc>
          <w:tcPr>
            <w:tcW w:w="3120" w:type="dxa"/>
            <w:tcMar>
              <w:top w:w="100" w:type="dxa"/>
              <w:left w:w="100" w:type="dxa"/>
              <w:bottom w:w="100" w:type="dxa"/>
              <w:right w:w="100" w:type="dxa"/>
            </w:tcMar>
          </w:tcPr>
          <w:p w14:paraId="7F11FCFA">
            <w:pPr>
              <w:widowControl w:val="0"/>
              <w:spacing w:line="360" w:lineRule="auto"/>
              <w:jc w:val="center"/>
              <w:rPr>
                <w:rFonts w:eastAsia="Times New Roman"/>
                <w:b/>
                <w:bCs/>
              </w:rPr>
            </w:pPr>
            <w:r>
              <w:rPr>
                <w:rFonts w:eastAsia="Times New Roman"/>
                <w:b/>
                <w:bCs/>
              </w:rPr>
              <w:t>Language</w:t>
            </w:r>
          </w:p>
        </w:tc>
        <w:tc>
          <w:tcPr>
            <w:tcW w:w="3120" w:type="dxa"/>
            <w:tcMar>
              <w:top w:w="100" w:type="dxa"/>
              <w:left w:w="100" w:type="dxa"/>
              <w:bottom w:w="100" w:type="dxa"/>
              <w:right w:w="100" w:type="dxa"/>
            </w:tcMar>
          </w:tcPr>
          <w:p w14:paraId="702303C5">
            <w:pPr>
              <w:widowControl w:val="0"/>
              <w:spacing w:line="360" w:lineRule="auto"/>
              <w:jc w:val="center"/>
              <w:rPr>
                <w:rFonts w:eastAsia="Times New Roman"/>
              </w:rPr>
            </w:pPr>
            <w:r>
              <w:rPr>
                <w:rFonts w:eastAsia="Times New Roman"/>
              </w:rPr>
              <w:t>English</w:t>
            </w:r>
          </w:p>
        </w:tc>
        <w:tc>
          <w:tcPr>
            <w:tcW w:w="3630" w:type="dxa"/>
            <w:tcMar>
              <w:top w:w="100" w:type="dxa"/>
              <w:left w:w="100" w:type="dxa"/>
              <w:bottom w:w="100" w:type="dxa"/>
              <w:right w:w="100" w:type="dxa"/>
            </w:tcMar>
          </w:tcPr>
          <w:p w14:paraId="0A548DA3">
            <w:pPr>
              <w:widowControl w:val="0"/>
              <w:spacing w:line="360" w:lineRule="auto"/>
              <w:jc w:val="center"/>
              <w:rPr>
                <w:rFonts w:eastAsia="Times New Roman"/>
              </w:rPr>
            </w:pPr>
            <w:r>
              <w:rPr>
                <w:rFonts w:eastAsia="Times New Roman"/>
              </w:rPr>
              <w:t>Non-english</w:t>
            </w:r>
          </w:p>
        </w:tc>
      </w:tr>
      <w:tr w14:paraId="09A7CFA8">
        <w:tblPrEx>
          <w:tblLayout w:type="fixed"/>
        </w:tblPrEx>
        <w:tc>
          <w:tcPr>
            <w:tcW w:w="3120" w:type="dxa"/>
            <w:tcMar>
              <w:top w:w="100" w:type="dxa"/>
              <w:left w:w="100" w:type="dxa"/>
              <w:bottom w:w="100" w:type="dxa"/>
              <w:right w:w="100" w:type="dxa"/>
            </w:tcMar>
          </w:tcPr>
          <w:p w14:paraId="366F6682">
            <w:pPr>
              <w:widowControl w:val="0"/>
              <w:spacing w:line="360" w:lineRule="auto"/>
              <w:jc w:val="center"/>
              <w:rPr>
                <w:rFonts w:eastAsia="Times New Roman"/>
                <w:b/>
                <w:bCs/>
              </w:rPr>
            </w:pPr>
            <w:r>
              <w:rPr>
                <w:rFonts w:eastAsia="Times New Roman"/>
                <w:b/>
                <w:bCs/>
              </w:rPr>
              <w:t>Timeframe</w:t>
            </w:r>
          </w:p>
        </w:tc>
        <w:tc>
          <w:tcPr>
            <w:tcW w:w="3120" w:type="dxa"/>
            <w:tcMar>
              <w:top w:w="100" w:type="dxa"/>
              <w:left w:w="100" w:type="dxa"/>
              <w:bottom w:w="100" w:type="dxa"/>
              <w:right w:w="100" w:type="dxa"/>
            </w:tcMar>
          </w:tcPr>
          <w:p w14:paraId="6ABC5461">
            <w:pPr>
              <w:widowControl w:val="0"/>
              <w:spacing w:line="360" w:lineRule="auto"/>
              <w:jc w:val="center"/>
              <w:rPr>
                <w:rFonts w:eastAsia="Times New Roman"/>
              </w:rPr>
            </w:pPr>
            <w:r>
              <w:rPr>
                <w:rFonts w:eastAsia="Times New Roman"/>
              </w:rPr>
              <w:t>2016-2026</w:t>
            </w:r>
          </w:p>
        </w:tc>
        <w:tc>
          <w:tcPr>
            <w:tcW w:w="3630" w:type="dxa"/>
            <w:tcMar>
              <w:top w:w="100" w:type="dxa"/>
              <w:left w:w="100" w:type="dxa"/>
              <w:bottom w:w="100" w:type="dxa"/>
              <w:right w:w="100" w:type="dxa"/>
            </w:tcMar>
          </w:tcPr>
          <w:p w14:paraId="55FDEE32">
            <w:pPr>
              <w:widowControl w:val="0"/>
              <w:spacing w:line="360" w:lineRule="auto"/>
              <w:jc w:val="center"/>
              <w:rPr>
                <w:rFonts w:eastAsia="Times New Roman"/>
              </w:rPr>
            </w:pPr>
            <w:r>
              <w:rPr>
                <w:rFonts w:eastAsia="Times New Roman"/>
              </w:rPr>
              <w:t>Before 2016</w:t>
            </w:r>
          </w:p>
        </w:tc>
      </w:tr>
    </w:tbl>
    <w:p w14:paraId="05D60B32">
      <w:pPr>
        <w:spacing w:line="360" w:lineRule="auto"/>
        <w:jc w:val="center"/>
        <w:rPr>
          <w:rFonts w:eastAsia="Times New Roman"/>
          <w:b/>
          <w:bCs/>
        </w:rPr>
      </w:pPr>
      <w:r>
        <w:rPr>
          <w:rFonts w:eastAsia="Times New Roman"/>
          <w:b/>
          <w:bCs/>
        </w:rPr>
        <w:t>Table 3: Inclusion and exclusion criteria</w:t>
      </w:r>
    </w:p>
    <w:p w14:paraId="7F782240">
      <w:pPr>
        <w:spacing w:line="360" w:lineRule="auto"/>
        <w:jc w:val="center"/>
        <w:rPr>
          <w:rFonts w:eastAsia="Times New Roman"/>
        </w:rPr>
      </w:pPr>
      <w:r>
        <w:rPr>
          <w:rFonts w:eastAsia="Times New Roman"/>
        </w:rPr>
        <w:t>(Source: Self-created)</w:t>
      </w:r>
    </w:p>
    <w:p w14:paraId="3EC6EE15">
      <w:pPr>
        <w:pStyle w:val="3"/>
      </w:pPr>
      <w:bookmarkStart w:id="23" w:name="_Toc237625177"/>
      <w:r>
        <w:t>Study screening and selection</w:t>
      </w:r>
      <w:bookmarkEnd w:id="23"/>
    </w:p>
    <w:p w14:paraId="70A866C8">
      <w:pPr>
        <w:spacing w:line="360" w:lineRule="auto"/>
        <w:jc w:val="both"/>
        <w:rPr>
          <w:rFonts w:eastAsia="Times New Roman"/>
        </w:rPr>
      </w:pPr>
      <w:r>
        <w:rPr>
          <w:rFonts w:eastAsia="Times New Roman"/>
        </w:rPr>
        <w:t xml:space="preserve">The accumulated information will be uploaded to the reference management software, which is helpful for identifying duplicates for deletion. Furthermore, the collected papers will be evaluated on the aforementioned criteria. Afterwards, the selection process will be conducted by following the footsteps of PRISMA 2020 guidelines. In this context, Page et al. (2021), specified that this guideline helpful for complete and transparent reporting of the systematic review. Primarily, appropriate studies will be accumulated from various electronic databases. Afterwards, duplicate articles will be screened. Lastly, the overall selection of the studies will be done by reviewing them as per the inclusion and exclusion criteria. </w:t>
      </w:r>
    </w:p>
    <w:p w14:paraId="077BE79E">
      <w:pPr>
        <w:pStyle w:val="3"/>
      </w:pPr>
      <w:bookmarkStart w:id="24" w:name="_Toc237625178"/>
      <w:r>
        <w:t>Quality appraisal and risk of bias</w:t>
      </w:r>
      <w:bookmarkEnd w:id="24"/>
    </w:p>
    <w:p w14:paraId="37714DAC">
      <w:pPr>
        <w:spacing w:line="360" w:lineRule="auto"/>
        <w:jc w:val="both"/>
        <w:rPr>
          <w:rFonts w:eastAsia="Times New Roman"/>
          <w:highlight w:val="yellow"/>
        </w:rPr>
      </w:pPr>
      <w:r>
        <w:rPr>
          <w:rFonts w:eastAsia="Times New Roman"/>
        </w:rPr>
        <w:t xml:space="preserve">The methodological rigour of the accumulated studies will be evaluated using the appropriate validation appraisal tools, which are established based on the study design. For example, randomised controlled trials could be assessed with the help of the Cochrane Risk of Bias tool and mixed-methods studies with the assistance of the Mixed Methods Appraisal Tool (MMAT). </w:t>
      </w:r>
    </w:p>
    <w:p w14:paraId="10BD9EF2">
      <w:pPr>
        <w:pStyle w:val="3"/>
      </w:pPr>
      <w:bookmarkStart w:id="25" w:name="_Toc237625179"/>
      <w:r>
        <w:t>Data extraction and synthesis</w:t>
      </w:r>
      <w:bookmarkEnd w:id="25"/>
    </w:p>
    <w:p w14:paraId="55876D20">
      <w:pPr>
        <w:spacing w:line="360" w:lineRule="auto"/>
        <w:jc w:val="both"/>
        <w:rPr>
          <w:rFonts w:eastAsia="Times New Roman"/>
          <w:highlight w:val="yellow"/>
        </w:rPr>
      </w:pPr>
      <w:r>
        <w:rPr>
          <w:rFonts w:eastAsia="Times New Roman"/>
        </w:rPr>
        <w:t xml:space="preserve">In this study, an organised list for data extraction will be compiled to gather important information from every selected study. In addition, the extracted data will include publication year, author, country, sample characteristics, research design and the main findings. The accumulated information will be synthesised using thematic analysis. The above-mentioned method is prominent in this study as this study includes different research designs and outcome measures. </w:t>
      </w:r>
    </w:p>
    <w:p w14:paraId="47723BD7">
      <w:pPr>
        <w:spacing w:line="360" w:lineRule="auto"/>
        <w:jc w:val="both"/>
        <w:rPr>
          <w:rFonts w:eastAsia="Times New Roman"/>
        </w:rPr>
      </w:pPr>
      <w:r>
        <w:rPr>
          <w:rFonts w:eastAsia="Times New Roman"/>
        </w:rPr>
        <w:t xml:space="preserve">The findings will be structured under distinct themes such as: </w:t>
      </w:r>
    </w:p>
    <w:p w14:paraId="046E916F">
      <w:pPr>
        <w:numPr>
          <w:ilvl w:val="0"/>
          <w:numId w:val="1"/>
        </w:numPr>
        <w:spacing w:line="360" w:lineRule="auto"/>
        <w:jc w:val="both"/>
        <w:rPr>
          <w:rFonts w:eastAsia="Times New Roman"/>
        </w:rPr>
      </w:pPr>
      <w:r>
        <w:rPr>
          <w:rFonts w:eastAsia="Times New Roman"/>
        </w:rPr>
        <w:t>Individual and psychological factors</w:t>
      </w:r>
    </w:p>
    <w:p w14:paraId="20CDF923">
      <w:pPr>
        <w:numPr>
          <w:ilvl w:val="0"/>
          <w:numId w:val="1"/>
        </w:numPr>
        <w:spacing w:line="360" w:lineRule="auto"/>
        <w:jc w:val="both"/>
        <w:rPr>
          <w:rFonts w:eastAsia="Times New Roman"/>
        </w:rPr>
      </w:pPr>
      <w:r>
        <w:rPr>
          <w:rFonts w:eastAsia="Times New Roman"/>
        </w:rPr>
        <w:t>Stigma and interpersonal dynamics</w:t>
      </w:r>
    </w:p>
    <w:p w14:paraId="18DB74D5">
      <w:pPr>
        <w:numPr>
          <w:ilvl w:val="0"/>
          <w:numId w:val="1"/>
        </w:numPr>
        <w:spacing w:line="360" w:lineRule="auto"/>
        <w:jc w:val="both"/>
        <w:rPr>
          <w:rFonts w:eastAsia="Times New Roman"/>
        </w:rPr>
      </w:pPr>
      <w:r>
        <w:rPr>
          <w:rFonts w:eastAsia="Times New Roman"/>
        </w:rPr>
        <w:t>Structural and systematic barriers</w:t>
      </w:r>
    </w:p>
    <w:p w14:paraId="361DBCF0">
      <w:pPr>
        <w:numPr>
          <w:ilvl w:val="0"/>
          <w:numId w:val="1"/>
        </w:numPr>
        <w:spacing w:line="360" w:lineRule="auto"/>
        <w:jc w:val="both"/>
        <w:rPr>
          <w:rFonts w:eastAsia="Times New Roman"/>
        </w:rPr>
      </w:pPr>
      <w:r>
        <w:rPr>
          <w:rFonts w:eastAsia="Times New Roman"/>
        </w:rPr>
        <w:t xml:space="preserve">Cultural and provider factors </w:t>
      </w:r>
    </w:p>
    <w:p w14:paraId="2DE60773">
      <w:pPr>
        <w:pStyle w:val="3"/>
      </w:pPr>
      <w:bookmarkStart w:id="26" w:name="_Toc237625180"/>
      <w:r>
        <w:t>Data Analysis</w:t>
      </w:r>
      <w:bookmarkEnd w:id="26"/>
    </w:p>
    <w:p w14:paraId="6CB88C75">
      <w:pPr>
        <w:spacing w:line="360" w:lineRule="auto"/>
        <w:jc w:val="both"/>
        <w:rPr>
          <w:rFonts w:eastAsia="Times New Roman"/>
        </w:rPr>
      </w:pPr>
      <w:r>
        <w:rPr>
          <w:rFonts w:eastAsia="Times New Roman"/>
        </w:rPr>
        <w:t xml:space="preserve">Data analysis is a helpful procedure for transforming raw information into meaningful insights. In this research, thematic analysis is used to derive meaningful insights by synthesising the existing studies. Here, Ahmed et al. (2025), highlighted that thematic analysis is a widespread process for recognising, evaluating and presenting findings in research. In this research, it will be used to synthesise the finally selected papers to derive the obstacles to accessing mental health care by UK-based young adults. </w:t>
      </w:r>
    </w:p>
    <w:p w14:paraId="7EF161DB">
      <w:pPr>
        <w:pStyle w:val="2"/>
      </w:pPr>
      <w:bookmarkStart w:id="27" w:name="_Toc237625181"/>
      <w:r>
        <w:t>Ethical considerations</w:t>
      </w:r>
      <w:bookmarkEnd w:id="27"/>
      <w:r>
        <w:t xml:space="preserve"> </w:t>
      </w:r>
    </w:p>
    <w:p w14:paraId="0D440A6B">
      <w:pPr>
        <w:spacing w:line="360" w:lineRule="auto"/>
        <w:jc w:val="both"/>
        <w:rPr>
          <w:rFonts w:eastAsia="Times New Roman"/>
        </w:rPr>
      </w:pPr>
      <w:r>
        <w:rPr>
          <w:rFonts w:eastAsia="Times New Roman"/>
        </w:rPr>
        <w:t xml:space="preserve">The proper acknowledgement of ethical considerations helps to maintain objectivity in the study and decreases publication and selection bias. In this research, proper Harvard referencing will be maintained through proper citations and referencing to prevent plagiarism. Here, Divecha et al. (2023), found that maintaining proper references is helpful for upholding the academic integrity of the study through acknowledging the original sources of the information. By transparently reporting the information, the study also helps to enhance the scientific prestige of the journal. </w:t>
      </w:r>
    </w:p>
    <w:p w14:paraId="06506817">
      <w:pPr>
        <w:pStyle w:val="2"/>
      </w:pPr>
      <w:bookmarkStart w:id="28" w:name="_Toc237625182"/>
      <w:r>
        <w:t>Limitations</w:t>
      </w:r>
      <w:bookmarkEnd w:id="28"/>
    </w:p>
    <w:p w14:paraId="55B5FD31">
      <w:pPr>
        <w:spacing w:line="360" w:lineRule="auto"/>
        <w:jc w:val="both"/>
        <w:rPr>
          <w:rFonts w:eastAsia="Times New Roman"/>
        </w:rPr>
      </w:pPr>
      <w:r>
        <w:rPr>
          <w:rFonts w:eastAsia="Times New Roman"/>
        </w:rPr>
        <w:t xml:space="preserve">The review can be affected by publication bias, as findings with comprehensive insights have a higher chance of being published. Correspondingly, differences in the populations, definitions and study designs can prohibit synthesis and comparison, while diminishing the judgment of researchers during the quality appraisal, interpretation and screening can bring subjectivity (Shaheen et al., 2023). The aforementioned limitations can be mitigated through systematic screening, transparent reporting, prespecified eligibility criteria, quality appraisal and consistent adherence to systematic review reporting guidance (Page et al., 2021). </w:t>
      </w:r>
    </w:p>
    <w:p w14:paraId="41BF1B8A">
      <w:pPr>
        <w:pStyle w:val="2"/>
      </w:pPr>
      <w:bookmarkStart w:id="29" w:name="_Toc237625183"/>
      <w:r>
        <w:t>Timeline and expected contribution</w:t>
      </w:r>
      <w:bookmarkEnd w:id="29"/>
    </w:p>
    <w:p w14:paraId="5B9055B2">
      <w:pPr>
        <w:spacing w:line="360" w:lineRule="auto"/>
        <w:jc w:val="center"/>
        <w:rPr>
          <w:rFonts w:eastAsia="Times New Roman"/>
        </w:rPr>
      </w:pPr>
      <w:r>
        <w:rPr>
          <w:rFonts w:eastAsia="Times New Roman"/>
        </w:rPr>
        <w:drawing>
          <wp:inline distT="114300" distB="114300" distL="114300" distR="114300">
            <wp:extent cx="5943600" cy="3429000"/>
            <wp:effectExtent l="25400" t="25400" r="25400" b="25400"/>
            <wp:docPr id="9" name="image3.png"/>
            <wp:cNvGraphicFramePr/>
            <a:graphic xmlns:a="http://schemas.openxmlformats.org/drawingml/2006/main">
              <a:graphicData uri="http://schemas.openxmlformats.org/drawingml/2006/picture">
                <pic:pic xmlns:pic="http://schemas.openxmlformats.org/drawingml/2006/picture">
                  <pic:nvPicPr>
                    <pic:cNvPr id="9" name="image3.png"/>
                    <pic:cNvPicPr preferRelativeResize="0"/>
                  </pic:nvPicPr>
                  <pic:blipFill>
                    <a:blip r:embed="rId7"/>
                    <a:srcRect/>
                    <a:stretch>
                      <a:fillRect/>
                    </a:stretch>
                  </pic:blipFill>
                  <pic:spPr>
                    <a:xfrm>
                      <a:off x="0" y="0"/>
                      <a:ext cx="5943600" cy="3429000"/>
                    </a:xfrm>
                    <a:prstGeom prst="rect">
                      <a:avLst/>
                    </a:prstGeom>
                    <a:ln w="25400">
                      <a:solidFill>
                        <a:srgbClr val="000000"/>
                      </a:solidFill>
                      <a:prstDash val="solid"/>
                    </a:ln>
                  </pic:spPr>
                </pic:pic>
              </a:graphicData>
            </a:graphic>
          </wp:inline>
        </w:drawing>
      </w:r>
    </w:p>
    <w:p w14:paraId="4B348254">
      <w:pPr>
        <w:spacing w:line="360" w:lineRule="auto"/>
        <w:jc w:val="center"/>
        <w:rPr>
          <w:rFonts w:eastAsia="Times New Roman"/>
          <w:b/>
          <w:bCs/>
        </w:rPr>
      </w:pPr>
      <w:r>
        <w:rPr>
          <w:rFonts w:eastAsia="Times New Roman"/>
          <w:b/>
          <w:bCs/>
        </w:rPr>
        <w:t>Figure 3: Gantt Chart</w:t>
      </w:r>
    </w:p>
    <w:p w14:paraId="3878A33D">
      <w:pPr>
        <w:spacing w:line="360" w:lineRule="auto"/>
        <w:jc w:val="center"/>
        <w:rPr>
          <w:rFonts w:eastAsia="Times New Roman"/>
        </w:rPr>
      </w:pPr>
      <w:r>
        <w:rPr>
          <w:rFonts w:eastAsia="Times New Roman"/>
        </w:rPr>
        <w:t>(Source: Self-created)</w:t>
      </w:r>
    </w:p>
    <w:p w14:paraId="071B2305">
      <w:pPr>
        <w:spacing w:line="360" w:lineRule="auto"/>
        <w:jc w:val="both"/>
        <w:rPr>
          <w:rFonts w:eastAsia="Times New Roman"/>
        </w:rPr>
      </w:pPr>
      <w:r>
        <w:rPr>
          <w:rFonts w:eastAsia="Times New Roman"/>
        </w:rPr>
        <w:t xml:space="preserve">The review is anticipated to provide an understanding of the evidence on individual, systemic, and cultural levels of obstacles to obtain mental health care for younger adults in the UK. This will be helpful for strengthening evidence-based decision-making and promoting equal opportunity for getting support. </w:t>
      </w:r>
    </w:p>
    <w:p w14:paraId="371B31B6">
      <w:pPr>
        <w:spacing w:line="360" w:lineRule="auto"/>
        <w:jc w:val="both"/>
        <w:rPr>
          <w:rFonts w:eastAsia="Times New Roman"/>
        </w:rPr>
      </w:pPr>
    </w:p>
    <w:p w14:paraId="294EE41E">
      <w:pPr>
        <w:spacing w:line="360" w:lineRule="auto"/>
        <w:jc w:val="both"/>
        <w:rPr>
          <w:rFonts w:eastAsia="Times New Roman"/>
        </w:rPr>
      </w:pPr>
    </w:p>
    <w:p w14:paraId="529213EF">
      <w:pPr>
        <w:spacing w:line="360" w:lineRule="auto"/>
        <w:jc w:val="both"/>
        <w:rPr>
          <w:rFonts w:eastAsia="Times New Roman"/>
        </w:rPr>
      </w:pPr>
    </w:p>
    <w:p w14:paraId="4913AB23">
      <w:pPr>
        <w:spacing w:line="360" w:lineRule="auto"/>
        <w:jc w:val="both"/>
        <w:rPr>
          <w:rFonts w:eastAsia="Times New Roman"/>
        </w:rPr>
      </w:pPr>
    </w:p>
    <w:p w14:paraId="12994C76">
      <w:pPr>
        <w:spacing w:line="360" w:lineRule="auto"/>
        <w:jc w:val="both"/>
        <w:rPr>
          <w:rFonts w:eastAsia="Times New Roman"/>
        </w:rPr>
      </w:pPr>
    </w:p>
    <w:p w14:paraId="1E17102E">
      <w:pPr>
        <w:spacing w:line="360" w:lineRule="auto"/>
        <w:jc w:val="both"/>
        <w:rPr>
          <w:rFonts w:eastAsia="Times New Roman"/>
        </w:rPr>
      </w:pPr>
    </w:p>
    <w:p w14:paraId="75D468DC">
      <w:pPr>
        <w:spacing w:line="360" w:lineRule="auto"/>
        <w:jc w:val="both"/>
        <w:rPr>
          <w:rFonts w:eastAsia="Times New Roman"/>
        </w:rPr>
      </w:pPr>
    </w:p>
    <w:p w14:paraId="70C7A9F1">
      <w:pPr>
        <w:spacing w:line="360" w:lineRule="auto"/>
        <w:jc w:val="both"/>
        <w:rPr>
          <w:rFonts w:eastAsia="Times New Roman"/>
        </w:rPr>
      </w:pPr>
    </w:p>
    <w:p w14:paraId="36CF83A7">
      <w:pPr>
        <w:spacing w:line="360" w:lineRule="auto"/>
        <w:jc w:val="both"/>
        <w:rPr>
          <w:rFonts w:eastAsia="Times New Roman"/>
        </w:rPr>
      </w:pPr>
    </w:p>
    <w:p w14:paraId="51FA764F">
      <w:pPr>
        <w:spacing w:line="360" w:lineRule="auto"/>
        <w:jc w:val="both"/>
        <w:rPr>
          <w:rFonts w:eastAsia="Times New Roman"/>
        </w:rPr>
      </w:pPr>
    </w:p>
    <w:p w14:paraId="109989F9">
      <w:pPr>
        <w:spacing w:line="360" w:lineRule="auto"/>
        <w:jc w:val="both"/>
        <w:rPr>
          <w:rFonts w:eastAsia="Times New Roman"/>
        </w:rPr>
      </w:pPr>
    </w:p>
    <w:p w14:paraId="6D4EBDB1">
      <w:pPr>
        <w:pStyle w:val="2"/>
      </w:pPr>
      <w:bookmarkStart w:id="30" w:name="_Toc237625184"/>
      <w:r>
        <w:t>Reference</w:t>
      </w:r>
      <w:bookmarkEnd w:id="30"/>
      <w:r>
        <w:t xml:space="preserve"> </w:t>
      </w:r>
    </w:p>
    <w:p w14:paraId="00D01DE6">
      <w:pPr>
        <w:spacing w:line="360" w:lineRule="auto"/>
        <w:jc w:val="both"/>
        <w:rPr>
          <w:rFonts w:eastAsia="Times New Roman"/>
        </w:rPr>
      </w:pPr>
      <w:r>
        <w:rPr>
          <w:rFonts w:eastAsia="Times New Roman"/>
        </w:rPr>
        <w:t xml:space="preserve">Aguirre Velasco, A., Cruz, I.S.S., Billings, J., Jimenez, M. and Rowe, S. (2020) ‘What are the barriers, facilitators and interventions targeting help-seeking behaviours for common mental health problems in adolescents? A systematic review’, </w:t>
      </w:r>
      <w:r>
        <w:rPr>
          <w:rFonts w:eastAsia="Times New Roman"/>
          <w:i/>
          <w:iCs/>
        </w:rPr>
        <w:t>BMC psychiatry</w:t>
      </w:r>
      <w:r>
        <w:rPr>
          <w:rFonts w:eastAsia="Times New Roman"/>
        </w:rPr>
        <w:t xml:space="preserve">, 20(1), p.293. Available at: </w:t>
      </w:r>
      <w:r>
        <w:fldChar w:fldCharType="begin"/>
      </w:r>
      <w:r>
        <w:instrText xml:space="preserve"> HYPERLINK "https://doi.org/10.1186/s12888-020-02659-0" \h </w:instrText>
      </w:r>
      <w:r>
        <w:fldChar w:fldCharType="separate"/>
      </w:r>
      <w:r>
        <w:rPr>
          <w:rFonts w:eastAsia="Times New Roman"/>
          <w:color w:val="1155CC"/>
          <w:u w:val="single"/>
        </w:rPr>
        <w:t>https://doi.org/10.1186/s12888-020-02659-0</w:t>
      </w:r>
      <w:r>
        <w:rPr>
          <w:rFonts w:eastAsia="Times New Roman"/>
          <w:color w:val="1155CC"/>
          <w:u w:val="single"/>
        </w:rPr>
        <w:fldChar w:fldCharType="end"/>
      </w:r>
      <w:r>
        <w:rPr>
          <w:rFonts w:eastAsia="Times New Roman"/>
        </w:rPr>
        <w:t xml:space="preserve"> </w:t>
      </w:r>
    </w:p>
    <w:p w14:paraId="4B17B7ED">
      <w:pPr>
        <w:spacing w:line="360" w:lineRule="auto"/>
        <w:jc w:val="both"/>
        <w:rPr>
          <w:rFonts w:eastAsia="Times New Roman"/>
        </w:rPr>
      </w:pPr>
      <w:r>
        <w:rPr>
          <w:rFonts w:eastAsia="Times New Roman"/>
        </w:rPr>
        <w:t xml:space="preserve">Ahmed, S.K., Mohammed, R.A., Nashwan, A.J., Ibrahim, R.H., Abdalla, A.Q., Ameen, B.M.M. and Khdhir, R.M. (2025) ‘Using thematic analysis in qualitative research’, </w:t>
      </w:r>
      <w:r>
        <w:rPr>
          <w:rFonts w:eastAsia="Times New Roman"/>
          <w:i/>
          <w:iCs/>
        </w:rPr>
        <w:t>Journal of medicine, surgery, and public health</w:t>
      </w:r>
      <w:r>
        <w:rPr>
          <w:rFonts w:eastAsia="Times New Roman"/>
        </w:rPr>
        <w:t xml:space="preserve">, 6, p.100198. Available at: </w:t>
      </w:r>
      <w:r>
        <w:fldChar w:fldCharType="begin"/>
      </w:r>
      <w:r>
        <w:instrText xml:space="preserve"> HYPERLINK "https://doi.org/10.1016/j.glmedi.2025.100198" \h </w:instrText>
      </w:r>
      <w:r>
        <w:fldChar w:fldCharType="separate"/>
      </w:r>
      <w:r>
        <w:rPr>
          <w:rFonts w:eastAsia="Times New Roman"/>
          <w:color w:val="1155CC"/>
          <w:u w:val="single"/>
        </w:rPr>
        <w:t>https://doi.org/10.1016/j.glmedi.2025.100198</w:t>
      </w:r>
      <w:r>
        <w:rPr>
          <w:rFonts w:eastAsia="Times New Roman"/>
          <w:color w:val="1155CC"/>
          <w:u w:val="single"/>
        </w:rPr>
        <w:fldChar w:fldCharType="end"/>
      </w:r>
      <w:r>
        <w:rPr>
          <w:rFonts w:eastAsia="Times New Roman"/>
        </w:rPr>
        <w:t xml:space="preserve"> </w:t>
      </w:r>
    </w:p>
    <w:p w14:paraId="67F7E1DA">
      <w:pPr>
        <w:spacing w:line="360" w:lineRule="auto"/>
        <w:jc w:val="both"/>
        <w:rPr>
          <w:rFonts w:eastAsia="Times New Roman"/>
        </w:rPr>
      </w:pPr>
      <w:r>
        <w:rPr>
          <w:rFonts w:eastAsia="Times New Roman"/>
        </w:rPr>
        <w:t xml:space="preserve">Capili, B. (2020) ‘How does research start?’, </w:t>
      </w:r>
      <w:r>
        <w:rPr>
          <w:rFonts w:eastAsia="Times New Roman"/>
          <w:i/>
          <w:iCs/>
        </w:rPr>
        <w:t>The American journal of nursing</w:t>
      </w:r>
      <w:r>
        <w:rPr>
          <w:rFonts w:eastAsia="Times New Roman"/>
        </w:rPr>
        <w:t xml:space="preserve">, 120(10), p.41. Available at: </w:t>
      </w:r>
      <w:r>
        <w:fldChar w:fldCharType="begin"/>
      </w:r>
      <w:r>
        <w:instrText xml:space="preserve"> HYPERLINK "https://doi.org/10.1097/01.NAJ.0000718644.96765.b3" \h </w:instrText>
      </w:r>
      <w:r>
        <w:fldChar w:fldCharType="separate"/>
      </w:r>
      <w:r>
        <w:rPr>
          <w:rFonts w:eastAsia="Times New Roman"/>
          <w:color w:val="1155CC"/>
          <w:u w:val="single"/>
        </w:rPr>
        <w:t>https://doi.org/10.1097/01.NAJ.0000718644.96765.b3</w:t>
      </w:r>
      <w:r>
        <w:rPr>
          <w:rFonts w:eastAsia="Times New Roman"/>
          <w:color w:val="1155CC"/>
          <w:u w:val="single"/>
        </w:rPr>
        <w:fldChar w:fldCharType="end"/>
      </w:r>
      <w:r>
        <w:rPr>
          <w:rFonts w:eastAsia="Times New Roman"/>
        </w:rPr>
        <w:t xml:space="preserve"> </w:t>
      </w:r>
    </w:p>
    <w:p w14:paraId="2BA05CEF">
      <w:pPr>
        <w:spacing w:line="360" w:lineRule="auto"/>
        <w:jc w:val="both"/>
        <w:rPr>
          <w:rFonts w:eastAsia="Times New Roman"/>
        </w:rPr>
      </w:pPr>
      <w:r>
        <w:rPr>
          <w:rFonts w:eastAsia="Times New Roman"/>
        </w:rPr>
        <w:t xml:space="preserve">CDC (2024) </w:t>
      </w:r>
      <w:r>
        <w:rPr>
          <w:rFonts w:eastAsia="Times New Roman"/>
          <w:i/>
          <w:iCs/>
        </w:rPr>
        <w:t>Mental Health</w:t>
      </w:r>
      <w:r>
        <w:rPr>
          <w:rFonts w:eastAsia="Times New Roman"/>
        </w:rPr>
        <w:t xml:space="preserve">. Available at: </w:t>
      </w:r>
      <w:r>
        <w:fldChar w:fldCharType="begin"/>
      </w:r>
      <w:r>
        <w:instrText xml:space="preserve"> HYPERLINK "https://www.cdc.gov/healthy-youth/mental-health/index.html" \h </w:instrText>
      </w:r>
      <w:r>
        <w:fldChar w:fldCharType="separate"/>
      </w:r>
      <w:r>
        <w:rPr>
          <w:rFonts w:eastAsia="Times New Roman"/>
          <w:color w:val="1155CC"/>
          <w:u w:val="single"/>
        </w:rPr>
        <w:t>https://www.cdc.gov/healthy-youth/mental-health/index.html</w:t>
      </w:r>
      <w:r>
        <w:rPr>
          <w:rFonts w:eastAsia="Times New Roman"/>
          <w:color w:val="1155CC"/>
          <w:u w:val="single"/>
        </w:rPr>
        <w:fldChar w:fldCharType="end"/>
      </w:r>
      <w:r>
        <w:rPr>
          <w:rFonts w:eastAsia="Times New Roman"/>
        </w:rPr>
        <w:t xml:space="preserve"> (Accessed: 9 August 2026). </w:t>
      </w:r>
    </w:p>
    <w:p w14:paraId="421A1683">
      <w:pPr>
        <w:spacing w:line="360" w:lineRule="auto"/>
        <w:jc w:val="both"/>
        <w:rPr>
          <w:rFonts w:eastAsia="Times New Roman"/>
        </w:rPr>
      </w:pPr>
      <w:r>
        <w:rPr>
          <w:rFonts w:eastAsia="Times New Roman"/>
        </w:rPr>
        <w:t xml:space="preserve">Cooper, Z., Roberts, B., Landery, G., Woodland, S., Collins, K.R., Majda, B.T., Stanley, S., Akkari, A., Hood, S.D. and Rodger, J. (2025) ‘Exploring the perspectives of young adults on mental healthcare and systemic health, education, and social challenges in Australia: a qualitative study’, </w:t>
      </w:r>
      <w:r>
        <w:rPr>
          <w:rFonts w:eastAsia="Times New Roman"/>
          <w:i/>
          <w:iCs/>
        </w:rPr>
        <w:t>BMC health services research</w:t>
      </w:r>
      <w:r>
        <w:rPr>
          <w:rFonts w:eastAsia="Times New Roman"/>
        </w:rPr>
        <w:t xml:space="preserve">, 25(1), p.1402. Available at: </w:t>
      </w:r>
      <w:r>
        <w:fldChar w:fldCharType="begin"/>
      </w:r>
      <w:r>
        <w:instrText xml:space="preserve"> HYPERLINK "https://doi.org/10.1186/s12913-025-13580-1" \h </w:instrText>
      </w:r>
      <w:r>
        <w:fldChar w:fldCharType="separate"/>
      </w:r>
      <w:r>
        <w:rPr>
          <w:rFonts w:eastAsia="Times New Roman"/>
          <w:color w:val="1155CC"/>
          <w:u w:val="single"/>
        </w:rPr>
        <w:t>https://doi.org/10.1186/s12913-025-13580-1</w:t>
      </w:r>
      <w:r>
        <w:rPr>
          <w:rFonts w:eastAsia="Times New Roman"/>
          <w:color w:val="1155CC"/>
          <w:u w:val="single"/>
        </w:rPr>
        <w:fldChar w:fldCharType="end"/>
      </w:r>
      <w:r>
        <w:rPr>
          <w:rFonts w:eastAsia="Times New Roman"/>
        </w:rPr>
        <w:t xml:space="preserve"> </w:t>
      </w:r>
    </w:p>
    <w:p w14:paraId="7DDE89AF">
      <w:pPr>
        <w:spacing w:line="360" w:lineRule="auto"/>
        <w:jc w:val="both"/>
        <w:rPr>
          <w:rFonts w:eastAsia="Times New Roman"/>
        </w:rPr>
      </w:pPr>
      <w:r>
        <w:rPr>
          <w:rFonts w:eastAsia="Times New Roman"/>
        </w:rPr>
        <w:t xml:space="preserve">Divecha, C.A., Tullu, M.S. and Karande, S. (2023) ‘The art of referencing: Well begun is half done!’, </w:t>
      </w:r>
      <w:r>
        <w:rPr>
          <w:rFonts w:eastAsia="Times New Roman"/>
          <w:i/>
          <w:iCs/>
        </w:rPr>
        <w:t>Journal of postgraduate medicine</w:t>
      </w:r>
      <w:r>
        <w:rPr>
          <w:rFonts w:eastAsia="Times New Roman"/>
        </w:rPr>
        <w:t xml:space="preserve">, 69(1), p.1. Available at: </w:t>
      </w:r>
      <w:r>
        <w:fldChar w:fldCharType="begin"/>
      </w:r>
      <w:r>
        <w:instrText xml:space="preserve"> HYPERLINK "https://doi.org/10.4103/jpgm.jpgm_908_22" \h </w:instrText>
      </w:r>
      <w:r>
        <w:fldChar w:fldCharType="separate"/>
      </w:r>
      <w:r>
        <w:rPr>
          <w:rFonts w:eastAsia="Times New Roman"/>
          <w:color w:val="1155CC"/>
          <w:u w:val="single"/>
        </w:rPr>
        <w:t>https://doi.org/10.4103/jpgm.jpgm_908_22</w:t>
      </w:r>
      <w:r>
        <w:rPr>
          <w:rFonts w:eastAsia="Times New Roman"/>
          <w:color w:val="1155CC"/>
          <w:u w:val="single"/>
        </w:rPr>
        <w:fldChar w:fldCharType="end"/>
      </w:r>
      <w:r>
        <w:rPr>
          <w:rFonts w:eastAsia="Times New Roman"/>
        </w:rPr>
        <w:t xml:space="preserve"> </w:t>
      </w:r>
    </w:p>
    <w:p w14:paraId="5D550691">
      <w:pPr>
        <w:spacing w:line="360" w:lineRule="auto"/>
        <w:jc w:val="both"/>
        <w:rPr>
          <w:rFonts w:eastAsia="Times New Roman"/>
        </w:rPr>
      </w:pPr>
      <w:r>
        <w:rPr>
          <w:rFonts w:eastAsia="Times New Roman"/>
        </w:rPr>
        <w:t xml:space="preserve">Kallakuri, S., Kaistha, P., Maulik, P.K. and Hackett, M.L. (2026) ‘Barriers and facilitators for adolescents seeking mental health care in India: a systematic review’, </w:t>
      </w:r>
      <w:r>
        <w:rPr>
          <w:rFonts w:eastAsia="Times New Roman"/>
          <w:i/>
          <w:iCs/>
        </w:rPr>
        <w:t>SSM-Mental Health</w:t>
      </w:r>
      <w:r>
        <w:rPr>
          <w:rFonts w:eastAsia="Times New Roman"/>
        </w:rPr>
        <w:t xml:space="preserve">, p.100652. Available at: </w:t>
      </w:r>
      <w:r>
        <w:fldChar w:fldCharType="begin"/>
      </w:r>
      <w:r>
        <w:instrText xml:space="preserve"> HYPERLINK "https://doi.org/10.1016/j.ssmmh.2026.100652" \h </w:instrText>
      </w:r>
      <w:r>
        <w:fldChar w:fldCharType="separate"/>
      </w:r>
      <w:r>
        <w:rPr>
          <w:rFonts w:eastAsia="Times New Roman"/>
          <w:color w:val="1155CC"/>
          <w:u w:val="single"/>
        </w:rPr>
        <w:t>https://doi.org/10.1016/j.ssmmh.2026.100652</w:t>
      </w:r>
      <w:r>
        <w:rPr>
          <w:rFonts w:eastAsia="Times New Roman"/>
          <w:color w:val="1155CC"/>
          <w:u w:val="single"/>
        </w:rPr>
        <w:fldChar w:fldCharType="end"/>
      </w:r>
      <w:r>
        <w:rPr>
          <w:rFonts w:eastAsia="Times New Roman"/>
        </w:rPr>
        <w:t xml:space="preserve"> </w:t>
      </w:r>
    </w:p>
    <w:p w14:paraId="21E9DC98">
      <w:pPr>
        <w:spacing w:line="360" w:lineRule="auto"/>
        <w:jc w:val="both"/>
        <w:rPr>
          <w:rFonts w:eastAsia="Times New Roman"/>
        </w:rPr>
      </w:pPr>
      <w:r>
        <w:rPr>
          <w:rFonts w:eastAsia="Times New Roman"/>
        </w:rPr>
        <w:t xml:space="preserve">Kuhlman, K.R., Delacruz, P., Lopez, S., Tran, M.L.M. and Rodgers, E.L. (2025) ‘Barriers to mental health services among at-risk and symptomatic adolescents in the community’, </w:t>
      </w:r>
      <w:r>
        <w:rPr>
          <w:rFonts w:eastAsia="Times New Roman"/>
          <w:i/>
          <w:iCs/>
        </w:rPr>
        <w:t>Child and Adolescent Psychiatry and Mental Health</w:t>
      </w:r>
      <w:r>
        <w:rPr>
          <w:rFonts w:eastAsia="Times New Roman"/>
        </w:rPr>
        <w:t xml:space="preserve">, 19(1), p.121. Available at: </w:t>
      </w:r>
      <w:r>
        <w:fldChar w:fldCharType="begin"/>
      </w:r>
      <w:r>
        <w:instrText xml:space="preserve"> HYPERLINK "https://doi.org/10.1186/s13034-025-00978-2" \h </w:instrText>
      </w:r>
      <w:r>
        <w:fldChar w:fldCharType="separate"/>
      </w:r>
      <w:r>
        <w:rPr>
          <w:rFonts w:eastAsia="Times New Roman"/>
          <w:color w:val="1155CC"/>
          <w:u w:val="single"/>
        </w:rPr>
        <w:t>https://doi.org/10.1186/s13034-025-00978-2</w:t>
      </w:r>
      <w:r>
        <w:rPr>
          <w:rFonts w:eastAsia="Times New Roman"/>
          <w:color w:val="1155CC"/>
          <w:u w:val="single"/>
        </w:rPr>
        <w:fldChar w:fldCharType="end"/>
      </w:r>
      <w:r>
        <w:rPr>
          <w:rFonts w:eastAsia="Times New Roman"/>
        </w:rPr>
        <w:t xml:space="preserve"> </w:t>
      </w:r>
    </w:p>
    <w:p w14:paraId="23C0669F">
      <w:pPr>
        <w:spacing w:line="360" w:lineRule="auto"/>
        <w:jc w:val="both"/>
        <w:rPr>
          <w:rFonts w:eastAsia="Times New Roman"/>
        </w:rPr>
      </w:pPr>
      <w:r>
        <w:rPr>
          <w:rFonts w:eastAsia="Times New Roman"/>
        </w:rPr>
        <w:t xml:space="preserve">Lewis, J and Stiebahl, S. (2025) </w:t>
      </w:r>
      <w:r>
        <w:rPr>
          <w:rFonts w:eastAsia="Times New Roman"/>
          <w:i/>
          <w:iCs/>
        </w:rPr>
        <w:t>Student mental health in England: Statistics, policy, and guidance</w:t>
      </w:r>
      <w:r>
        <w:rPr>
          <w:rFonts w:eastAsia="Times New Roman"/>
        </w:rPr>
        <w:t xml:space="preserve">. Available at: </w:t>
      </w:r>
      <w:r>
        <w:fldChar w:fldCharType="begin"/>
      </w:r>
      <w:r>
        <w:instrText xml:space="preserve"> HYPERLINK "https://commonslibrary.parliament.uk/research-briefings/cbp-8593/" \h </w:instrText>
      </w:r>
      <w:r>
        <w:fldChar w:fldCharType="separate"/>
      </w:r>
      <w:r>
        <w:rPr>
          <w:rFonts w:eastAsia="Times New Roman"/>
          <w:color w:val="1155CC"/>
          <w:u w:val="single"/>
        </w:rPr>
        <w:t>https://commonslibrary.parliament.uk/research-briefings/cbp-8593/</w:t>
      </w:r>
      <w:r>
        <w:rPr>
          <w:rFonts w:eastAsia="Times New Roman"/>
          <w:color w:val="1155CC"/>
          <w:u w:val="single"/>
        </w:rPr>
        <w:fldChar w:fldCharType="end"/>
      </w:r>
      <w:r>
        <w:rPr>
          <w:rFonts w:eastAsia="Times New Roman"/>
        </w:rPr>
        <w:t xml:space="preserve"> (Accessed: 10 August 2026). </w:t>
      </w:r>
    </w:p>
    <w:p w14:paraId="272DAC78">
      <w:pPr>
        <w:spacing w:line="360" w:lineRule="auto"/>
        <w:jc w:val="both"/>
        <w:rPr>
          <w:rFonts w:eastAsia="Times New Roman"/>
        </w:rPr>
      </w:pPr>
      <w:r>
        <w:rPr>
          <w:rFonts w:eastAsia="Times New Roman"/>
        </w:rPr>
        <w:t xml:space="preserve">Ma, Y., Ramos, C., Wen, H. and Cummings, J.R. (2025) ‘Racial and ethnic differences in mental health service use among adolescents’, </w:t>
      </w:r>
      <w:r>
        <w:rPr>
          <w:rFonts w:eastAsia="Times New Roman"/>
          <w:i/>
          <w:iCs/>
        </w:rPr>
        <w:t>JAMA Network Open</w:t>
      </w:r>
      <w:r>
        <w:rPr>
          <w:rFonts w:eastAsia="Times New Roman"/>
        </w:rPr>
        <w:t xml:space="preserve">, 8(6), p.e2516612. Available at: 10.1001/jamanetworkopen.2025.16612 </w:t>
      </w:r>
    </w:p>
    <w:p w14:paraId="1E3E2EBE">
      <w:pPr>
        <w:spacing w:line="360" w:lineRule="auto"/>
        <w:jc w:val="both"/>
        <w:rPr>
          <w:rFonts w:eastAsia="Times New Roman"/>
        </w:rPr>
      </w:pPr>
      <w:r>
        <w:rPr>
          <w:rFonts w:eastAsia="Times New Roman"/>
        </w:rPr>
        <w:t xml:space="preserve">Mehrotra, S. (2022) ‘Barriers and enablers of professional help-seeking for common mental health concerns: perspectives of distressed non-treatment seeking young adults’, </w:t>
      </w:r>
      <w:r>
        <w:rPr>
          <w:rFonts w:eastAsia="Times New Roman"/>
          <w:i/>
          <w:iCs/>
        </w:rPr>
        <w:t>Online Journal of Health and Allied Sciences</w:t>
      </w:r>
      <w:r>
        <w:rPr>
          <w:rFonts w:eastAsia="Times New Roman"/>
        </w:rPr>
        <w:t xml:space="preserve">, 21(2). Available at: </w:t>
      </w:r>
      <w:r>
        <w:fldChar w:fldCharType="begin"/>
      </w:r>
      <w:r>
        <w:instrText xml:space="preserve"> HYPERLINK "https://www.researchgate.net/publication/362580001_Barriers_and_Enablers_of_Professional_Help-Seeking_for_Common_Mental_Health_Concerns_Perspectives_of_Distressed_Non-Treatment_Seeking_Young_Adults" \h </w:instrText>
      </w:r>
      <w:r>
        <w:fldChar w:fldCharType="separate"/>
      </w:r>
      <w:r>
        <w:rPr>
          <w:rFonts w:eastAsia="Times New Roman"/>
          <w:color w:val="1155CC"/>
          <w:u w:val="single"/>
        </w:rPr>
        <w:t>https://www.researchgate.net/publication/362580001_Barriers_and_Enablers_of_Professional_Help-Seeking_for_Common_Mental_Health_Concerns_Perspectives_of_Distressed_Non-Treatment_Seeking_Young_Adults</w:t>
      </w:r>
      <w:r>
        <w:rPr>
          <w:rFonts w:eastAsia="Times New Roman"/>
          <w:color w:val="1155CC"/>
          <w:u w:val="single"/>
        </w:rPr>
        <w:fldChar w:fldCharType="end"/>
      </w:r>
      <w:r>
        <w:rPr>
          <w:rFonts w:eastAsia="Times New Roman"/>
        </w:rPr>
        <w:t xml:space="preserve"> </w:t>
      </w:r>
    </w:p>
    <w:p w14:paraId="5293FCE0">
      <w:pPr>
        <w:spacing w:line="360" w:lineRule="auto"/>
        <w:jc w:val="both"/>
        <w:rPr>
          <w:rFonts w:eastAsia="Times New Roman"/>
        </w:rPr>
      </w:pPr>
      <w:r>
        <w:rPr>
          <w:rFonts w:eastAsia="Times New Roman"/>
        </w:rPr>
        <w:t xml:space="preserve">Meng, J.F. and Wiznitzer, E. (2024) ‘Factors associated with not receiving mental health services among children with a mental disorder in early childhood in the United States, 2021–2022’, </w:t>
      </w:r>
      <w:r>
        <w:rPr>
          <w:rFonts w:eastAsia="Times New Roman"/>
          <w:i/>
          <w:iCs/>
        </w:rPr>
        <w:t>Preventing chronic disease</w:t>
      </w:r>
      <w:r>
        <w:rPr>
          <w:rFonts w:eastAsia="Times New Roman"/>
        </w:rPr>
        <w:t xml:space="preserve">, 21, p.E79. Available at: </w:t>
      </w:r>
      <w:r>
        <w:fldChar w:fldCharType="begin"/>
      </w:r>
      <w:r>
        <w:instrText xml:space="preserve"> HYPERLINK "http://dx.doi.org/10.5888/pcd21.240126" \h </w:instrText>
      </w:r>
      <w:r>
        <w:fldChar w:fldCharType="separate"/>
      </w:r>
      <w:r>
        <w:rPr>
          <w:rFonts w:eastAsia="Times New Roman"/>
          <w:color w:val="1155CC"/>
          <w:u w:val="single"/>
        </w:rPr>
        <w:t>http://dx.doi.org/10.5888/pcd21.240126</w:t>
      </w:r>
      <w:r>
        <w:rPr>
          <w:rFonts w:eastAsia="Times New Roman"/>
          <w:color w:val="1155CC"/>
          <w:u w:val="single"/>
        </w:rPr>
        <w:fldChar w:fldCharType="end"/>
      </w:r>
      <w:r>
        <w:rPr>
          <w:rFonts w:eastAsia="Times New Roman"/>
        </w:rPr>
        <w:t xml:space="preserve"> </w:t>
      </w:r>
    </w:p>
    <w:p w14:paraId="1258ECA7">
      <w:pPr>
        <w:spacing w:line="360" w:lineRule="auto"/>
        <w:jc w:val="both"/>
        <w:rPr>
          <w:rFonts w:eastAsia="Times New Roman"/>
        </w:rPr>
      </w:pPr>
      <w:r>
        <w:rPr>
          <w:rFonts w:eastAsia="Times New Roman"/>
        </w:rPr>
        <w:t xml:space="preserve">Mental Health Foundation (2025) </w:t>
      </w:r>
      <w:r>
        <w:rPr>
          <w:rFonts w:eastAsia="Times New Roman"/>
          <w:i/>
          <w:iCs/>
        </w:rPr>
        <w:t>Mental health inequalities in the UK</w:t>
      </w:r>
      <w:r>
        <w:rPr>
          <w:rFonts w:eastAsia="Times New Roman"/>
        </w:rPr>
        <w:t xml:space="preserve">. Available at: </w:t>
      </w:r>
      <w:r>
        <w:fldChar w:fldCharType="begin"/>
      </w:r>
      <w:r>
        <w:instrText xml:space="preserve"> HYPERLINK "https://www.mentalhealth.org.uk/explore-mental-health/blogs/mental-health-inequalities-uk" \h </w:instrText>
      </w:r>
      <w:r>
        <w:fldChar w:fldCharType="separate"/>
      </w:r>
      <w:r>
        <w:rPr>
          <w:rFonts w:eastAsia="Times New Roman"/>
          <w:color w:val="1155CC"/>
          <w:u w:val="single"/>
        </w:rPr>
        <w:t>https://www.mentalhealth.org.uk/explore-mental-health/blogs/mental-health-inequalities-uk</w:t>
      </w:r>
      <w:r>
        <w:rPr>
          <w:rFonts w:eastAsia="Times New Roman"/>
          <w:color w:val="1155CC"/>
          <w:u w:val="single"/>
        </w:rPr>
        <w:fldChar w:fldCharType="end"/>
      </w:r>
      <w:r>
        <w:rPr>
          <w:rFonts w:eastAsia="Times New Roman"/>
        </w:rPr>
        <w:t xml:space="preserve"> (Accessed: 10 August 2026).</w:t>
      </w:r>
    </w:p>
    <w:p w14:paraId="787B7CE2">
      <w:pPr>
        <w:spacing w:line="360" w:lineRule="auto"/>
        <w:jc w:val="both"/>
        <w:rPr>
          <w:rFonts w:eastAsia="Times New Roman"/>
        </w:rPr>
      </w:pPr>
      <w:r>
        <w:rPr>
          <w:rFonts w:eastAsia="Times New Roman"/>
        </w:rPr>
        <w:t xml:space="preserve">Mental health foundation (2026) </w:t>
      </w:r>
      <w:r>
        <w:rPr>
          <w:rFonts w:eastAsia="Times New Roman"/>
          <w:i/>
          <w:iCs/>
        </w:rPr>
        <w:t>Children and young people: statistics</w:t>
      </w:r>
      <w:r>
        <w:rPr>
          <w:rFonts w:eastAsia="Times New Roman"/>
        </w:rPr>
        <w:t xml:space="preserve">. Available at: </w:t>
      </w:r>
      <w:r>
        <w:fldChar w:fldCharType="begin"/>
      </w:r>
      <w:r>
        <w:instrText xml:space="preserve"> HYPERLINK "https://www.mentalhealth.org.uk/explore-mental-health/statistics/children-young-people-statistics" \h </w:instrText>
      </w:r>
      <w:r>
        <w:fldChar w:fldCharType="separate"/>
      </w:r>
      <w:r>
        <w:rPr>
          <w:rFonts w:eastAsia="Times New Roman"/>
          <w:color w:val="1155CC"/>
          <w:u w:val="single"/>
        </w:rPr>
        <w:t>https://www.mentalhealth.org.uk/explore-mental-health/statistics/children-young-people-statistics</w:t>
      </w:r>
      <w:r>
        <w:rPr>
          <w:rFonts w:eastAsia="Times New Roman"/>
          <w:color w:val="1155CC"/>
          <w:u w:val="single"/>
        </w:rPr>
        <w:fldChar w:fldCharType="end"/>
      </w:r>
      <w:r>
        <w:rPr>
          <w:rFonts w:eastAsia="Times New Roman"/>
        </w:rPr>
        <w:t xml:space="preserve"> (Acessed: 9 August 2026). </w:t>
      </w:r>
    </w:p>
    <w:p w14:paraId="3472EF7A">
      <w:pPr>
        <w:spacing w:line="360" w:lineRule="auto"/>
        <w:jc w:val="both"/>
        <w:rPr>
          <w:rFonts w:eastAsia="Times New Roman"/>
        </w:rPr>
      </w:pPr>
      <w:r>
        <w:rPr>
          <w:rFonts w:eastAsia="Times New Roman"/>
        </w:rPr>
        <w:t xml:space="preserve">Murray, J.K. and Knudson, S. (2023) ‘Mental health treatment and access for emerging adults in Canada: a systematic review’, </w:t>
      </w:r>
      <w:r>
        <w:rPr>
          <w:rFonts w:eastAsia="Times New Roman"/>
          <w:i/>
          <w:iCs/>
        </w:rPr>
        <w:t>Frontiers in Public Health</w:t>
      </w:r>
      <w:r>
        <w:rPr>
          <w:rFonts w:eastAsia="Times New Roman"/>
        </w:rPr>
        <w:t xml:space="preserve">, 11, p.1088999. Available at: </w:t>
      </w:r>
      <w:r>
        <w:fldChar w:fldCharType="begin"/>
      </w:r>
      <w:r>
        <w:instrText xml:space="preserve"> HYPERLINK "https://doi.org/10.3389/fpubh.2023.1088999" \h </w:instrText>
      </w:r>
      <w:r>
        <w:fldChar w:fldCharType="separate"/>
      </w:r>
      <w:r>
        <w:rPr>
          <w:rFonts w:eastAsia="Times New Roman"/>
          <w:color w:val="1155CC"/>
          <w:u w:val="single"/>
        </w:rPr>
        <w:t>https://doi.org/10.3389/fpubh.2023.1088999</w:t>
      </w:r>
      <w:r>
        <w:rPr>
          <w:rFonts w:eastAsia="Times New Roman"/>
          <w:color w:val="1155CC"/>
          <w:u w:val="single"/>
        </w:rPr>
        <w:fldChar w:fldCharType="end"/>
      </w:r>
      <w:r>
        <w:rPr>
          <w:rFonts w:eastAsia="Times New Roman"/>
        </w:rPr>
        <w:t xml:space="preserve"> </w:t>
      </w:r>
    </w:p>
    <w:p w14:paraId="3859DB16">
      <w:pPr>
        <w:spacing w:line="360" w:lineRule="auto"/>
        <w:jc w:val="both"/>
        <w:rPr>
          <w:rFonts w:eastAsia="Times New Roman"/>
        </w:rPr>
      </w:pPr>
      <w:r>
        <w:rPr>
          <w:rFonts w:eastAsia="Times New Roman"/>
        </w:rPr>
        <w:t xml:space="preserve">NHS England (2023) </w:t>
      </w:r>
      <w:r>
        <w:rPr>
          <w:rFonts w:eastAsia="Times New Roman"/>
          <w:i/>
          <w:iCs/>
        </w:rPr>
        <w:t>Mental Health of Children and Young People in England, 2023 - wave 4 follow up to the 2017 survey</w:t>
      </w:r>
      <w:r>
        <w:rPr>
          <w:rFonts w:eastAsia="Times New Roman"/>
        </w:rPr>
        <w:t xml:space="preserve">. Available at: </w:t>
      </w:r>
      <w:r>
        <w:fldChar w:fldCharType="begin"/>
      </w:r>
      <w:r>
        <w:instrText xml:space="preserve"> HYPERLINK "https://digital.nhs.uk/data-and-information/publications/statistical/mental-health-of-children-and-young-people-in-england/2023-wave-4-follow-up" \h </w:instrText>
      </w:r>
      <w:r>
        <w:fldChar w:fldCharType="separate"/>
      </w:r>
      <w:r>
        <w:rPr>
          <w:rFonts w:eastAsia="Times New Roman"/>
          <w:color w:val="1155CC"/>
          <w:u w:val="single"/>
        </w:rPr>
        <w:t>https://digital.nhs.uk/data-and-information/publications/statistical/mental-health-of-children-and-young-people-in-england/2023-wave-4-follow-up</w:t>
      </w:r>
      <w:r>
        <w:rPr>
          <w:rFonts w:eastAsia="Times New Roman"/>
          <w:color w:val="1155CC"/>
          <w:u w:val="single"/>
        </w:rPr>
        <w:fldChar w:fldCharType="end"/>
      </w:r>
      <w:r>
        <w:rPr>
          <w:rFonts w:eastAsia="Times New Roman"/>
        </w:rPr>
        <w:t xml:space="preserve"> (Acessed: 9 August 2026). </w:t>
      </w:r>
    </w:p>
    <w:p w14:paraId="6A36A492">
      <w:pPr>
        <w:spacing w:line="360" w:lineRule="auto"/>
        <w:jc w:val="both"/>
        <w:rPr>
          <w:rFonts w:eastAsia="Times New Roman"/>
        </w:rPr>
      </w:pPr>
      <w:r>
        <w:rPr>
          <w:rFonts w:eastAsia="Times New Roman"/>
        </w:rPr>
        <w:t xml:space="preserve">Page, M.J., Moher, D., Bossuyt, P.M., Boutron, I., Hoffmann, T.C., Mulrow, C.D., Shamseer, L., Tetzlaff, J.M., Akl, E.A., Brennan, S.E. and Chou, R. (2021) ‘PRISMA 2020 explanation and elaboration: updated guidance and exemplars for reporting systematic reviews’, </w:t>
      </w:r>
      <w:r>
        <w:rPr>
          <w:rFonts w:eastAsia="Times New Roman"/>
          <w:i/>
          <w:iCs/>
        </w:rPr>
        <w:t>bmj</w:t>
      </w:r>
      <w:r>
        <w:rPr>
          <w:rFonts w:eastAsia="Times New Roman"/>
        </w:rPr>
        <w:t xml:space="preserve">, 372. Available at: </w:t>
      </w:r>
      <w:r>
        <w:fldChar w:fldCharType="begin"/>
      </w:r>
      <w:r>
        <w:instrText xml:space="preserve"> HYPERLINK "https://doi.org/10.1136/bmj.n160" \h </w:instrText>
      </w:r>
      <w:r>
        <w:fldChar w:fldCharType="separate"/>
      </w:r>
      <w:r>
        <w:rPr>
          <w:rFonts w:eastAsia="Times New Roman"/>
          <w:color w:val="1155CC"/>
          <w:u w:val="single"/>
        </w:rPr>
        <w:t>https://doi.org/10.1136/bmj.n160</w:t>
      </w:r>
      <w:r>
        <w:rPr>
          <w:rFonts w:eastAsia="Times New Roman"/>
          <w:color w:val="1155CC"/>
          <w:u w:val="single"/>
        </w:rPr>
        <w:fldChar w:fldCharType="end"/>
      </w:r>
      <w:r>
        <w:rPr>
          <w:rFonts w:eastAsia="Times New Roman"/>
        </w:rPr>
        <w:t xml:space="preserve"> </w:t>
      </w:r>
    </w:p>
    <w:p w14:paraId="4D545D1D">
      <w:pPr>
        <w:spacing w:line="360" w:lineRule="auto"/>
        <w:jc w:val="both"/>
        <w:rPr>
          <w:rFonts w:eastAsia="Times New Roman"/>
        </w:rPr>
      </w:pPr>
      <w:r>
        <w:rPr>
          <w:rFonts w:eastAsia="Times New Roman"/>
        </w:rPr>
        <w:t xml:space="preserve">Schlack, R., Peerenboom, N., Neuperdt, L., Junker, S. and Beyer, A.K. (2021) ‘The effects of mental health problems in childhood and adolescence in young adults: Results of the KiGGS cohort’, </w:t>
      </w:r>
      <w:r>
        <w:rPr>
          <w:rFonts w:eastAsia="Times New Roman"/>
          <w:i/>
          <w:iCs/>
        </w:rPr>
        <w:t>Journal of health monitoring</w:t>
      </w:r>
      <w:r>
        <w:rPr>
          <w:rFonts w:eastAsia="Times New Roman"/>
        </w:rPr>
        <w:t xml:space="preserve">, 6(4), p.3. Available at: </w:t>
      </w:r>
      <w:r>
        <w:fldChar w:fldCharType="begin"/>
      </w:r>
      <w:r>
        <w:instrText xml:space="preserve"> HYPERLINK "https://doi.org/10.25646/8863" \h </w:instrText>
      </w:r>
      <w:r>
        <w:fldChar w:fldCharType="separate"/>
      </w:r>
      <w:r>
        <w:rPr>
          <w:rFonts w:eastAsia="Times New Roman"/>
          <w:color w:val="1155CC"/>
          <w:u w:val="single"/>
        </w:rPr>
        <w:t>https://doi.org/10.25646/8863</w:t>
      </w:r>
      <w:r>
        <w:rPr>
          <w:rFonts w:eastAsia="Times New Roman"/>
          <w:color w:val="1155CC"/>
          <w:u w:val="single"/>
        </w:rPr>
        <w:fldChar w:fldCharType="end"/>
      </w:r>
      <w:r>
        <w:rPr>
          <w:rFonts w:eastAsia="Times New Roman"/>
        </w:rPr>
        <w:t xml:space="preserve"> </w:t>
      </w:r>
    </w:p>
    <w:p w14:paraId="388506D7">
      <w:pPr>
        <w:spacing w:line="360" w:lineRule="auto"/>
        <w:jc w:val="both"/>
        <w:rPr>
          <w:rFonts w:eastAsia="Times New Roman"/>
        </w:rPr>
      </w:pPr>
      <w:r>
        <w:rPr>
          <w:rFonts w:eastAsia="Times New Roman"/>
        </w:rPr>
        <w:t xml:space="preserve">Shaheen, N., Shaheen, A., Ramadan, A., Hefnawy, M.T., Ramadan, A., Ibrahim, I.A., Hassanein, M.E., Ashour, M.E. and Flouty, O. (2023) ‘Appraising systematic reviews: a comprehensive guide to ensuring validity and reliability’, </w:t>
      </w:r>
      <w:r>
        <w:rPr>
          <w:rFonts w:eastAsia="Times New Roman"/>
          <w:i/>
          <w:iCs/>
        </w:rPr>
        <w:t>Frontiers in research metrics and analytics</w:t>
      </w:r>
      <w:r>
        <w:rPr>
          <w:rFonts w:eastAsia="Times New Roman"/>
        </w:rPr>
        <w:t xml:space="preserve">, 8, p.1268045. Available at: </w:t>
      </w:r>
      <w:r>
        <w:fldChar w:fldCharType="begin"/>
      </w:r>
      <w:r>
        <w:instrText xml:space="preserve"> HYPERLINK "https://doi.org/10.3389/frma.2023.1268045" \h </w:instrText>
      </w:r>
      <w:r>
        <w:fldChar w:fldCharType="separate"/>
      </w:r>
      <w:r>
        <w:rPr>
          <w:rFonts w:eastAsia="Times New Roman"/>
          <w:color w:val="1155CC"/>
          <w:u w:val="single"/>
        </w:rPr>
        <w:t>https://doi.org/10.3389/frma.2023.1268045</w:t>
      </w:r>
      <w:r>
        <w:rPr>
          <w:rFonts w:eastAsia="Times New Roman"/>
          <w:color w:val="1155CC"/>
          <w:u w:val="single"/>
        </w:rPr>
        <w:fldChar w:fldCharType="end"/>
      </w:r>
      <w:r>
        <w:rPr>
          <w:rFonts w:eastAsia="Times New Roman"/>
        </w:rPr>
        <w:t xml:space="preserve"> </w:t>
      </w:r>
    </w:p>
    <w:p w14:paraId="62642FC2">
      <w:pPr>
        <w:spacing w:line="360" w:lineRule="auto"/>
        <w:jc w:val="both"/>
        <w:rPr>
          <w:rFonts w:eastAsia="Times New Roman"/>
        </w:rPr>
      </w:pPr>
      <w:r>
        <w:rPr>
          <w:rFonts w:eastAsia="Times New Roman"/>
        </w:rPr>
        <w:t xml:space="preserve">Smela, B., Toumi, M., Świerk, K., Gawlik, K., Clay, E. and Boyer, L. (2023) ‘Systematic literature reviews over the years’, </w:t>
      </w:r>
      <w:r>
        <w:rPr>
          <w:rFonts w:eastAsia="Times New Roman"/>
          <w:i/>
          <w:iCs/>
        </w:rPr>
        <w:t>Journal of market access &amp; health policy</w:t>
      </w:r>
      <w:r>
        <w:rPr>
          <w:rFonts w:eastAsia="Times New Roman"/>
        </w:rPr>
        <w:t xml:space="preserve">, 11(1), p.2244305. Available at: </w:t>
      </w:r>
      <w:r>
        <w:fldChar w:fldCharType="begin"/>
      </w:r>
      <w:r>
        <w:instrText xml:space="preserve"> HYPERLINK "https://doi.org/10.1080/20016689.2023.2244305" \h </w:instrText>
      </w:r>
      <w:r>
        <w:fldChar w:fldCharType="separate"/>
      </w:r>
      <w:r>
        <w:rPr>
          <w:rFonts w:eastAsia="Times New Roman"/>
          <w:color w:val="1155CC"/>
          <w:u w:val="single"/>
        </w:rPr>
        <w:t>https://doi.org/10.1080/20016689.2023.2244305</w:t>
      </w:r>
      <w:r>
        <w:rPr>
          <w:rFonts w:eastAsia="Times New Roman"/>
          <w:color w:val="1155CC"/>
          <w:u w:val="single"/>
        </w:rPr>
        <w:fldChar w:fldCharType="end"/>
      </w:r>
      <w:r>
        <w:rPr>
          <w:rFonts w:eastAsia="Times New Roman"/>
        </w:rPr>
        <w:t xml:space="preserve"> </w:t>
      </w:r>
    </w:p>
    <w:p w14:paraId="38891485">
      <w:pPr>
        <w:spacing w:line="360" w:lineRule="auto"/>
        <w:jc w:val="both"/>
        <w:rPr>
          <w:rFonts w:eastAsia="Times New Roman"/>
        </w:rPr>
      </w:pPr>
      <w:r>
        <w:rPr>
          <w:rFonts w:eastAsia="Times New Roman"/>
        </w:rPr>
        <w:t xml:space="preserve">Thorpe, W.J.R. and Gutman, L.M. (2022) ‘The trajectory of mental health problems for UK emerging adults during COVID-19’, </w:t>
      </w:r>
      <w:r>
        <w:rPr>
          <w:rFonts w:eastAsia="Times New Roman"/>
          <w:i/>
          <w:iCs/>
        </w:rPr>
        <w:t>Journal of Psychiatric Research</w:t>
      </w:r>
      <w:r>
        <w:rPr>
          <w:rFonts w:eastAsia="Times New Roman"/>
        </w:rPr>
        <w:t xml:space="preserve">, 156, pp.491-497. Available at: </w:t>
      </w:r>
      <w:r>
        <w:fldChar w:fldCharType="begin"/>
      </w:r>
      <w:r>
        <w:instrText xml:space="preserve"> HYPERLINK "https://doi.org/10.1016/j.jpsychires.2022.10.068" \h </w:instrText>
      </w:r>
      <w:r>
        <w:fldChar w:fldCharType="separate"/>
      </w:r>
      <w:r>
        <w:rPr>
          <w:rFonts w:eastAsia="Times New Roman"/>
          <w:color w:val="1155CC"/>
          <w:u w:val="single"/>
        </w:rPr>
        <w:t>https://doi.org/10.1016/j.jpsychires.2022.10.068</w:t>
      </w:r>
      <w:r>
        <w:rPr>
          <w:rFonts w:eastAsia="Times New Roman"/>
          <w:color w:val="1155CC"/>
          <w:u w:val="single"/>
        </w:rPr>
        <w:fldChar w:fldCharType="end"/>
      </w:r>
      <w:r>
        <w:rPr>
          <w:rFonts w:eastAsia="Times New Roman"/>
        </w:rPr>
        <w:t xml:space="preserve"> </w:t>
      </w:r>
    </w:p>
    <w:p w14:paraId="7DE5137F">
      <w:pPr>
        <w:spacing w:line="360" w:lineRule="auto"/>
        <w:jc w:val="both"/>
        <w:rPr>
          <w:rFonts w:eastAsia="Times New Roman"/>
        </w:rPr>
      </w:pPr>
      <w:r>
        <w:rPr>
          <w:rFonts w:eastAsia="Times New Roman"/>
        </w:rPr>
        <w:t xml:space="preserve">UCL (2026) </w:t>
      </w:r>
      <w:r>
        <w:rPr>
          <w:rFonts w:eastAsia="Times New Roman"/>
          <w:i/>
          <w:iCs/>
        </w:rPr>
        <w:t>Mental health difficulties among young adults have doubled in past decade</w:t>
      </w:r>
      <w:r>
        <w:rPr>
          <w:rFonts w:eastAsia="Times New Roman"/>
        </w:rPr>
        <w:t xml:space="preserve">. Available at: </w:t>
      </w:r>
      <w:r>
        <w:fldChar w:fldCharType="begin"/>
      </w:r>
      <w:r>
        <w:instrText xml:space="preserve"> HYPERLINK "https://www.ucl.ac.uk/news/2026/may/mental-health-difficulties-among-young-adults-have-doubled-past-decade" \h </w:instrText>
      </w:r>
      <w:r>
        <w:fldChar w:fldCharType="separate"/>
      </w:r>
      <w:r>
        <w:rPr>
          <w:rFonts w:eastAsia="Times New Roman"/>
          <w:color w:val="1155CC"/>
          <w:u w:val="single"/>
        </w:rPr>
        <w:t>https://www.ucl.ac.uk/news/2026/may/mental-health-difficulties-among-young-adults-have-doubled-past-decade</w:t>
      </w:r>
      <w:r>
        <w:rPr>
          <w:rFonts w:eastAsia="Times New Roman"/>
          <w:color w:val="1155CC"/>
          <w:u w:val="single"/>
        </w:rPr>
        <w:fldChar w:fldCharType="end"/>
      </w:r>
      <w:r>
        <w:rPr>
          <w:rFonts w:eastAsia="Times New Roman"/>
        </w:rPr>
        <w:t xml:space="preserve"> (Accessed: 10 August 2026).</w:t>
      </w:r>
    </w:p>
    <w:p w14:paraId="5829DF87">
      <w:pPr>
        <w:spacing w:line="360" w:lineRule="auto"/>
        <w:jc w:val="both"/>
        <w:rPr>
          <w:rFonts w:eastAsia="Times New Roman"/>
        </w:rPr>
      </w:pPr>
      <w:r>
        <w:rPr>
          <w:rFonts w:eastAsia="Times New Roman"/>
        </w:rPr>
        <w:t xml:space="preserve">Udu, S.K., Chukwu, J.O., Muhammad, R. and Isiyaku, S. (2026) ‘Barriers and disparities in adolescent mental health service access in the UK: a systematic review’, </w:t>
      </w:r>
      <w:r>
        <w:rPr>
          <w:rFonts w:eastAsia="Times New Roman"/>
          <w:i/>
          <w:iCs/>
        </w:rPr>
        <w:t>Mental Health &amp; Prevention</w:t>
      </w:r>
      <w:r>
        <w:rPr>
          <w:rFonts w:eastAsia="Times New Roman"/>
        </w:rPr>
        <w:t xml:space="preserve">, p.200497. Available at: </w:t>
      </w:r>
      <w:r>
        <w:fldChar w:fldCharType="begin"/>
      </w:r>
      <w:r>
        <w:instrText xml:space="preserve"> HYPERLINK "https://doi.org/10.1016/j.mhp.2026.200497" \h </w:instrText>
      </w:r>
      <w:r>
        <w:fldChar w:fldCharType="separate"/>
      </w:r>
      <w:r>
        <w:rPr>
          <w:rFonts w:eastAsia="Times New Roman"/>
          <w:color w:val="1155CC"/>
          <w:u w:val="single"/>
        </w:rPr>
        <w:t>https://doi.org/10.1016/j.mhp.2026.200497</w:t>
      </w:r>
      <w:r>
        <w:rPr>
          <w:rFonts w:eastAsia="Times New Roman"/>
          <w:color w:val="1155CC"/>
          <w:u w:val="single"/>
        </w:rPr>
        <w:fldChar w:fldCharType="end"/>
      </w:r>
      <w:r>
        <w:rPr>
          <w:rFonts w:eastAsia="Times New Roman"/>
        </w:rPr>
        <w:t xml:space="preserve"> </w:t>
      </w:r>
    </w:p>
    <w:p w14:paraId="59712990">
      <w:pPr>
        <w:spacing w:line="360" w:lineRule="auto"/>
        <w:jc w:val="both"/>
        <w:rPr>
          <w:rFonts w:eastAsia="Times New Roman"/>
        </w:rPr>
      </w:pPr>
      <w:r>
        <w:rPr>
          <w:rFonts w:eastAsia="Times New Roman"/>
        </w:rPr>
        <w:t xml:space="preserve">Westberg, K.H., Nyholm, M., Nygren, J.M. and Svedberg, P. (2022) ‘Mental health problems among young people—a scoping review of help-seeking’, </w:t>
      </w:r>
      <w:r>
        <w:rPr>
          <w:rFonts w:eastAsia="Times New Roman"/>
          <w:i/>
          <w:iCs/>
        </w:rPr>
        <w:t>International journal of environmental research and public health</w:t>
      </w:r>
      <w:r>
        <w:rPr>
          <w:rFonts w:eastAsia="Times New Roman"/>
        </w:rPr>
        <w:t xml:space="preserve">, 19(3), p.1430. Available at: </w:t>
      </w:r>
      <w:r>
        <w:fldChar w:fldCharType="begin"/>
      </w:r>
      <w:r>
        <w:instrText xml:space="preserve"> HYPERLINK "https://doi.org/10.3390/ijerph19031430" \h </w:instrText>
      </w:r>
      <w:r>
        <w:fldChar w:fldCharType="separate"/>
      </w:r>
      <w:r>
        <w:rPr>
          <w:rFonts w:eastAsia="Times New Roman"/>
          <w:color w:val="1155CC"/>
          <w:u w:val="single"/>
        </w:rPr>
        <w:t>https://doi.org/10.3390/ijerph19031430</w:t>
      </w:r>
      <w:r>
        <w:rPr>
          <w:rFonts w:eastAsia="Times New Roman"/>
          <w:color w:val="1155CC"/>
          <w:u w:val="single"/>
        </w:rPr>
        <w:fldChar w:fldCharType="end"/>
      </w:r>
      <w:r>
        <w:rPr>
          <w:rFonts w:eastAsia="Times New Roman"/>
        </w:rPr>
        <w:t xml:space="preserve"> </w:t>
      </w:r>
    </w:p>
    <w:p w14:paraId="65546C40">
      <w:pPr>
        <w:spacing w:line="360" w:lineRule="auto"/>
        <w:jc w:val="both"/>
        <w:rPr>
          <w:rFonts w:eastAsia="Times New Roman"/>
        </w:rPr>
      </w:pPr>
      <w:r>
        <w:rPr>
          <w:rFonts w:eastAsia="Times New Roman"/>
        </w:rPr>
        <w:t xml:space="preserve">Youngminds (2026) </w:t>
      </w:r>
      <w:r>
        <w:rPr>
          <w:rFonts w:eastAsia="Times New Roman"/>
          <w:i/>
          <w:iCs/>
        </w:rPr>
        <w:t>Mental health statistics</w:t>
      </w:r>
      <w:r>
        <w:rPr>
          <w:rFonts w:eastAsia="Times New Roman"/>
        </w:rPr>
        <w:t xml:space="preserve">. Available at: </w:t>
      </w:r>
      <w:r>
        <w:fldChar w:fldCharType="begin"/>
      </w:r>
      <w:r>
        <w:instrText xml:space="preserve"> HYPERLINK "https://www.youngminds.org.uk/about-us/media-centre/mental-health-statistics/" \h </w:instrText>
      </w:r>
      <w:r>
        <w:fldChar w:fldCharType="separate"/>
      </w:r>
      <w:r>
        <w:rPr>
          <w:rFonts w:eastAsia="Times New Roman"/>
          <w:color w:val="1155CC"/>
          <w:u w:val="single"/>
        </w:rPr>
        <w:t>https://www.youngminds.org.uk/about-us/media-centre/mental-health-statistics/</w:t>
      </w:r>
      <w:r>
        <w:rPr>
          <w:rFonts w:eastAsia="Times New Roman"/>
          <w:color w:val="1155CC"/>
          <w:u w:val="single"/>
        </w:rPr>
        <w:fldChar w:fldCharType="end"/>
      </w:r>
      <w:r>
        <w:rPr>
          <w:rFonts w:eastAsia="Times New Roman"/>
        </w:rPr>
        <w:t xml:space="preserve"> (Accessed: 11 August 2026).</w:t>
      </w:r>
    </w:p>
    <w:p w14:paraId="72C9C583">
      <w:pPr>
        <w:spacing w:line="360" w:lineRule="auto"/>
        <w:jc w:val="both"/>
        <w:rPr>
          <w:rFonts w:eastAsia="Times New Roman"/>
        </w:rPr>
      </w:pPr>
      <w:r>
        <w:rPr>
          <w:rFonts w:eastAsia="Times New Roman"/>
        </w:rPr>
        <w:t xml:space="preserve">Zeleke, T.K., Tamene, F.B., Geremew, G.W., Alemayehu, T.T., Worku, M.C., Wondm, S.A., Tefera, A.M., Fitgu, A.E., Belay, W.Y., Teym, A. and Abebe, R.B. (2025) ‘Mental health treatment and its impact on survival outcomes in patients with comorbid mental health and cardiovascular diseases: a retrospective cohort study’, </w:t>
      </w:r>
      <w:r>
        <w:rPr>
          <w:rFonts w:eastAsia="Times New Roman"/>
          <w:i/>
          <w:iCs/>
        </w:rPr>
        <w:t>BMC psychiatry</w:t>
      </w:r>
      <w:r>
        <w:rPr>
          <w:rFonts w:eastAsia="Times New Roman"/>
        </w:rPr>
        <w:t xml:space="preserve">, 25(1), p.609. Available at: </w:t>
      </w:r>
      <w:r>
        <w:fldChar w:fldCharType="begin"/>
      </w:r>
      <w:r>
        <w:instrText xml:space="preserve"> HYPERLINK "https://doi.org/10.1186/s12888-025-07035-4" \h </w:instrText>
      </w:r>
      <w:r>
        <w:fldChar w:fldCharType="separate"/>
      </w:r>
      <w:r>
        <w:rPr>
          <w:rFonts w:eastAsia="Times New Roman"/>
          <w:color w:val="1155CC"/>
          <w:u w:val="single"/>
        </w:rPr>
        <w:t>https://doi.org/10.1186/s12888-025-07035-4</w:t>
      </w:r>
      <w:r>
        <w:rPr>
          <w:rFonts w:eastAsia="Times New Roman"/>
          <w:color w:val="1155CC"/>
          <w:u w:val="single"/>
        </w:rPr>
        <w:fldChar w:fldCharType="end"/>
      </w:r>
      <w:r>
        <w:rPr>
          <w:rFonts w:eastAsia="Times New Roman"/>
        </w:rPr>
        <w:t xml:space="preserve"> </w:t>
      </w:r>
    </w:p>
    <w:p w14:paraId="41AB32DE">
      <w:pPr>
        <w:spacing w:line="360" w:lineRule="auto"/>
        <w:jc w:val="both"/>
        <w:rPr>
          <w:rFonts w:eastAsia="Times New Roman"/>
        </w:rPr>
      </w:pPr>
      <w:r>
        <w:rPr>
          <w:rFonts w:eastAsia="Times New Roman"/>
        </w:rPr>
        <w:t>Zhao, R., Amanvermez, Y., Pei, J., Castro</w:t>
      </w:r>
      <w:r>
        <w:rPr>
          <w:rFonts w:ascii="Cambria Math" w:hAnsi="Cambria Math" w:eastAsia="Times New Roman" w:cs="Cambria Math"/>
        </w:rPr>
        <w:t>‐</w:t>
      </w:r>
      <w:r>
        <w:rPr>
          <w:rFonts w:eastAsia="Times New Roman"/>
        </w:rPr>
        <w:t>Ramirez, F., Rapsey, C., Garcia, C., Ebert, D.D., Haro, J.M., Fodor, L.A., David, O.A. and Rankin, O. (2025) ‘Research Review: Help</w:t>
      </w:r>
      <w:r>
        <w:rPr>
          <w:rFonts w:ascii="Cambria Math" w:hAnsi="Cambria Math" w:eastAsia="Times New Roman" w:cs="Cambria Math"/>
        </w:rPr>
        <w:t>‐</w:t>
      </w:r>
      <w:r>
        <w:rPr>
          <w:rFonts w:eastAsia="Times New Roman"/>
        </w:rPr>
        <w:t>seeking intentions, behaviors, and barriers in college students–a systematic review and meta</w:t>
      </w:r>
      <w:r>
        <w:rPr>
          <w:rFonts w:ascii="Cambria Math" w:hAnsi="Cambria Math" w:eastAsia="Times New Roman" w:cs="Cambria Math"/>
        </w:rPr>
        <w:t>‐</w:t>
      </w:r>
      <w:r>
        <w:rPr>
          <w:rFonts w:eastAsia="Times New Roman"/>
        </w:rPr>
        <w:t xml:space="preserve">analysis’, </w:t>
      </w:r>
      <w:r>
        <w:rPr>
          <w:rFonts w:eastAsia="Times New Roman"/>
          <w:i/>
          <w:iCs/>
        </w:rPr>
        <w:t>Journal of child psychology and psychiatry</w:t>
      </w:r>
      <w:r>
        <w:rPr>
          <w:rFonts w:eastAsia="Times New Roman"/>
        </w:rPr>
        <w:t xml:space="preserve">, 66(10), pp.1593-1605. Available at: 10.1111/jcpp.14145 </w:t>
      </w:r>
    </w:p>
    <w:sectPr>
      <w:pgSz w:w="12240" w:h="15840"/>
      <w:pgMar w:top="1440" w:right="1440" w:bottom="1440" w:left="1440" w:header="720" w:footer="720" w:gutter="0"/>
      <w:pgNumType w:start="1"/>
      <w:cols w:space="720"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86"/>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Segoe UI">
    <w:panose1 w:val="020B0502040204020203"/>
    <w:charset w:val="00"/>
    <w:family w:val="swiss"/>
    <w:pitch w:val="default"/>
    <w:sig w:usb0="00000000" w:usb1="00000000" w:usb2="00000009" w:usb3="00000000" w:csb0="000001FF" w:csb1="00000000"/>
  </w:font>
  <w:font w:name="Cambria Math">
    <w:panose1 w:val="02040503050406030204"/>
    <w:charset w:val="00"/>
    <w:family w:val="roman"/>
    <w:pitch w:val="default"/>
    <w:sig w:usb0="00000000" w:usb1="00000000"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FE74BC7"/>
    <w:multiLevelType w:val="multilevel"/>
    <w:tmpl w:val="6FE74BC7"/>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embedTrueTypeFonts/>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Arial" w:hAnsi="Arial" w:eastAsia="Arial" w:cs="Arial"/>
      </w:rPr>
    </w:rPrDefault>
  </w:docDefaults>
  <w:latentStyles w:count="260" w:defQFormat="0" w:defUnhideWhenUsed="1" w:defSemiHidden="1" w:defUIPriority="99" w:defLockedState="0">
    <w:lsdException w:unhideWhenUsed="0" w:uiPriority="0" w:semiHidden="0" w:name="Normal"/>
    <w:lsdException w:unhideWhenUsed="0" w:uiPriority="0" w:semiHidden="0" w:name="heading 1"/>
    <w:lsdException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unhideWhenUsed="0" w:uiPriority="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spacing w:line="276" w:lineRule="auto"/>
    </w:pPr>
    <w:rPr>
      <w:rFonts w:ascii="Arial" w:hAnsi="Arial" w:eastAsia="Arial" w:cs="Arial"/>
      <w:sz w:val="22"/>
      <w:szCs w:val="22"/>
      <w:lang w:val="en-GB" w:eastAsia="en-IN" w:bidi="ar-SA"/>
    </w:rPr>
  </w:style>
  <w:style w:type="paragraph" w:styleId="2">
    <w:name w:val="heading 1"/>
    <w:basedOn w:val="1"/>
    <w:next w:val="1"/>
    <w:uiPriority w:val="0"/>
    <w:pPr>
      <w:keepNext/>
      <w:keepLines/>
      <w:spacing w:before="400" w:after="120" w:line="360" w:lineRule="auto"/>
      <w:jc w:val="both"/>
      <w:outlineLvl w:val="0"/>
    </w:pPr>
    <w:rPr>
      <w:b/>
      <w:szCs w:val="40"/>
    </w:rPr>
  </w:style>
  <w:style w:type="paragraph" w:styleId="3">
    <w:name w:val="heading 2"/>
    <w:basedOn w:val="1"/>
    <w:next w:val="1"/>
    <w:uiPriority w:val="0"/>
    <w:pPr>
      <w:keepNext/>
      <w:keepLines/>
      <w:spacing w:before="360" w:after="120" w:line="360" w:lineRule="auto"/>
      <w:jc w:val="both"/>
      <w:outlineLvl w:val="1"/>
    </w:pPr>
    <w:rPr>
      <w:b/>
      <w:i/>
      <w:szCs w:val="32"/>
    </w:rPr>
  </w:style>
  <w:style w:type="paragraph" w:styleId="4">
    <w:name w:val="heading 3"/>
    <w:basedOn w:val="1"/>
    <w:next w:val="1"/>
    <w:uiPriority w:val="0"/>
    <w:pPr>
      <w:keepNext/>
      <w:keepLines/>
      <w:spacing w:before="320" w:after="80"/>
      <w:outlineLvl w:val="2"/>
    </w:pPr>
    <w:rPr>
      <w:color w:val="434343"/>
      <w:sz w:val="28"/>
      <w:szCs w:val="28"/>
    </w:rPr>
  </w:style>
  <w:style w:type="paragraph" w:styleId="5">
    <w:name w:val="heading 4"/>
    <w:basedOn w:val="1"/>
    <w:next w:val="1"/>
    <w:uiPriority w:val="0"/>
    <w:pPr>
      <w:keepNext/>
      <w:keepLines/>
      <w:spacing w:before="280" w:after="80"/>
      <w:outlineLvl w:val="3"/>
    </w:pPr>
    <w:rPr>
      <w:color w:val="666666"/>
      <w:sz w:val="24"/>
      <w:szCs w:val="24"/>
    </w:rPr>
  </w:style>
  <w:style w:type="paragraph" w:styleId="6">
    <w:name w:val="heading 5"/>
    <w:basedOn w:val="1"/>
    <w:next w:val="1"/>
    <w:uiPriority w:val="0"/>
    <w:pPr>
      <w:keepNext/>
      <w:keepLines/>
      <w:spacing w:before="240" w:after="80"/>
      <w:outlineLvl w:val="4"/>
    </w:pPr>
    <w:rPr>
      <w:color w:val="666666"/>
    </w:rPr>
  </w:style>
  <w:style w:type="paragraph" w:styleId="7">
    <w:name w:val="heading 6"/>
    <w:basedOn w:val="1"/>
    <w:next w:val="1"/>
    <w:uiPriority w:val="0"/>
    <w:pPr>
      <w:keepNext/>
      <w:keepLines/>
      <w:spacing w:before="240" w:after="80"/>
      <w:outlineLvl w:val="5"/>
    </w:pPr>
    <w:rPr>
      <w:i/>
      <w:iCs/>
      <w:color w:val="666666"/>
    </w:rPr>
  </w:style>
  <w:style w:type="character" w:default="1" w:styleId="14">
    <w:name w:val="Default Paragraph Font"/>
    <w:unhideWhenUsed/>
    <w:uiPriority w:val="1"/>
  </w:style>
  <w:style w:type="table" w:default="1" w:styleId="17">
    <w:name w:val="Normal Table"/>
    <w:unhideWhenUsed/>
    <w:uiPriority w:val="99"/>
    <w:tblPr>
      <w:tblLayout w:type="fixed"/>
      <w:tblCellMar>
        <w:top w:w="0" w:type="dxa"/>
        <w:left w:w="108" w:type="dxa"/>
        <w:bottom w:w="0" w:type="dxa"/>
        <w:right w:w="108" w:type="dxa"/>
      </w:tblCellMar>
    </w:tblPr>
  </w:style>
  <w:style w:type="paragraph" w:styleId="8">
    <w:name w:val="Balloon Text"/>
    <w:basedOn w:val="1"/>
    <w:link w:val="23"/>
    <w:unhideWhenUsed/>
    <w:uiPriority w:val="99"/>
    <w:pPr>
      <w:spacing w:line="240" w:lineRule="auto"/>
    </w:pPr>
    <w:rPr>
      <w:rFonts w:ascii="Segoe UI" w:hAnsi="Segoe UI" w:cs="Segoe UI"/>
      <w:sz w:val="18"/>
      <w:szCs w:val="18"/>
    </w:rPr>
  </w:style>
  <w:style w:type="paragraph" w:styleId="9">
    <w:name w:val="annotation text"/>
    <w:basedOn w:val="1"/>
    <w:link w:val="22"/>
    <w:unhideWhenUsed/>
    <w:uiPriority w:val="99"/>
    <w:pPr>
      <w:spacing w:line="240" w:lineRule="auto"/>
    </w:pPr>
    <w:rPr>
      <w:sz w:val="20"/>
      <w:szCs w:val="20"/>
    </w:rPr>
  </w:style>
  <w:style w:type="paragraph" w:styleId="10">
    <w:name w:val="Subtitle"/>
    <w:basedOn w:val="1"/>
    <w:next w:val="1"/>
    <w:uiPriority w:val="0"/>
    <w:pPr>
      <w:keepNext/>
      <w:keepLines/>
      <w:spacing w:after="320"/>
    </w:pPr>
    <w:rPr>
      <w:color w:val="666666"/>
      <w:sz w:val="30"/>
      <w:szCs w:val="30"/>
    </w:rPr>
  </w:style>
  <w:style w:type="paragraph" w:styleId="11">
    <w:name w:val="Title"/>
    <w:basedOn w:val="1"/>
    <w:next w:val="1"/>
    <w:uiPriority w:val="0"/>
    <w:pPr>
      <w:keepNext/>
      <w:keepLines/>
      <w:spacing w:after="60"/>
    </w:pPr>
    <w:rPr>
      <w:sz w:val="52"/>
      <w:szCs w:val="52"/>
    </w:rPr>
  </w:style>
  <w:style w:type="paragraph" w:styleId="12">
    <w:name w:val="toc 1"/>
    <w:basedOn w:val="1"/>
    <w:next w:val="1"/>
    <w:unhideWhenUsed/>
    <w:uiPriority w:val="39"/>
    <w:pPr>
      <w:spacing w:after="100"/>
    </w:pPr>
  </w:style>
  <w:style w:type="paragraph" w:styleId="13">
    <w:name w:val="toc 2"/>
    <w:basedOn w:val="1"/>
    <w:next w:val="1"/>
    <w:unhideWhenUsed/>
    <w:uiPriority w:val="39"/>
    <w:pPr>
      <w:spacing w:after="100"/>
      <w:ind w:left="220"/>
    </w:pPr>
  </w:style>
  <w:style w:type="character" w:styleId="15">
    <w:name w:val="annotation reference"/>
    <w:basedOn w:val="14"/>
    <w:unhideWhenUsed/>
    <w:uiPriority w:val="99"/>
    <w:rPr>
      <w:sz w:val="16"/>
      <w:szCs w:val="16"/>
    </w:rPr>
  </w:style>
  <w:style w:type="character" w:styleId="16">
    <w:name w:val="Hyperlink"/>
    <w:basedOn w:val="14"/>
    <w:unhideWhenUsed/>
    <w:uiPriority w:val="99"/>
    <w:rPr>
      <w:color w:val="0000FF" w:themeColor="hyperlink"/>
      <w:u w:val="single"/>
      <w14:textFill>
        <w14:solidFill>
          <w14:schemeClr w14:val="hlink"/>
        </w14:solidFill>
      </w14:textFill>
    </w:rPr>
  </w:style>
  <w:style w:type="table" w:customStyle="1" w:styleId="18">
    <w:name w:val="TableNormal"/>
    <w:uiPriority w:val="0"/>
    <w:tblPr>
      <w:tblLayout w:type="fixed"/>
      <w:tblCellMar>
        <w:top w:w="100" w:type="dxa"/>
        <w:left w:w="100" w:type="dxa"/>
        <w:bottom w:w="100" w:type="dxa"/>
        <w:right w:w="100" w:type="dxa"/>
      </w:tblCellMar>
    </w:tblPr>
  </w:style>
  <w:style w:type="table" w:customStyle="1" w:styleId="19">
    <w:name w:val="_Style 12"/>
    <w:basedOn w:val="18"/>
    <w:uiPriority w:val="0"/>
    <w:tblPr>
      <w:tblLayout w:type="fixed"/>
    </w:tblPr>
  </w:style>
  <w:style w:type="table" w:customStyle="1" w:styleId="20">
    <w:name w:val="_Style 13"/>
    <w:basedOn w:val="18"/>
    <w:uiPriority w:val="0"/>
    <w:tblPr>
      <w:tblLayout w:type="fixed"/>
    </w:tblPr>
  </w:style>
  <w:style w:type="table" w:customStyle="1" w:styleId="21">
    <w:name w:val="_Style 14"/>
    <w:basedOn w:val="18"/>
    <w:uiPriority w:val="0"/>
    <w:tblPr>
      <w:tblLayout w:type="fixed"/>
    </w:tblPr>
  </w:style>
  <w:style w:type="character" w:customStyle="1" w:styleId="22">
    <w:name w:val="Comment Text Char"/>
    <w:basedOn w:val="14"/>
    <w:link w:val="9"/>
    <w:semiHidden/>
    <w:uiPriority w:val="99"/>
    <w:rPr>
      <w:sz w:val="20"/>
      <w:szCs w:val="20"/>
    </w:rPr>
  </w:style>
  <w:style w:type="character" w:customStyle="1" w:styleId="23">
    <w:name w:val="Balloon Text Char"/>
    <w:basedOn w:val="14"/>
    <w:link w:val="8"/>
    <w:semiHidden/>
    <w:uiPriority w:val="99"/>
    <w:rPr>
      <w:rFonts w:ascii="Segoe UI" w:hAnsi="Segoe UI" w:cs="Segoe UI"/>
      <w:sz w:val="18"/>
      <w:szCs w:val="18"/>
    </w:rPr>
  </w:style>
  <w:style w:type="paragraph" w:customStyle="1" w:styleId="24">
    <w:name w:val="TOC Heading"/>
    <w:basedOn w:val="2"/>
    <w:next w:val="1"/>
    <w:unhideWhenUsed/>
    <w:qFormat/>
    <w:uiPriority w:val="39"/>
    <w:pPr>
      <w:spacing w:before="240" w:after="0" w:line="259" w:lineRule="auto"/>
      <w:jc w:val="left"/>
      <w:outlineLvl w:val="9"/>
    </w:pPr>
    <w:rPr>
      <w:rFonts w:asciiTheme="majorHAnsi" w:hAnsiTheme="majorHAnsi" w:eastAsiaTheme="majorEastAsia" w:cstheme="majorBidi"/>
      <w:b w:val="0"/>
      <w:color w:val="376092" w:themeColor="accent1" w:themeShade="BF"/>
      <w:sz w:val="32"/>
      <w:szCs w:val="32"/>
      <w:lang w:val="en-US" w:eastAsia="en-US"/>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18</Pages>
  <Words>4487</Words>
  <Characters>25582</Characters>
  <Lines>213</Lines>
  <Paragraphs>60</Paragraphs>
  <TotalTime>0</TotalTime>
  <ScaleCrop>false</ScaleCrop>
  <LinksUpToDate>false</LinksUpToDate>
  <CharactersWithSpaces>30009</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2026-08-14T01:58:00Z</dcterms:created>
  <cp:lastModifiedBy>iPhone</cp:lastModifiedBy>
  <dcterms:modified xsi:type="dcterms:W3CDTF">2026-08-17T23:14:56Z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C52878249EBBEF77CD87836A1524CAAA_31</vt:lpwstr>
  </property>
  <property fmtid="{D5CDD505-2E9C-101B-9397-08002B2CF9AE}" pid="3" name="KSOProductBuildVer">
    <vt:lpwstr>3081-26.8.0</vt:lpwstr>
  </property>
</Properties>
</file>