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D600F3" w14:textId="77777777" w:rsidR="004E2855" w:rsidRDefault="00000000">
      <w:pPr>
        <w:pStyle w:val="Heading1"/>
      </w:pPr>
      <w:bookmarkStart w:id="0" w:name="_Toc213435653"/>
      <w:r>
        <w:t>Case Study 1 – Understanding and Managing Type 2 Diabetes</w:t>
      </w:r>
      <w:bookmarkEnd w:id="0"/>
    </w:p>
    <w:p w14:paraId="6FB6321E" w14:textId="77777777" w:rsidR="00F1661B" w:rsidRDefault="00000000">
      <w:r>
        <w:t>Name: Ahmad Hassan</w:t>
      </w:r>
      <w:r>
        <w:br/>
        <w:t>Student Number: 2238191</w:t>
      </w:r>
      <w:r>
        <w:br/>
        <w:t>Module Code: BMHP5023</w:t>
      </w:r>
      <w:r>
        <w:br/>
        <w:t>Module: Introduction to Physiology</w:t>
      </w:r>
    </w:p>
    <w:p w14:paraId="0F6585D2" w14:textId="77777777" w:rsidR="00F1661B" w:rsidRDefault="00F1661B"/>
    <w:p w14:paraId="4DC059E6" w14:textId="77777777" w:rsidR="00F1661B" w:rsidRDefault="00F1661B"/>
    <w:p w14:paraId="79070017" w14:textId="77777777" w:rsidR="00F1661B" w:rsidRDefault="00F1661B"/>
    <w:p w14:paraId="0FC66976" w14:textId="77777777" w:rsidR="00F1661B" w:rsidRDefault="00F1661B"/>
    <w:p w14:paraId="2B174280" w14:textId="77777777" w:rsidR="00F1661B" w:rsidRDefault="00F1661B"/>
    <w:p w14:paraId="70FBAE0C" w14:textId="77777777" w:rsidR="00F1661B" w:rsidRDefault="00F1661B"/>
    <w:p w14:paraId="79B3B66E" w14:textId="77777777" w:rsidR="00F1661B" w:rsidRDefault="00F1661B"/>
    <w:p w14:paraId="5C5B327A" w14:textId="77777777" w:rsidR="00F1661B" w:rsidRDefault="00F1661B"/>
    <w:p w14:paraId="3E0EA33C" w14:textId="77777777" w:rsidR="00F1661B" w:rsidRDefault="00F1661B"/>
    <w:p w14:paraId="52F06A9D" w14:textId="77777777" w:rsidR="00F1661B" w:rsidRDefault="00F1661B"/>
    <w:p w14:paraId="10DE3AB9" w14:textId="77777777" w:rsidR="00F1661B" w:rsidRDefault="00F1661B"/>
    <w:p w14:paraId="0E7C4DA1" w14:textId="77777777" w:rsidR="00F1661B" w:rsidRDefault="00F1661B"/>
    <w:p w14:paraId="063932B3" w14:textId="77777777" w:rsidR="00F1661B" w:rsidRDefault="00F1661B"/>
    <w:p w14:paraId="418E1266" w14:textId="77777777" w:rsidR="00F1661B" w:rsidRDefault="00F1661B"/>
    <w:p w14:paraId="68B47C9B" w14:textId="77777777" w:rsidR="00F1661B" w:rsidRDefault="00F1661B"/>
    <w:p w14:paraId="4F668C70" w14:textId="77777777" w:rsidR="00F1661B" w:rsidRDefault="00F1661B"/>
    <w:p w14:paraId="5EC1F0D4" w14:textId="77777777" w:rsidR="00F1661B" w:rsidRDefault="00F1661B"/>
    <w:p w14:paraId="4326415D" w14:textId="77777777" w:rsidR="00F1661B" w:rsidRDefault="00F1661B"/>
    <w:p w14:paraId="6154B579" w14:textId="77777777" w:rsidR="00F1661B" w:rsidRDefault="00F1661B"/>
    <w:p w14:paraId="47EF5892" w14:textId="2DA65697" w:rsidR="004E2855" w:rsidRDefault="00000000">
      <w:r>
        <w:br/>
      </w:r>
    </w:p>
    <w:sdt>
      <w:sdtPr>
        <w:id w:val="1641216681"/>
        <w:docPartObj>
          <w:docPartGallery w:val="Table of Contents"/>
          <w:docPartUnique/>
        </w:docPartObj>
      </w:sdtPr>
      <w:sdtEndPr>
        <w:rPr>
          <w:rFonts w:asciiTheme="minorHAnsi" w:eastAsiaTheme="minorEastAsia" w:hAnsiTheme="minorHAnsi" w:cstheme="minorBidi"/>
          <w:noProof/>
          <w:color w:val="auto"/>
          <w:sz w:val="22"/>
          <w:szCs w:val="22"/>
        </w:rPr>
      </w:sdtEndPr>
      <w:sdtContent>
        <w:p w14:paraId="132E4CC6" w14:textId="1D5941C6" w:rsidR="00F1661B" w:rsidRDefault="00F1661B">
          <w:pPr>
            <w:pStyle w:val="TOCHeading"/>
          </w:pPr>
          <w:r>
            <w:t>Contents</w:t>
          </w:r>
        </w:p>
        <w:p w14:paraId="4633B999" w14:textId="164F9180" w:rsidR="009E0FF6" w:rsidRDefault="00F1661B">
          <w:pPr>
            <w:pStyle w:val="TOC1"/>
            <w:tabs>
              <w:tab w:val="right" w:leader="dot" w:pos="8630"/>
            </w:tabs>
            <w:rPr>
              <w:noProof/>
              <w:kern w:val="2"/>
              <w:sz w:val="24"/>
              <w:szCs w:val="24"/>
              <w:lang w:val="en-GB" w:eastAsia="en-GB"/>
              <w14:ligatures w14:val="standardContextual"/>
            </w:rPr>
          </w:pPr>
          <w:r>
            <w:fldChar w:fldCharType="begin"/>
          </w:r>
          <w:r>
            <w:instrText xml:space="preserve"> TOC \o "1-3" \h \z \u </w:instrText>
          </w:r>
          <w:r>
            <w:fldChar w:fldCharType="separate"/>
          </w:r>
          <w:hyperlink w:anchor="_Toc213435653" w:history="1">
            <w:r w:rsidR="009E0FF6" w:rsidRPr="007E0589">
              <w:rPr>
                <w:rStyle w:val="Hyperlink"/>
                <w:noProof/>
              </w:rPr>
              <w:t>Case Study 1 – Understanding and Managing Type 2 Diabetes</w:t>
            </w:r>
            <w:r w:rsidR="009E0FF6">
              <w:rPr>
                <w:noProof/>
                <w:webHidden/>
              </w:rPr>
              <w:tab/>
            </w:r>
            <w:r w:rsidR="009E0FF6">
              <w:rPr>
                <w:noProof/>
                <w:webHidden/>
              </w:rPr>
              <w:fldChar w:fldCharType="begin"/>
            </w:r>
            <w:r w:rsidR="009E0FF6">
              <w:rPr>
                <w:noProof/>
                <w:webHidden/>
              </w:rPr>
              <w:instrText xml:space="preserve"> PAGEREF _Toc213435653 \h </w:instrText>
            </w:r>
            <w:r w:rsidR="009E0FF6">
              <w:rPr>
                <w:noProof/>
                <w:webHidden/>
              </w:rPr>
            </w:r>
            <w:r w:rsidR="009E0FF6">
              <w:rPr>
                <w:noProof/>
                <w:webHidden/>
              </w:rPr>
              <w:fldChar w:fldCharType="separate"/>
            </w:r>
            <w:r w:rsidR="009E0FF6">
              <w:rPr>
                <w:noProof/>
                <w:webHidden/>
              </w:rPr>
              <w:t>1</w:t>
            </w:r>
            <w:r w:rsidR="009E0FF6">
              <w:rPr>
                <w:noProof/>
                <w:webHidden/>
              </w:rPr>
              <w:fldChar w:fldCharType="end"/>
            </w:r>
          </w:hyperlink>
        </w:p>
        <w:p w14:paraId="4963FCB8" w14:textId="24FA643E" w:rsidR="009E0FF6" w:rsidRDefault="009E0FF6">
          <w:pPr>
            <w:pStyle w:val="TOC2"/>
            <w:tabs>
              <w:tab w:val="right" w:leader="dot" w:pos="8630"/>
            </w:tabs>
            <w:rPr>
              <w:noProof/>
              <w:kern w:val="2"/>
              <w:sz w:val="24"/>
              <w:szCs w:val="24"/>
              <w:lang w:val="en-GB" w:eastAsia="en-GB"/>
              <w14:ligatures w14:val="standardContextual"/>
            </w:rPr>
          </w:pPr>
          <w:hyperlink w:anchor="_Toc213435654" w:history="1">
            <w:r w:rsidRPr="007E0589">
              <w:rPr>
                <w:rStyle w:val="Hyperlink"/>
                <w:noProof/>
              </w:rPr>
              <w:t>Introduction</w:t>
            </w:r>
            <w:r>
              <w:rPr>
                <w:noProof/>
                <w:webHidden/>
              </w:rPr>
              <w:tab/>
            </w:r>
            <w:r>
              <w:rPr>
                <w:noProof/>
                <w:webHidden/>
              </w:rPr>
              <w:fldChar w:fldCharType="begin"/>
            </w:r>
            <w:r>
              <w:rPr>
                <w:noProof/>
                <w:webHidden/>
              </w:rPr>
              <w:instrText xml:space="preserve"> PAGEREF _Toc213435654 \h </w:instrText>
            </w:r>
            <w:r>
              <w:rPr>
                <w:noProof/>
                <w:webHidden/>
              </w:rPr>
            </w:r>
            <w:r>
              <w:rPr>
                <w:noProof/>
                <w:webHidden/>
              </w:rPr>
              <w:fldChar w:fldCharType="separate"/>
            </w:r>
            <w:r>
              <w:rPr>
                <w:noProof/>
                <w:webHidden/>
              </w:rPr>
              <w:t>3</w:t>
            </w:r>
            <w:r>
              <w:rPr>
                <w:noProof/>
                <w:webHidden/>
              </w:rPr>
              <w:fldChar w:fldCharType="end"/>
            </w:r>
          </w:hyperlink>
        </w:p>
        <w:p w14:paraId="1BE30C64" w14:textId="3735EFA5" w:rsidR="009E0FF6" w:rsidRDefault="009E0FF6">
          <w:pPr>
            <w:pStyle w:val="TOC2"/>
            <w:tabs>
              <w:tab w:val="right" w:leader="dot" w:pos="8630"/>
            </w:tabs>
            <w:rPr>
              <w:noProof/>
              <w:kern w:val="2"/>
              <w:sz w:val="24"/>
              <w:szCs w:val="24"/>
              <w:lang w:val="en-GB" w:eastAsia="en-GB"/>
              <w14:ligatures w14:val="standardContextual"/>
            </w:rPr>
          </w:pPr>
          <w:hyperlink w:anchor="_Toc213435655" w:history="1">
            <w:r w:rsidRPr="007E0589">
              <w:rPr>
                <w:rStyle w:val="Hyperlink"/>
                <w:noProof/>
              </w:rPr>
              <w:t>Maintaining Safe Blood Sugar Levels</w:t>
            </w:r>
            <w:r>
              <w:rPr>
                <w:noProof/>
                <w:webHidden/>
              </w:rPr>
              <w:tab/>
            </w:r>
            <w:r>
              <w:rPr>
                <w:noProof/>
                <w:webHidden/>
              </w:rPr>
              <w:fldChar w:fldCharType="begin"/>
            </w:r>
            <w:r>
              <w:rPr>
                <w:noProof/>
                <w:webHidden/>
              </w:rPr>
              <w:instrText xml:space="preserve"> PAGEREF _Toc213435655 \h </w:instrText>
            </w:r>
            <w:r>
              <w:rPr>
                <w:noProof/>
                <w:webHidden/>
              </w:rPr>
            </w:r>
            <w:r>
              <w:rPr>
                <w:noProof/>
                <w:webHidden/>
              </w:rPr>
              <w:fldChar w:fldCharType="separate"/>
            </w:r>
            <w:r>
              <w:rPr>
                <w:noProof/>
                <w:webHidden/>
              </w:rPr>
              <w:t>3</w:t>
            </w:r>
            <w:r>
              <w:rPr>
                <w:noProof/>
                <w:webHidden/>
              </w:rPr>
              <w:fldChar w:fldCharType="end"/>
            </w:r>
          </w:hyperlink>
        </w:p>
        <w:p w14:paraId="705F213B" w14:textId="076BF876" w:rsidR="009E0FF6" w:rsidRDefault="009E0FF6">
          <w:pPr>
            <w:pStyle w:val="TOC2"/>
            <w:tabs>
              <w:tab w:val="right" w:leader="dot" w:pos="8630"/>
            </w:tabs>
            <w:rPr>
              <w:noProof/>
              <w:kern w:val="2"/>
              <w:sz w:val="24"/>
              <w:szCs w:val="24"/>
              <w:lang w:val="en-GB" w:eastAsia="en-GB"/>
              <w14:ligatures w14:val="standardContextual"/>
            </w:rPr>
          </w:pPr>
          <w:hyperlink w:anchor="_Toc213435656" w:history="1">
            <w:r w:rsidRPr="007E0589">
              <w:rPr>
                <w:rStyle w:val="Hyperlink"/>
                <w:noProof/>
              </w:rPr>
              <w:t>How Oxygen and Glucose Produce Energy</w:t>
            </w:r>
            <w:r>
              <w:rPr>
                <w:noProof/>
                <w:webHidden/>
              </w:rPr>
              <w:tab/>
            </w:r>
            <w:r>
              <w:rPr>
                <w:noProof/>
                <w:webHidden/>
              </w:rPr>
              <w:fldChar w:fldCharType="begin"/>
            </w:r>
            <w:r>
              <w:rPr>
                <w:noProof/>
                <w:webHidden/>
              </w:rPr>
              <w:instrText xml:space="preserve"> PAGEREF _Toc213435656 \h </w:instrText>
            </w:r>
            <w:r>
              <w:rPr>
                <w:noProof/>
                <w:webHidden/>
              </w:rPr>
            </w:r>
            <w:r>
              <w:rPr>
                <w:noProof/>
                <w:webHidden/>
              </w:rPr>
              <w:fldChar w:fldCharType="separate"/>
            </w:r>
            <w:r>
              <w:rPr>
                <w:noProof/>
                <w:webHidden/>
              </w:rPr>
              <w:t>5</w:t>
            </w:r>
            <w:r>
              <w:rPr>
                <w:noProof/>
                <w:webHidden/>
              </w:rPr>
              <w:fldChar w:fldCharType="end"/>
            </w:r>
          </w:hyperlink>
        </w:p>
        <w:p w14:paraId="0C8ACA86" w14:textId="0A1A2D4F" w:rsidR="009E0FF6" w:rsidRDefault="009E0FF6">
          <w:pPr>
            <w:pStyle w:val="TOC2"/>
            <w:tabs>
              <w:tab w:val="right" w:leader="dot" w:pos="8630"/>
            </w:tabs>
            <w:rPr>
              <w:noProof/>
              <w:kern w:val="2"/>
              <w:sz w:val="24"/>
              <w:szCs w:val="24"/>
              <w:lang w:val="en-GB" w:eastAsia="en-GB"/>
              <w14:ligatures w14:val="standardContextual"/>
            </w:rPr>
          </w:pPr>
          <w:hyperlink w:anchor="_Toc213435657" w:history="1">
            <w:r w:rsidRPr="007E0589">
              <w:rPr>
                <w:rStyle w:val="Hyperlink"/>
                <w:noProof/>
              </w:rPr>
              <w:t>Recording and Tracking Blood Sugar Levels</w:t>
            </w:r>
            <w:r>
              <w:rPr>
                <w:noProof/>
                <w:webHidden/>
              </w:rPr>
              <w:tab/>
            </w:r>
            <w:r>
              <w:rPr>
                <w:noProof/>
                <w:webHidden/>
              </w:rPr>
              <w:fldChar w:fldCharType="begin"/>
            </w:r>
            <w:r>
              <w:rPr>
                <w:noProof/>
                <w:webHidden/>
              </w:rPr>
              <w:instrText xml:space="preserve"> PAGEREF _Toc213435657 \h </w:instrText>
            </w:r>
            <w:r>
              <w:rPr>
                <w:noProof/>
                <w:webHidden/>
              </w:rPr>
            </w:r>
            <w:r>
              <w:rPr>
                <w:noProof/>
                <w:webHidden/>
              </w:rPr>
              <w:fldChar w:fldCharType="separate"/>
            </w:r>
            <w:r>
              <w:rPr>
                <w:noProof/>
                <w:webHidden/>
              </w:rPr>
              <w:t>6</w:t>
            </w:r>
            <w:r>
              <w:rPr>
                <w:noProof/>
                <w:webHidden/>
              </w:rPr>
              <w:fldChar w:fldCharType="end"/>
            </w:r>
          </w:hyperlink>
        </w:p>
        <w:p w14:paraId="43883459" w14:textId="6AAAB941" w:rsidR="009E0FF6" w:rsidRDefault="009E0FF6">
          <w:pPr>
            <w:pStyle w:val="TOC2"/>
            <w:tabs>
              <w:tab w:val="right" w:leader="dot" w:pos="8630"/>
            </w:tabs>
            <w:rPr>
              <w:noProof/>
              <w:kern w:val="2"/>
              <w:sz w:val="24"/>
              <w:szCs w:val="24"/>
              <w:lang w:val="en-GB" w:eastAsia="en-GB"/>
              <w14:ligatures w14:val="standardContextual"/>
            </w:rPr>
          </w:pPr>
          <w:hyperlink w:anchor="_Toc213435658" w:history="1">
            <w:r w:rsidRPr="007E0589">
              <w:rPr>
                <w:rStyle w:val="Hyperlink"/>
                <w:noProof/>
              </w:rPr>
              <w:t>Lifestyle Changes and Recommendations</w:t>
            </w:r>
            <w:r>
              <w:rPr>
                <w:noProof/>
                <w:webHidden/>
              </w:rPr>
              <w:tab/>
            </w:r>
            <w:r>
              <w:rPr>
                <w:noProof/>
                <w:webHidden/>
              </w:rPr>
              <w:fldChar w:fldCharType="begin"/>
            </w:r>
            <w:r>
              <w:rPr>
                <w:noProof/>
                <w:webHidden/>
              </w:rPr>
              <w:instrText xml:space="preserve"> PAGEREF _Toc213435658 \h </w:instrText>
            </w:r>
            <w:r>
              <w:rPr>
                <w:noProof/>
                <w:webHidden/>
              </w:rPr>
            </w:r>
            <w:r>
              <w:rPr>
                <w:noProof/>
                <w:webHidden/>
              </w:rPr>
              <w:fldChar w:fldCharType="separate"/>
            </w:r>
            <w:r>
              <w:rPr>
                <w:noProof/>
                <w:webHidden/>
              </w:rPr>
              <w:t>6</w:t>
            </w:r>
            <w:r>
              <w:rPr>
                <w:noProof/>
                <w:webHidden/>
              </w:rPr>
              <w:fldChar w:fldCharType="end"/>
            </w:r>
          </w:hyperlink>
        </w:p>
        <w:p w14:paraId="5B4D009D" w14:textId="1F23A6E4" w:rsidR="009E0FF6" w:rsidRDefault="009E0FF6">
          <w:pPr>
            <w:pStyle w:val="TOC2"/>
            <w:tabs>
              <w:tab w:val="right" w:leader="dot" w:pos="8630"/>
            </w:tabs>
            <w:rPr>
              <w:noProof/>
              <w:kern w:val="2"/>
              <w:sz w:val="24"/>
              <w:szCs w:val="24"/>
              <w:lang w:val="en-GB" w:eastAsia="en-GB"/>
              <w14:ligatures w14:val="standardContextual"/>
            </w:rPr>
          </w:pPr>
          <w:hyperlink w:anchor="_Toc213435659" w:history="1">
            <w:r w:rsidRPr="007E0589">
              <w:rPr>
                <w:rStyle w:val="Hyperlink"/>
                <w:noProof/>
              </w:rPr>
              <w:t>Conclusion</w:t>
            </w:r>
            <w:r>
              <w:rPr>
                <w:noProof/>
                <w:webHidden/>
              </w:rPr>
              <w:tab/>
            </w:r>
            <w:r>
              <w:rPr>
                <w:noProof/>
                <w:webHidden/>
              </w:rPr>
              <w:fldChar w:fldCharType="begin"/>
            </w:r>
            <w:r>
              <w:rPr>
                <w:noProof/>
                <w:webHidden/>
              </w:rPr>
              <w:instrText xml:space="preserve"> PAGEREF _Toc213435659 \h </w:instrText>
            </w:r>
            <w:r>
              <w:rPr>
                <w:noProof/>
                <w:webHidden/>
              </w:rPr>
            </w:r>
            <w:r>
              <w:rPr>
                <w:noProof/>
                <w:webHidden/>
              </w:rPr>
              <w:fldChar w:fldCharType="separate"/>
            </w:r>
            <w:r>
              <w:rPr>
                <w:noProof/>
                <w:webHidden/>
              </w:rPr>
              <w:t>7</w:t>
            </w:r>
            <w:r>
              <w:rPr>
                <w:noProof/>
                <w:webHidden/>
              </w:rPr>
              <w:fldChar w:fldCharType="end"/>
            </w:r>
          </w:hyperlink>
        </w:p>
        <w:p w14:paraId="341D6F69" w14:textId="11EE77DC" w:rsidR="009E0FF6" w:rsidRDefault="009E0FF6">
          <w:pPr>
            <w:pStyle w:val="TOC2"/>
            <w:tabs>
              <w:tab w:val="right" w:leader="dot" w:pos="8630"/>
            </w:tabs>
            <w:rPr>
              <w:noProof/>
              <w:kern w:val="2"/>
              <w:sz w:val="24"/>
              <w:szCs w:val="24"/>
              <w:lang w:val="en-GB" w:eastAsia="en-GB"/>
              <w14:ligatures w14:val="standardContextual"/>
            </w:rPr>
          </w:pPr>
          <w:hyperlink w:anchor="_Toc213435660" w:history="1">
            <w:r w:rsidRPr="007E0589">
              <w:rPr>
                <w:rStyle w:val="Hyperlink"/>
                <w:noProof/>
              </w:rPr>
              <w:t>References</w:t>
            </w:r>
            <w:r>
              <w:rPr>
                <w:noProof/>
                <w:webHidden/>
              </w:rPr>
              <w:tab/>
            </w:r>
            <w:r>
              <w:rPr>
                <w:noProof/>
                <w:webHidden/>
              </w:rPr>
              <w:fldChar w:fldCharType="begin"/>
            </w:r>
            <w:r>
              <w:rPr>
                <w:noProof/>
                <w:webHidden/>
              </w:rPr>
              <w:instrText xml:space="preserve"> PAGEREF _Toc213435660 \h </w:instrText>
            </w:r>
            <w:r>
              <w:rPr>
                <w:noProof/>
                <w:webHidden/>
              </w:rPr>
            </w:r>
            <w:r>
              <w:rPr>
                <w:noProof/>
                <w:webHidden/>
              </w:rPr>
              <w:fldChar w:fldCharType="separate"/>
            </w:r>
            <w:r>
              <w:rPr>
                <w:noProof/>
                <w:webHidden/>
              </w:rPr>
              <w:t>8</w:t>
            </w:r>
            <w:r>
              <w:rPr>
                <w:noProof/>
                <w:webHidden/>
              </w:rPr>
              <w:fldChar w:fldCharType="end"/>
            </w:r>
          </w:hyperlink>
        </w:p>
        <w:p w14:paraId="7244055E" w14:textId="6847E9F5" w:rsidR="00F1661B" w:rsidRDefault="00F1661B" w:rsidP="009E0FF6">
          <w:pPr>
            <w:tabs>
              <w:tab w:val="left" w:pos="4875"/>
            </w:tabs>
          </w:pPr>
          <w:r>
            <w:rPr>
              <w:b/>
              <w:bCs/>
              <w:noProof/>
            </w:rPr>
            <w:fldChar w:fldCharType="end"/>
          </w:r>
          <w:r w:rsidR="009E0FF6">
            <w:rPr>
              <w:b/>
              <w:bCs/>
              <w:noProof/>
            </w:rPr>
            <w:tab/>
          </w:r>
        </w:p>
      </w:sdtContent>
    </w:sdt>
    <w:p w14:paraId="3098EAAB" w14:textId="77777777" w:rsidR="00F1661B" w:rsidRDefault="00F1661B"/>
    <w:p w14:paraId="50526548" w14:textId="77777777" w:rsidR="00F1661B" w:rsidRDefault="00F1661B"/>
    <w:p w14:paraId="35490BCB" w14:textId="77777777" w:rsidR="00F1661B" w:rsidRDefault="00F1661B"/>
    <w:p w14:paraId="0EAF3156" w14:textId="77777777" w:rsidR="00F1661B" w:rsidRDefault="00F1661B"/>
    <w:p w14:paraId="2F0A8927" w14:textId="77777777" w:rsidR="00F1661B" w:rsidRDefault="00F1661B"/>
    <w:p w14:paraId="644BB107" w14:textId="77777777" w:rsidR="00F1661B" w:rsidRDefault="00F1661B"/>
    <w:p w14:paraId="6B504790" w14:textId="77777777" w:rsidR="00F1661B" w:rsidRDefault="00F1661B"/>
    <w:p w14:paraId="30E118E5" w14:textId="77777777" w:rsidR="00F1661B" w:rsidRDefault="00F1661B"/>
    <w:p w14:paraId="5CC039F7" w14:textId="77777777" w:rsidR="00F1661B" w:rsidRDefault="00F1661B"/>
    <w:p w14:paraId="70B481DE" w14:textId="77777777" w:rsidR="00F1661B" w:rsidRDefault="00F1661B"/>
    <w:p w14:paraId="4FC7C578" w14:textId="77777777" w:rsidR="00F1661B" w:rsidRDefault="00F1661B"/>
    <w:p w14:paraId="17CFC6C1" w14:textId="77777777" w:rsidR="00F1661B" w:rsidRDefault="00F1661B"/>
    <w:p w14:paraId="74B9F4E4" w14:textId="77777777" w:rsidR="00F1661B" w:rsidRDefault="00F1661B"/>
    <w:p w14:paraId="3C6B0272" w14:textId="77777777" w:rsidR="00F1661B" w:rsidRDefault="00F1661B"/>
    <w:p w14:paraId="689CFFA1" w14:textId="77777777" w:rsidR="00F1661B" w:rsidRDefault="00F1661B"/>
    <w:p w14:paraId="4CAFC4FF" w14:textId="77777777" w:rsidR="00F1661B" w:rsidRDefault="00F1661B"/>
    <w:p w14:paraId="5A45DA6E" w14:textId="77777777" w:rsidR="00F1661B" w:rsidRDefault="00F1661B"/>
    <w:p w14:paraId="4425C144" w14:textId="77777777" w:rsidR="004E2855" w:rsidRDefault="00000000">
      <w:pPr>
        <w:pStyle w:val="Heading2"/>
      </w:pPr>
      <w:bookmarkStart w:id="1" w:name="_Toc213435654"/>
      <w:r>
        <w:lastRenderedPageBreak/>
        <w:t>Introduction</w:t>
      </w:r>
      <w:bookmarkEnd w:id="1"/>
    </w:p>
    <w:p w14:paraId="2967F358" w14:textId="77777777" w:rsidR="00F36FED" w:rsidRPr="00F36FED" w:rsidRDefault="00F36FED" w:rsidP="00F36FED">
      <w:pPr>
        <w:rPr>
          <w:lang w:val="en-GB"/>
        </w:rPr>
      </w:pPr>
      <w:r w:rsidRPr="00F36FED">
        <w:rPr>
          <w:lang w:val="en-GB"/>
        </w:rPr>
        <w:t>Diabetes mellitus is a chronic metabolic disorder characterised by the body’s inability to regulate blood glucose effectively. In Type 2 Diabetes Mellitus (T2DM), which accounts for around 90% of all diabetes cases in the United Kingdom (NHS England, 2025), the pancreas continues to produce insulin; however, the body’s cells become progressively resistant to its effects. This means that glucose is less able to enter cells where it can be used for energy, leading to persistently high levels of glucose in the bloodstream. Over time, the pancreatic β-cells may become unable to sustain the increased insulin demand, resulting in a gradual decline in insulin secretion and the development of chronic hyperglycaemia.</w:t>
      </w:r>
    </w:p>
    <w:p w14:paraId="13EF34A3" w14:textId="77777777" w:rsidR="00F36FED" w:rsidRPr="00F36FED" w:rsidRDefault="00F36FED" w:rsidP="00F36FED">
      <w:pPr>
        <w:rPr>
          <w:lang w:val="en-GB"/>
        </w:rPr>
      </w:pPr>
      <w:r w:rsidRPr="00F36FED">
        <w:rPr>
          <w:lang w:val="en-GB"/>
        </w:rPr>
        <w:t>Persistent hyperglycaemia can have wide-ranging consequences for the body. Long-term exposure to elevated glucose levels damages blood vessels and nerves, contributing to severe complications such as cardiovascular disease, chronic kidney disease, peripheral neuropathy, and diabetic retinopathy. These complications significantly reduce quality of life and life expectancy if the condition is not properly managed. Additionally, T2DM often occurs alongside other metabolic abnormalities such as hypertension, dyslipidaemia, and central obesity, collectively known as the metabolic syndrome (Diabetes UK, 2025). This further increases the risk of heart attacks, strokes, and other vascular complications.</w:t>
      </w:r>
    </w:p>
    <w:p w14:paraId="5AC3177F" w14:textId="77777777" w:rsidR="00F36FED" w:rsidRPr="00F36FED" w:rsidRDefault="00F36FED" w:rsidP="00F36FED">
      <w:pPr>
        <w:rPr>
          <w:lang w:val="en-GB"/>
        </w:rPr>
      </w:pPr>
      <w:r w:rsidRPr="00F36FED">
        <w:rPr>
          <w:lang w:val="en-GB"/>
        </w:rPr>
        <w:t>The primary risk factors for developing T2DM include obesity, physical inactivity, unhealthy dietary habits, advancing age, family history, and certain ethnic backgrounds, including South Asian, African-Caribbean, and Black African populations (Public Health England, 2025). Environmental and social determinants such as poor access to healthy food, sedentary occupations, and socioeconomic deprivation also contribute to rising prevalence rates across the UK. Given that many of these factors are modifiable, prevention strategies and lifestyle changes play a crucial role in both delaying onset and improving long-term management of the disease.</w:t>
      </w:r>
    </w:p>
    <w:p w14:paraId="09694B84" w14:textId="77777777" w:rsidR="00F36FED" w:rsidRPr="00F36FED" w:rsidRDefault="00F36FED" w:rsidP="00F36FED">
      <w:pPr>
        <w:rPr>
          <w:lang w:val="en-GB"/>
        </w:rPr>
      </w:pPr>
      <w:r w:rsidRPr="00F36FED">
        <w:rPr>
          <w:lang w:val="en-GB"/>
        </w:rPr>
        <w:t>Type 2 diabetes is increasingly being diagnosed in younger adults and even adolescents, reflecting the impact of modern lifestyles and increasing rates of childhood obesity (Public Health Scotland, 2025). Early detection and intervention are therefore essential to prevent progression and reduce complications later in life.</w:t>
      </w:r>
    </w:p>
    <w:p w14:paraId="2782BB68" w14:textId="77777777" w:rsidR="00F36FED" w:rsidRPr="00F36FED" w:rsidRDefault="00F36FED" w:rsidP="00F36FED">
      <w:pPr>
        <w:rPr>
          <w:lang w:val="en-GB"/>
        </w:rPr>
      </w:pPr>
      <w:r w:rsidRPr="00F36FED">
        <w:rPr>
          <w:lang w:val="en-GB"/>
        </w:rPr>
        <w:t>This case study will explore the physiological mechanisms that regulate glucose homeostasis, the pathophysiology underlying Type 2 diabetes, and evidence-based approaches to monitoring and managing blood sugar levels. It will also discuss how lifestyle and clinical interventions—including diet, exercise, education, and medication—can work together to support effective long-term control and promote overall health and wellbeing.</w:t>
      </w:r>
    </w:p>
    <w:p w14:paraId="242C3311" w14:textId="77777777" w:rsidR="00F36FED" w:rsidRPr="00F36FED" w:rsidRDefault="00F36FED">
      <w:pPr>
        <w:pStyle w:val="Heading2"/>
        <w:rPr>
          <w:b w:val="0"/>
          <w:bCs w:val="0"/>
        </w:rPr>
      </w:pPr>
    </w:p>
    <w:p w14:paraId="3C2C878B" w14:textId="6D6A5AD9" w:rsidR="004E2855" w:rsidRDefault="00000000">
      <w:pPr>
        <w:pStyle w:val="Heading2"/>
      </w:pPr>
      <w:bookmarkStart w:id="2" w:name="_Toc213435655"/>
      <w:r>
        <w:t>Maintaining Safe Blood Sugar Levels</w:t>
      </w:r>
      <w:bookmarkEnd w:id="2"/>
    </w:p>
    <w:p w14:paraId="1358A901" w14:textId="77777777" w:rsidR="004E2855" w:rsidRDefault="00000000">
      <w:r>
        <w:t xml:space="preserve">The body maintains glucose levels through a dynamic balance between insulin and glucagon, two hormones produced by the pancreas. Following food intake, blood glucose levels rise, stimulating pancreatic β-cells to release insulin, which promotes glucose uptake </w:t>
      </w:r>
      <w:r>
        <w:lastRenderedPageBreak/>
        <w:t>into tissues such as muscle and adipose tissue (Diabetes UK, 2025). Insulin facilitates the conversion of glucose into glycogen for storage and suppresses hepatic glucose production. During fasting or between meals, pancreatic α-cells release glucagon, stimulating glycogen breakdown and glucose release by the liver (Diabetes UK, 2025).</w:t>
      </w:r>
      <w:r>
        <w:br/>
      </w:r>
      <w:r>
        <w:br/>
        <w:t>In T2DM, insulin resistance leads to decreased glucose uptake by cells, while hepatic glucose production continues unchecked, causing hyperglycaemia. Over time, β-cells fail to compensate adequately, resulting in further loss of insulin secretion (Pathophysiology of Type 2 Diabetes Mellitus, 2020). The underlying mechanisms involve obesity-related inflammation, lipid accumulation, and oxidative stress, all of which impair insulin signalling and glucose transport into cells (Nature Communications, 2024).</w:t>
      </w:r>
      <w:r>
        <w:br/>
      </w:r>
      <w:r>
        <w:br/>
        <w:t>The physiological goal of treatment is to re-establish glucose homeostasis by enhancing insulin sensitivity, supporting β-cell function, and reducing hepatic glucose output. Therapeutic strategies thus focus on lifestyle modification and pharmacological agents that target these physiological pathways.</w:t>
      </w:r>
    </w:p>
    <w:p w14:paraId="4AC411B8" w14:textId="77777777" w:rsidR="00F36FED" w:rsidRPr="00F36FED" w:rsidRDefault="00F36FED" w:rsidP="00F36FED">
      <w:pPr>
        <w:rPr>
          <w:lang w:val="en-GB"/>
        </w:rPr>
      </w:pPr>
      <w:r w:rsidRPr="00F36FED">
        <w:rPr>
          <w:lang w:val="en-GB"/>
        </w:rPr>
        <w:t xml:space="preserve">Blood glucose concentration is tightly controlled by the coordinated actions of two key pancreatic hormones: </w:t>
      </w:r>
      <w:r w:rsidRPr="00F36FED">
        <w:rPr>
          <w:b/>
          <w:bCs/>
          <w:lang w:val="en-GB"/>
        </w:rPr>
        <w:t>insulin</w:t>
      </w:r>
      <w:r w:rsidRPr="00F36FED">
        <w:rPr>
          <w:lang w:val="en-GB"/>
        </w:rPr>
        <w:t xml:space="preserve"> and </w:t>
      </w:r>
      <w:r w:rsidRPr="00F36FED">
        <w:rPr>
          <w:b/>
          <w:bCs/>
          <w:lang w:val="en-GB"/>
        </w:rPr>
        <w:t>glucagon</w:t>
      </w:r>
      <w:r w:rsidRPr="00F36FED">
        <w:rPr>
          <w:lang w:val="en-GB"/>
        </w:rPr>
        <w:t xml:space="preserve">. These hormones are secreted by specialised clusters of cells within the </w:t>
      </w:r>
      <w:r w:rsidRPr="00F36FED">
        <w:rPr>
          <w:b/>
          <w:bCs/>
          <w:lang w:val="en-GB"/>
        </w:rPr>
        <w:t>islets of Langerhans</w:t>
      </w:r>
      <w:r w:rsidRPr="00F36FED">
        <w:rPr>
          <w:lang w:val="en-GB"/>
        </w:rPr>
        <w:t xml:space="preserve"> in the pancreas, where β-cells produce insulin and α-cells release glucagon. Their opposing effects maintain glucose homeostasis, ensuring that the body’s cells receive a constant energy supply despite fluctuations in food intake and physical activity (Diabetes UK, 2025).</w:t>
      </w:r>
    </w:p>
    <w:p w14:paraId="5EE89735" w14:textId="77777777" w:rsidR="00F36FED" w:rsidRPr="00F36FED" w:rsidRDefault="00F36FED" w:rsidP="00F36FED">
      <w:pPr>
        <w:rPr>
          <w:lang w:val="en-GB"/>
        </w:rPr>
      </w:pPr>
      <w:r w:rsidRPr="00F36FED">
        <w:rPr>
          <w:lang w:val="en-GB"/>
        </w:rPr>
        <w:t>Following food consumption, carbohydrates are broken down into glucose, which enters the bloodstream and causes blood glucose levels to rise. In response, pancreatic β-cells secrete insulin, which acts as a chemical messenger that facilitates the uptake of glucose into target tissues such as skeletal muscle, adipose tissue, and the liver. Insulin promotes the conversion of glucose into glycogen for storage (glycogenesis), enhances lipid synthesis, and inhibits gluconeogenesis—the production of new glucose by the liver (NHS England, 2025). These effects collectively lower blood glucose levels to a safe range and prevent excessive hyperglycaemia.</w:t>
      </w:r>
    </w:p>
    <w:p w14:paraId="1BFDC484" w14:textId="77777777" w:rsidR="00F36FED" w:rsidRPr="00F36FED" w:rsidRDefault="00F36FED" w:rsidP="00F36FED">
      <w:pPr>
        <w:rPr>
          <w:lang w:val="en-GB"/>
        </w:rPr>
      </w:pPr>
      <w:r w:rsidRPr="00F36FED">
        <w:rPr>
          <w:lang w:val="en-GB"/>
        </w:rPr>
        <w:t>Between meals or during periods of fasting, blood glucose levels begin to fall. In this state, pancreatic α-cells release glucagon, a hormone with opposite effects to insulin. Glucagon stimulates the liver to break down stored glycogen into glucose (glycogenolysis) and to synthesise new glucose molecules from non-carbohydrate sources such as amino acids (gluconeogenesis). This glucose is then released into the bloodstream, preventing hypoglycaemia and ensuring that tissues—particularly the brain and red blood cells, which rely almost exclusively on glucose—continue to function effectively (Diabetes UK, 2025).</w:t>
      </w:r>
    </w:p>
    <w:p w14:paraId="7168C3E2" w14:textId="77777777" w:rsidR="00F36FED" w:rsidRPr="00F36FED" w:rsidRDefault="00F36FED" w:rsidP="00F36FED">
      <w:pPr>
        <w:rPr>
          <w:lang w:val="en-GB"/>
        </w:rPr>
      </w:pPr>
      <w:r w:rsidRPr="00F36FED">
        <w:rPr>
          <w:lang w:val="en-GB"/>
        </w:rPr>
        <w:t xml:space="preserve">In individuals with </w:t>
      </w:r>
      <w:r w:rsidRPr="00F36FED">
        <w:rPr>
          <w:b/>
          <w:bCs/>
          <w:lang w:val="en-GB"/>
        </w:rPr>
        <w:t>Type 2 Diabetes Mellitus (T2DM)</w:t>
      </w:r>
      <w:r w:rsidRPr="00F36FED">
        <w:rPr>
          <w:lang w:val="en-GB"/>
        </w:rPr>
        <w:t xml:space="preserve">, this finely tuned system becomes disrupted due to </w:t>
      </w:r>
      <w:r w:rsidRPr="00F36FED">
        <w:rPr>
          <w:b/>
          <w:bCs/>
          <w:lang w:val="en-GB"/>
        </w:rPr>
        <w:t>insulin resistance</w:t>
      </w:r>
      <w:r w:rsidRPr="00F36FED">
        <w:rPr>
          <w:lang w:val="en-GB"/>
        </w:rPr>
        <w:t xml:space="preserve">—a condition in which muscle, fat, and liver cells no longer respond efficiently to insulin. As a result, glucose uptake is impaired and blood sugar levels remain elevated even in the presence of sufficient insulin. The liver continues to </w:t>
      </w:r>
      <w:r w:rsidRPr="00F36FED">
        <w:rPr>
          <w:lang w:val="en-GB"/>
        </w:rPr>
        <w:lastRenderedPageBreak/>
        <w:t>produce glucose inappropriately, further exacerbating hyperglycaemia. Over time, pancreatic β-cells attempt to compensate by producing more insulin, but this increased workload eventually leads to β-cell exhaustion and a decline in insulin secretion (Pathophysiology of Type 2 Diabetes Mellitus, 2020).</w:t>
      </w:r>
    </w:p>
    <w:p w14:paraId="5B2F9D53" w14:textId="77777777" w:rsidR="00F36FED" w:rsidRPr="00F36FED" w:rsidRDefault="00F36FED" w:rsidP="00F36FED">
      <w:pPr>
        <w:rPr>
          <w:lang w:val="en-GB"/>
        </w:rPr>
      </w:pPr>
      <w:r w:rsidRPr="00F36FED">
        <w:rPr>
          <w:lang w:val="en-GB"/>
        </w:rPr>
        <w:t xml:space="preserve">At the cellular level, insulin resistance is strongly linked to </w:t>
      </w:r>
      <w:r w:rsidRPr="00F36FED">
        <w:rPr>
          <w:b/>
          <w:bCs/>
          <w:lang w:val="en-GB"/>
        </w:rPr>
        <w:t>obesity-related inflammation</w:t>
      </w:r>
      <w:r w:rsidRPr="00F36FED">
        <w:rPr>
          <w:lang w:val="en-GB"/>
        </w:rPr>
        <w:t xml:space="preserve">, </w:t>
      </w:r>
      <w:r w:rsidRPr="00F36FED">
        <w:rPr>
          <w:b/>
          <w:bCs/>
          <w:lang w:val="en-GB"/>
        </w:rPr>
        <w:t>lipid accumulation</w:t>
      </w:r>
      <w:r w:rsidRPr="00F36FED">
        <w:rPr>
          <w:lang w:val="en-GB"/>
        </w:rPr>
        <w:t xml:space="preserve"> within muscle and liver tissues, and </w:t>
      </w:r>
      <w:r w:rsidRPr="00F36FED">
        <w:rPr>
          <w:b/>
          <w:bCs/>
          <w:lang w:val="en-GB"/>
        </w:rPr>
        <w:t>oxidative stress</w:t>
      </w:r>
      <w:r w:rsidRPr="00F36FED">
        <w:rPr>
          <w:lang w:val="en-GB"/>
        </w:rPr>
        <w:t>, all of which interfere with insulin receptor signalling and glucose transporter activity (Nature Communications, 2024). Mitochondrial dysfunction and chronic low-grade inflammation contribute further to metabolic dysregulation, establishing a vicious cycle that perpetuates insulin resistance.</w:t>
      </w:r>
    </w:p>
    <w:p w14:paraId="4CB36C77" w14:textId="77777777" w:rsidR="00F36FED" w:rsidRPr="00F36FED" w:rsidRDefault="00F36FED" w:rsidP="00F36FED">
      <w:pPr>
        <w:rPr>
          <w:lang w:val="en-GB"/>
        </w:rPr>
      </w:pPr>
      <w:r w:rsidRPr="00F36FED">
        <w:rPr>
          <w:lang w:val="en-GB"/>
        </w:rPr>
        <w:t xml:space="preserve">The </w:t>
      </w:r>
      <w:r w:rsidRPr="00F36FED">
        <w:rPr>
          <w:b/>
          <w:bCs/>
          <w:lang w:val="en-GB"/>
        </w:rPr>
        <w:t>physiological goal of treatment</w:t>
      </w:r>
      <w:r w:rsidRPr="00F36FED">
        <w:rPr>
          <w:lang w:val="en-GB"/>
        </w:rPr>
        <w:t xml:space="preserve"> in Type 2 diabetes is therefore to restore glucose homeostasis. This involves improving the body’s sensitivity to insulin, supporting residual β-cell function, and reducing hepatic glucose production. Non-pharmacological approaches—such as increased physical activity, dietary modification, and weight reduction—enhance insulin sensitivity and can significantly improve glucose control (Public Health England, 2025). When lifestyle measures alone are insufficient, pharmacological therapies such as metformin, GLP-1 receptor agonists, and SGLT2 inhibitors are introduced to target specific metabolic pathways, helping to re-establish a healthy hormonal balance and prevent the long-term complications of hyperglycaemia.</w:t>
      </w:r>
    </w:p>
    <w:p w14:paraId="02AD243A" w14:textId="77777777" w:rsidR="00F36FED" w:rsidRDefault="00F36FED"/>
    <w:p w14:paraId="4B58461B" w14:textId="77777777" w:rsidR="004E2855" w:rsidRDefault="00000000">
      <w:pPr>
        <w:pStyle w:val="Heading2"/>
      </w:pPr>
      <w:bookmarkStart w:id="3" w:name="_Toc213435656"/>
      <w:r>
        <w:t>How Oxygen and Glucose Produce Energy</w:t>
      </w:r>
      <w:bookmarkEnd w:id="3"/>
    </w:p>
    <w:p w14:paraId="1486633C" w14:textId="77777777" w:rsidR="004E2855" w:rsidRDefault="00000000">
      <w:r>
        <w:t>Cellular respiration—the process by which cells generate ATP (adenosine triphosphate)—requires both glucose and oxygen. Once glucose enters the cell, it undergoes glycolysis to produce pyruvate, which is then oxidised in the mitochondria through the Krebs cycle and oxidative phosphorylation. The overall reaction is:</w:t>
      </w:r>
      <w:r>
        <w:br/>
      </w:r>
      <w:r>
        <w:br/>
        <w:t>Glucose + Oxygen → Carbon Dioxide + Water + Energy (ATP)</w:t>
      </w:r>
      <w:r>
        <w:br/>
      </w:r>
      <w:r>
        <w:br/>
        <w:t>In individuals with diabetes, impaired glucose uptake results in reduced ATP production, causing fatigue, reduced exercise tolerance, and slower healing (British Heart Foundation, 2025). Inadequate cellular energy can compromise organ function, particularly in tissues with high energy demands, such as the heart and kidneys. Moreover, chronic hyperglycaemia induces oxidative stress, mitochondrial dysfunction, and formation of advanced glycation end-products (AGEs), contributing to tissue damage and vascular complications (Nature Communications, 2024). Maintaining optimal blood glucose and oxygen supply is therefore essential for sustaining normal energy metabolism and preventing complications.</w:t>
      </w:r>
    </w:p>
    <w:p w14:paraId="0299BE15" w14:textId="77777777" w:rsidR="004E2855" w:rsidRDefault="00000000">
      <w:pPr>
        <w:pStyle w:val="Heading2"/>
      </w:pPr>
      <w:bookmarkStart w:id="4" w:name="_Toc213435657"/>
      <w:r>
        <w:lastRenderedPageBreak/>
        <w:t>Recording and Tracking Blood Sugar Levels</w:t>
      </w:r>
      <w:bookmarkEnd w:id="4"/>
    </w:p>
    <w:p w14:paraId="5F1DD177" w14:textId="77777777" w:rsidR="004E2855" w:rsidRDefault="00000000">
      <w:r>
        <w:t>Self-monitoring of blood glucose (SMBG) and continuous glucose monitoring (CGM) are critical for effective self-management. SMBG involves using a glucometer for capillary blood samples, while CGM uses subcutaneous sensors that provide real-time glucose readings and trend data (NICE, 2025). Such technology enables early identification of hypoglycaemia, hyperglycaemia, and glycaemic variability.</w:t>
      </w:r>
      <w:r>
        <w:br/>
      </w:r>
      <w:r>
        <w:br/>
        <w:t>Patients are advised to record readings consistently, such as fasting, pre-meal, and post-meal, and to discuss results during follow-up appointments. HbA1c testing, which reflects average glucose over three months, remains a key biomarker, with a general target of less than 53 mmol/mol (Primary Care NEL ICB, 2024). Effective tracking prevents complications and supports medication adjustments (PMC, 2016).</w:t>
      </w:r>
      <w:r>
        <w:br/>
      </w:r>
      <w:r>
        <w:br/>
        <w:t>Digital platforms integrated with healthcare systems also enhance monitoring by allowing automatic data transfer to clinicians, improving feedback and adherence (NICE, 2023). Education on interpreting glucose data empowers patients to understand the effects of diet, activity, and stress on blood glucose control.</w:t>
      </w:r>
    </w:p>
    <w:p w14:paraId="15F9B806" w14:textId="77777777" w:rsidR="004E2855" w:rsidRDefault="00000000">
      <w:pPr>
        <w:pStyle w:val="Heading2"/>
      </w:pPr>
      <w:bookmarkStart w:id="5" w:name="_Toc213435658"/>
      <w:r>
        <w:t>Lifestyle Changes and Recommendations</w:t>
      </w:r>
      <w:bookmarkEnd w:id="5"/>
    </w:p>
    <w:p w14:paraId="281576FA" w14:textId="77777777" w:rsidR="004E2855" w:rsidRDefault="00000000">
      <w:r>
        <w:t>Lifestyle interventions are the foundation of T2DM management. Evidence consistently shows that diet, physical activity, and behavioural modification significantly improve glycaemic control and can induce remission in some individuals (Diabetes UK, 2022).</w:t>
      </w:r>
      <w:r>
        <w:br/>
      </w:r>
      <w:r>
        <w:br/>
        <w:t>Dietary recommendations emphasise a balanced intake of whole grains, vegetables, fruits, lean proteins, and healthy fats while reducing processed carbohydrates and sugary foods (NHS England, 2025). Low-glycaemic index carbohydrates and high-fibre diets slow glucose absorption and stabilise postprandial levels (Public Health Scotland, 2025).</w:t>
      </w:r>
      <w:r>
        <w:br/>
      </w:r>
      <w:r>
        <w:br/>
        <w:t>Physical activity enhances insulin sensitivity and facilitates glucose uptake independent of insulin by increasing muscle glucose transporter expression (GLUT4) (Mayo Clinic, 2025). Adults are encouraged to engage in at least 150 minutes of moderate-intensity exercise per week, complemented by resistance training two to three times weekly. Weight loss of 5–10% can significantly reduce insulin resistance, while greater losses may achieve remission (Patient.info, 2024).</w:t>
      </w:r>
      <w:r>
        <w:br/>
      </w:r>
      <w:r>
        <w:br/>
        <w:t>Smoking cessation and alcohol moderation are essential to prevent vascular damage and metabolic dysregulation (Public Health England, 2025). Stress reduction and adequate sleep further support hormonal balance, as elevated cortisol levels from chronic stress can raise blood glucose.</w:t>
      </w:r>
      <w:r>
        <w:br/>
      </w:r>
      <w:r>
        <w:br/>
        <w:t xml:space="preserve">Structured education, such as the DESMOND programme, equips individuals with knowledge and skills for self-management, improving long-term adherence (NHS England, 2025). Pharmacological therapy—beginning with Metformin—complements lifestyle </w:t>
      </w:r>
      <w:r>
        <w:lastRenderedPageBreak/>
        <w:t>changes by reducing hepatic glucose output and improving insulin sensitivity (NICE, 2023). In patients with cardiovascular or renal comorbidities, SGLT2 inhibitors and GLP-1 receptor agonists are recommended due to proven outcome benefits (PubMed, 2024).</w:t>
      </w:r>
      <w:r>
        <w:br/>
      </w:r>
      <w:r>
        <w:br/>
        <w:t>Recent research indicates that early intervention combining low-calorie diets and physical activity can induce remission in up to 46% of newly diagnosed cases (Diabetes UK, 2022). Thus, empowering patients through education, technology, and lifestyle support is crucial for sustainable management.</w:t>
      </w:r>
    </w:p>
    <w:p w14:paraId="5A822285" w14:textId="77777777" w:rsidR="004E2855" w:rsidRDefault="00000000">
      <w:pPr>
        <w:pStyle w:val="Heading2"/>
      </w:pPr>
      <w:bookmarkStart w:id="6" w:name="_Toc213435659"/>
      <w:r>
        <w:t>Conclusion</w:t>
      </w:r>
      <w:bookmarkEnd w:id="6"/>
    </w:p>
    <w:p w14:paraId="53A2B63D" w14:textId="77777777" w:rsidR="00F1661B" w:rsidRPr="00F1661B" w:rsidRDefault="00F1661B" w:rsidP="00F1661B">
      <w:pPr>
        <w:rPr>
          <w:lang w:val="en-GB"/>
        </w:rPr>
      </w:pPr>
      <w:r w:rsidRPr="00F1661B">
        <w:rPr>
          <w:lang w:val="en-GB"/>
        </w:rPr>
        <w:t>Type 2 diabetes is a complex but ultimately manageable chronic metabolic condition. Its underlying pathophysiology involves both impaired insulin action and a progressive decline in insulin secretion, resulting in chronic disturbances to glucose homeostasis. Although the condition cannot currently be cured, its progression can be significantly slowed—and in some cases, temporarily reversed—through early diagnosis, lifestyle intervention, and sustained medical management (NICE, 2025).</w:t>
      </w:r>
    </w:p>
    <w:p w14:paraId="243614CF" w14:textId="77777777" w:rsidR="00F1661B" w:rsidRPr="00F1661B" w:rsidRDefault="00F1661B" w:rsidP="00F1661B">
      <w:pPr>
        <w:rPr>
          <w:lang w:val="en-GB"/>
        </w:rPr>
      </w:pPr>
      <w:r w:rsidRPr="00F1661B">
        <w:rPr>
          <w:lang w:val="en-GB"/>
        </w:rPr>
        <w:t>Effective diabetes care requires an integrated approach that combines education, self-management, and professional clinical support. Regular blood glucose monitoring enables individuals to understand how diet, activity, stress, and medication affect their glucose levels, empowering them to make informed adjustments. A balanced, nutrient-rich diet that emphasises whole grains, fibre, lean proteins, and limited refined sugars forms the foundation of glycaemic control (Public Health Scotland, 2025). Combined with regular physical activity, such measures enhance insulin sensitivity, reduce cardiovascular risk, and improve mental wellbeing.</w:t>
      </w:r>
    </w:p>
    <w:p w14:paraId="49C90A16" w14:textId="77777777" w:rsidR="00F1661B" w:rsidRPr="00F1661B" w:rsidRDefault="00F1661B" w:rsidP="00F1661B">
      <w:pPr>
        <w:rPr>
          <w:lang w:val="en-GB"/>
        </w:rPr>
      </w:pPr>
      <w:r w:rsidRPr="00F1661B">
        <w:rPr>
          <w:lang w:val="en-GB"/>
        </w:rPr>
        <w:t xml:space="preserve">Adherence to prescribed medication is equally essential, as pharmacological therapy helps compensate for the body’s impaired metabolic regulation. Metformin remains the first-line agent for most individuals, but newer treatments such as GLP-1 receptor agonists and SGLT2 inhibitors offer additional benefits, including weight management and cardiovascular protection (PubMed, 2024). Patient education programmes such as </w:t>
      </w:r>
      <w:r w:rsidRPr="00F1661B">
        <w:rPr>
          <w:b/>
          <w:bCs/>
          <w:lang w:val="en-GB"/>
        </w:rPr>
        <w:t>DESMOND</w:t>
      </w:r>
      <w:r w:rsidRPr="00F1661B">
        <w:rPr>
          <w:lang w:val="en-GB"/>
        </w:rPr>
        <w:t xml:space="preserve"> (Diabetes Education and Self-Management for Ongoing and Newly Diagnosed) further enhance understanding and encourage sustainable behaviour change, ensuring that individuals play an active role in managing their own health.</w:t>
      </w:r>
    </w:p>
    <w:p w14:paraId="4094D35F" w14:textId="77777777" w:rsidR="00F1661B" w:rsidRPr="00F1661B" w:rsidRDefault="00F1661B" w:rsidP="00F1661B">
      <w:pPr>
        <w:rPr>
          <w:lang w:val="en-GB"/>
        </w:rPr>
      </w:pPr>
      <w:r w:rsidRPr="00F1661B">
        <w:rPr>
          <w:lang w:val="en-GB"/>
        </w:rPr>
        <w:t>From a physiological perspective, maintaining glycaemic stability protects the body from long-term complications by preventing vascular and nerve damage. By understanding how insulin and glucagon regulate blood glucose, individuals can appreciate the biological rationale behind lifestyle advice and treatment regimens. This knowledge fosters compliance and empowers patients to take responsibility for their wellbeing.</w:t>
      </w:r>
    </w:p>
    <w:p w14:paraId="287DB423" w14:textId="77777777" w:rsidR="00F1661B" w:rsidRPr="00F1661B" w:rsidRDefault="00F1661B" w:rsidP="00F1661B">
      <w:pPr>
        <w:rPr>
          <w:lang w:val="en-GB"/>
        </w:rPr>
      </w:pPr>
      <w:r w:rsidRPr="00F1661B">
        <w:rPr>
          <w:lang w:val="en-GB"/>
        </w:rPr>
        <w:t xml:space="preserve">In summary, Type 2 diabetes should be viewed not simply as an inevitable consequence of ageing or modern lifestyle, but as a condition that can be effectively managed through a combination of medical, behavioural, and educational strategies. The integration of physiological understanding with evidence-based interventions allows individuals to </w:t>
      </w:r>
      <w:r w:rsidRPr="00F1661B">
        <w:rPr>
          <w:lang w:val="en-GB"/>
        </w:rPr>
        <w:lastRenderedPageBreak/>
        <w:t>maintain a good quality of life, reduce the burden of complications, and, in some cases, achieve remission. Ultimately, consistent, informed self-care—supported by structured professional guidance—remains the cornerstone of successful diabetes management in the modern healthcare setting.</w:t>
      </w:r>
    </w:p>
    <w:p w14:paraId="06058EF1" w14:textId="77777777" w:rsidR="00F1661B" w:rsidRDefault="00F1661B" w:rsidP="00F1661B"/>
    <w:p w14:paraId="5705F247" w14:textId="199BB899" w:rsidR="004E2855" w:rsidRDefault="00000000">
      <w:pPr>
        <w:pStyle w:val="Heading2"/>
      </w:pPr>
      <w:bookmarkStart w:id="7" w:name="_Toc213435660"/>
      <w:r>
        <w:t>References</w:t>
      </w:r>
      <w:bookmarkEnd w:id="7"/>
    </w:p>
    <w:p w14:paraId="1A2C6C0E" w14:textId="7BD862FA" w:rsidR="004E2855" w:rsidRDefault="00000000">
      <w:pPr>
        <w:pStyle w:val="ListBullet"/>
      </w:pPr>
      <w:r>
        <w:t xml:space="preserve">British Heart Foundation (2025) ‘How the body uses oxygen and glucose to make energy’. Available at: </w:t>
      </w:r>
      <w:hyperlink r:id="rId8" w:history="1">
        <w:r w:rsidR="00F1661B" w:rsidRPr="00A37D6B">
          <w:rPr>
            <w:rStyle w:val="Hyperlink"/>
          </w:rPr>
          <w:t>https://www.bhf.org.uk/informationsupport/how-your-heart-works</w:t>
        </w:r>
      </w:hyperlink>
      <w:r w:rsidR="00F1661B">
        <w:t xml:space="preserve"> </w:t>
      </w:r>
      <w:r>
        <w:t>(Accessed: 1 October 2025).</w:t>
      </w:r>
    </w:p>
    <w:p w14:paraId="353A1BE5" w14:textId="62E2881D" w:rsidR="004E2855" w:rsidRDefault="00000000">
      <w:pPr>
        <w:pStyle w:val="ListBullet"/>
      </w:pPr>
      <w:r>
        <w:t xml:space="preserve">Diabetes UK (2025) ‘Understanding insulin and blood glucose control’. Available at: </w:t>
      </w:r>
      <w:hyperlink r:id="rId9" w:history="1">
        <w:r w:rsidR="00F1661B" w:rsidRPr="00A37D6B">
          <w:rPr>
            <w:rStyle w:val="Hyperlink"/>
          </w:rPr>
          <w:t>https://www.diabetes.org.uk/guide-to-diabetes</w:t>
        </w:r>
      </w:hyperlink>
      <w:r w:rsidR="00F1661B">
        <w:t xml:space="preserve"> </w:t>
      </w:r>
      <w:r>
        <w:t>(Accessed: 3 October 2025).</w:t>
      </w:r>
    </w:p>
    <w:p w14:paraId="114CEC9F" w14:textId="7B8D7422" w:rsidR="004E2855" w:rsidRDefault="00000000">
      <w:pPr>
        <w:pStyle w:val="ListBullet"/>
      </w:pPr>
      <w:r>
        <w:t xml:space="preserve">NHS England (2025) ‘Type 2 diabetes overview’. Available at: </w:t>
      </w:r>
      <w:hyperlink r:id="rId10" w:history="1">
        <w:r w:rsidR="00F1661B" w:rsidRPr="00A37D6B">
          <w:rPr>
            <w:rStyle w:val="Hyperlink"/>
          </w:rPr>
          <w:t>https://www.nhs.uk/conditions/type-2-diabetes/</w:t>
        </w:r>
      </w:hyperlink>
      <w:r w:rsidR="00F1661B">
        <w:t xml:space="preserve"> </w:t>
      </w:r>
      <w:r>
        <w:t>(Accessed: 5 October 2025).</w:t>
      </w:r>
    </w:p>
    <w:p w14:paraId="4F1E4DBA" w14:textId="77DC416F" w:rsidR="004E2855" w:rsidRDefault="00000000">
      <w:pPr>
        <w:pStyle w:val="ListBullet"/>
      </w:pPr>
      <w:r>
        <w:t xml:space="preserve">NICE (2025) ‘Continuous glucose monitoring for adults with Type 2 diabetes’. Available at: </w:t>
      </w:r>
      <w:hyperlink r:id="rId11" w:history="1">
        <w:r w:rsidR="00F1661B" w:rsidRPr="00A37D6B">
          <w:rPr>
            <w:rStyle w:val="Hyperlink"/>
          </w:rPr>
          <w:t>https://www.nice.org.uk/guidance/ng17</w:t>
        </w:r>
      </w:hyperlink>
      <w:r w:rsidR="00F1661B">
        <w:t xml:space="preserve"> </w:t>
      </w:r>
      <w:r>
        <w:t>(Accessed: 7 October 2025).</w:t>
      </w:r>
    </w:p>
    <w:p w14:paraId="5898BABA" w14:textId="62954759" w:rsidR="004E2855" w:rsidRDefault="00000000">
      <w:pPr>
        <w:pStyle w:val="ListBullet"/>
      </w:pPr>
      <w:r>
        <w:t xml:space="preserve">Public Health England (2025) ‘Preventing Type 2 diabetes: risk factors and early intervention’. Available at: </w:t>
      </w:r>
      <w:hyperlink r:id="rId12" w:history="1">
        <w:r w:rsidR="00F1661B" w:rsidRPr="00A37D6B">
          <w:rPr>
            <w:rStyle w:val="Hyperlink"/>
          </w:rPr>
          <w:t>https://www.gov.uk/government/publications/type-2-diabetes-prevention</w:t>
        </w:r>
      </w:hyperlink>
      <w:r w:rsidR="00F1661B">
        <w:t xml:space="preserve"> </w:t>
      </w:r>
      <w:r>
        <w:t>(Accessed: 9 October 2025).</w:t>
      </w:r>
    </w:p>
    <w:p w14:paraId="76404975" w14:textId="3967552C" w:rsidR="004E2855" w:rsidRDefault="00000000">
      <w:pPr>
        <w:pStyle w:val="ListBullet"/>
      </w:pPr>
      <w:r>
        <w:t xml:space="preserve">Public Health Scotland (2025) ‘Healthy living with diabetes’. Available at: </w:t>
      </w:r>
      <w:hyperlink r:id="rId13" w:history="1">
        <w:r w:rsidR="00F1661B" w:rsidRPr="00A37D6B">
          <w:rPr>
            <w:rStyle w:val="Hyperlink"/>
          </w:rPr>
          <w:t>https://www.healthscotland.scot/diabetes</w:t>
        </w:r>
      </w:hyperlink>
      <w:r w:rsidR="00F1661B">
        <w:t xml:space="preserve"> </w:t>
      </w:r>
      <w:r>
        <w:t>(Accessed: 11 October 2025).</w:t>
      </w:r>
    </w:p>
    <w:p w14:paraId="1B4F102E" w14:textId="7C1D64B7" w:rsidR="004E2855" w:rsidRDefault="00000000">
      <w:pPr>
        <w:pStyle w:val="ListBullet"/>
      </w:pPr>
      <w:r>
        <w:t xml:space="preserve">Pathophysiology of Type 2 Diabetes Mellitus (2020) National Library of Medicine. Available at: </w:t>
      </w:r>
      <w:hyperlink r:id="rId14" w:history="1">
        <w:r w:rsidR="00F1661B" w:rsidRPr="00A37D6B">
          <w:rPr>
            <w:rStyle w:val="Hyperlink"/>
          </w:rPr>
          <w:t>https://pmc.ncbi.nlm.nih.gov/articles/PMC7503727/</w:t>
        </w:r>
      </w:hyperlink>
      <w:r w:rsidR="00F1661B">
        <w:t xml:space="preserve"> </w:t>
      </w:r>
      <w:r>
        <w:t>(Accessed: 13 October 2025).</w:t>
      </w:r>
    </w:p>
    <w:p w14:paraId="432C8628" w14:textId="6FB39206" w:rsidR="004E2855" w:rsidRDefault="00000000">
      <w:pPr>
        <w:pStyle w:val="ListBullet"/>
      </w:pPr>
      <w:r>
        <w:t xml:space="preserve">Mayo Clinic (2025) ‘Type 2 diabetes – Symptoms and causes’. Available at: </w:t>
      </w:r>
      <w:hyperlink r:id="rId15" w:history="1">
        <w:r w:rsidR="00F1661B" w:rsidRPr="00A37D6B">
          <w:rPr>
            <w:rStyle w:val="Hyperlink"/>
          </w:rPr>
          <w:t>https://www.mayoclinic.org/diseases-conditions/type-2-diabetes/symptoms-causes/syc-20351193</w:t>
        </w:r>
      </w:hyperlink>
      <w:r w:rsidR="00F1661B">
        <w:t xml:space="preserve"> </w:t>
      </w:r>
      <w:r>
        <w:t>(Accessed: 15 October 2025).</w:t>
      </w:r>
    </w:p>
    <w:p w14:paraId="1E239762" w14:textId="21992D18" w:rsidR="004E2855" w:rsidRDefault="00000000">
      <w:pPr>
        <w:pStyle w:val="ListBullet"/>
      </w:pPr>
      <w:r>
        <w:t xml:space="preserve">Nature Communications (2024) ‘Type 2 Diabetes Mellitus: new pathogenetic mechanisms’. Available at: </w:t>
      </w:r>
      <w:hyperlink r:id="rId16" w:history="1">
        <w:r w:rsidR="00F1661B" w:rsidRPr="00A37D6B">
          <w:rPr>
            <w:rStyle w:val="Hyperlink"/>
          </w:rPr>
          <w:t>https://www.nature.com/articles/s41392-024-01951-9</w:t>
        </w:r>
      </w:hyperlink>
      <w:r w:rsidR="00F1661B">
        <w:t xml:space="preserve"> </w:t>
      </w:r>
      <w:r>
        <w:t>(Accessed: 17 October 2025).</w:t>
      </w:r>
    </w:p>
    <w:p w14:paraId="56733ED3" w14:textId="0B4F4643" w:rsidR="004E2855" w:rsidRDefault="00000000">
      <w:pPr>
        <w:pStyle w:val="ListBullet"/>
      </w:pPr>
      <w:r>
        <w:t xml:space="preserve">Patient.info (2024) ‘Management of type 2 diabetes’. Available at: </w:t>
      </w:r>
      <w:hyperlink r:id="rId17" w:history="1">
        <w:r w:rsidR="00F1661B" w:rsidRPr="00A37D6B">
          <w:rPr>
            <w:rStyle w:val="Hyperlink"/>
          </w:rPr>
          <w:t>https://patient.info/doctor/management-of-type-2-diabetes</w:t>
        </w:r>
      </w:hyperlink>
      <w:r w:rsidR="00F1661B">
        <w:t xml:space="preserve"> </w:t>
      </w:r>
      <w:r>
        <w:t>(Accessed: 18 October 2025).</w:t>
      </w:r>
    </w:p>
    <w:p w14:paraId="1E3E15A6" w14:textId="7D0852AD" w:rsidR="004E2855" w:rsidRDefault="00000000">
      <w:pPr>
        <w:pStyle w:val="ListBullet"/>
      </w:pPr>
      <w:r>
        <w:t xml:space="preserve">PMC (2016) ‘Management of type 2 diabetes: NICE guidelines’. Available at: </w:t>
      </w:r>
      <w:hyperlink r:id="rId18" w:history="1">
        <w:r w:rsidR="00F1661B" w:rsidRPr="00A37D6B">
          <w:rPr>
            <w:rStyle w:val="Hyperlink"/>
          </w:rPr>
          <w:t>https://pmc.ncbi.nlm.nih.gov/articles/PMC4952504/</w:t>
        </w:r>
      </w:hyperlink>
      <w:r w:rsidR="00F1661B">
        <w:t xml:space="preserve"> </w:t>
      </w:r>
      <w:r>
        <w:t>(Accessed: 19 October 2025).</w:t>
      </w:r>
    </w:p>
    <w:p w14:paraId="4ED1317C" w14:textId="5E5DDE7D" w:rsidR="004E2855" w:rsidRDefault="00000000">
      <w:pPr>
        <w:pStyle w:val="ListBullet"/>
      </w:pPr>
      <w:r>
        <w:t xml:space="preserve">PubMed (2024) ‘Recent UK type 2 diabetes treatment guidance represents a near-universal recommendation of SGLT2-inhibitor therapy’. Available at: </w:t>
      </w:r>
      <w:hyperlink r:id="rId19" w:history="1">
        <w:r w:rsidR="00F1661B" w:rsidRPr="00A37D6B">
          <w:rPr>
            <w:rStyle w:val="Hyperlink"/>
          </w:rPr>
          <w:t>https://pubmed.ncbi.nlm.nih.gov/37919773/</w:t>
        </w:r>
      </w:hyperlink>
      <w:r w:rsidR="00F1661B">
        <w:t xml:space="preserve"> </w:t>
      </w:r>
      <w:r>
        <w:t>(Accessed: 20 October 2025).</w:t>
      </w:r>
    </w:p>
    <w:p w14:paraId="4A643405" w14:textId="52925A14" w:rsidR="004E2855" w:rsidRDefault="00000000">
      <w:pPr>
        <w:pStyle w:val="ListBullet"/>
      </w:pPr>
      <w:r>
        <w:t xml:space="preserve">Diabetes UK (2022) ‘Evidence-based nutrition guidelines for prevention and management of diabetes’. Available at: </w:t>
      </w:r>
      <w:hyperlink r:id="rId20" w:history="1">
        <w:r w:rsidR="00F1661B" w:rsidRPr="00A37D6B">
          <w:rPr>
            <w:rStyle w:val="Hyperlink"/>
          </w:rPr>
          <w:t>https://www.diabetes.org.uk/for-professionals/improving-care/clinical-recommendations-for-professionals</w:t>
        </w:r>
      </w:hyperlink>
      <w:r w:rsidR="00F1661B">
        <w:t xml:space="preserve"> </w:t>
      </w:r>
      <w:r>
        <w:t>(Accessed: 22 October 2025).</w:t>
      </w:r>
    </w:p>
    <w:p w14:paraId="012C72B8" w14:textId="7233F771" w:rsidR="004E2855" w:rsidRDefault="00000000">
      <w:pPr>
        <w:pStyle w:val="ListBullet"/>
      </w:pPr>
      <w:r>
        <w:lastRenderedPageBreak/>
        <w:t xml:space="preserve">NICE (2023) ‘Type 2 diabetes in adults: management (NG28)’. Available at: </w:t>
      </w:r>
      <w:hyperlink r:id="rId21" w:history="1">
        <w:r w:rsidR="00F1661B" w:rsidRPr="00A37D6B">
          <w:rPr>
            <w:rStyle w:val="Hyperlink"/>
          </w:rPr>
          <w:t>https://www.nice.org.uk/guidance/ng28/chapter/recommendations</w:t>
        </w:r>
      </w:hyperlink>
      <w:r w:rsidR="00F1661B">
        <w:t xml:space="preserve"> </w:t>
      </w:r>
      <w:r>
        <w:t>(Accessed: 24 October 2025).</w:t>
      </w:r>
    </w:p>
    <w:p w14:paraId="2139BA96" w14:textId="4D8D59DA" w:rsidR="004E2855" w:rsidRDefault="00000000">
      <w:pPr>
        <w:pStyle w:val="ListBullet"/>
      </w:pPr>
      <w:r>
        <w:t xml:space="preserve">Primary Care NEL ICB (2024) ‘Type 2 diabetes management guideline’. Available at: </w:t>
      </w:r>
      <w:hyperlink r:id="rId22" w:history="1">
        <w:r w:rsidR="00F1661B" w:rsidRPr="00A37D6B">
          <w:rPr>
            <w:rStyle w:val="Hyperlink"/>
          </w:rPr>
          <w:t>https://primarycare.northeastlondon.icb.nhs.uk</w:t>
        </w:r>
      </w:hyperlink>
      <w:r w:rsidR="00F1661B">
        <w:t xml:space="preserve"> </w:t>
      </w:r>
      <w:r>
        <w:t>(Accessed: 26 October 2025).</w:t>
      </w:r>
    </w:p>
    <w:p w14:paraId="3EB7D9BF" w14:textId="74A2842C" w:rsidR="004E2855" w:rsidRDefault="00000000">
      <w:pPr>
        <w:pStyle w:val="ListBullet"/>
      </w:pPr>
      <w:r>
        <w:t xml:space="preserve">Nature (2024) ‘Oxidative stress and mitochondrial dysfunction in diabetes’. Available at: </w:t>
      </w:r>
      <w:hyperlink r:id="rId23" w:history="1">
        <w:r w:rsidR="00F1661B" w:rsidRPr="00A37D6B">
          <w:rPr>
            <w:rStyle w:val="Hyperlink"/>
          </w:rPr>
          <w:t>https://www.nature.com/articles/s41586-024-01847-3</w:t>
        </w:r>
      </w:hyperlink>
      <w:r w:rsidR="00F1661B">
        <w:t xml:space="preserve"> </w:t>
      </w:r>
      <w:r>
        <w:t>(Accessed: 27 October 2025).</w:t>
      </w:r>
    </w:p>
    <w:sectPr w:rsidR="004E2855" w:rsidSect="00034616">
      <w:footerReference w:type="default" r:id="rId24"/>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1E0451" w14:textId="77777777" w:rsidR="00620530" w:rsidRDefault="00620530" w:rsidP="00F1661B">
      <w:pPr>
        <w:spacing w:after="0" w:line="240" w:lineRule="auto"/>
      </w:pPr>
      <w:r>
        <w:separator/>
      </w:r>
    </w:p>
  </w:endnote>
  <w:endnote w:type="continuationSeparator" w:id="0">
    <w:p w14:paraId="374C17B6" w14:textId="77777777" w:rsidR="00620530" w:rsidRDefault="00620530" w:rsidP="00F166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67876553"/>
      <w:docPartObj>
        <w:docPartGallery w:val="Page Numbers (Bottom of Page)"/>
        <w:docPartUnique/>
      </w:docPartObj>
    </w:sdtPr>
    <w:sdtEndPr>
      <w:rPr>
        <w:color w:val="7F7F7F" w:themeColor="background1" w:themeShade="7F"/>
        <w:spacing w:val="60"/>
      </w:rPr>
    </w:sdtEndPr>
    <w:sdtContent>
      <w:p w14:paraId="5EED7B67" w14:textId="32E57BA0" w:rsidR="00F1661B" w:rsidRDefault="00F1661B">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3170554" w14:textId="77777777" w:rsidR="00F1661B" w:rsidRDefault="00F166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A72399" w14:textId="77777777" w:rsidR="00620530" w:rsidRDefault="00620530" w:rsidP="00F1661B">
      <w:pPr>
        <w:spacing w:after="0" w:line="240" w:lineRule="auto"/>
      </w:pPr>
      <w:r>
        <w:separator/>
      </w:r>
    </w:p>
  </w:footnote>
  <w:footnote w:type="continuationSeparator" w:id="0">
    <w:p w14:paraId="32C06685" w14:textId="77777777" w:rsidR="00620530" w:rsidRDefault="00620530" w:rsidP="00F166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509025736">
    <w:abstractNumId w:val="8"/>
  </w:num>
  <w:num w:numId="2" w16cid:durableId="2016222697">
    <w:abstractNumId w:val="6"/>
  </w:num>
  <w:num w:numId="3" w16cid:durableId="582758998">
    <w:abstractNumId w:val="5"/>
  </w:num>
  <w:num w:numId="4" w16cid:durableId="1913077297">
    <w:abstractNumId w:val="4"/>
  </w:num>
  <w:num w:numId="5" w16cid:durableId="2026639231">
    <w:abstractNumId w:val="7"/>
  </w:num>
  <w:num w:numId="6" w16cid:durableId="803428638">
    <w:abstractNumId w:val="3"/>
  </w:num>
  <w:num w:numId="7" w16cid:durableId="1740715707">
    <w:abstractNumId w:val="2"/>
  </w:num>
  <w:num w:numId="8" w16cid:durableId="418791177">
    <w:abstractNumId w:val="1"/>
  </w:num>
  <w:num w:numId="9" w16cid:durableId="20287530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66C64"/>
    <w:rsid w:val="0015074B"/>
    <w:rsid w:val="0029639D"/>
    <w:rsid w:val="00326F90"/>
    <w:rsid w:val="004E2855"/>
    <w:rsid w:val="00620530"/>
    <w:rsid w:val="009E0FF6"/>
    <w:rsid w:val="00AA1D8D"/>
    <w:rsid w:val="00B47730"/>
    <w:rsid w:val="00C3015D"/>
    <w:rsid w:val="00CB0664"/>
    <w:rsid w:val="00F1661B"/>
    <w:rsid w:val="00F36FED"/>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8D5195A"/>
  <w14:defaultImageDpi w14:val="300"/>
  <w15:docId w15:val="{8A43A67A-C5DA-4FED-AD7D-FBD676197E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F1661B"/>
    <w:rPr>
      <w:color w:val="0000FF" w:themeColor="hyperlink"/>
      <w:u w:val="single"/>
    </w:rPr>
  </w:style>
  <w:style w:type="character" w:styleId="UnresolvedMention">
    <w:name w:val="Unresolved Mention"/>
    <w:basedOn w:val="DefaultParagraphFont"/>
    <w:uiPriority w:val="99"/>
    <w:semiHidden/>
    <w:unhideWhenUsed/>
    <w:rsid w:val="00F1661B"/>
    <w:rPr>
      <w:color w:val="605E5C"/>
      <w:shd w:val="clear" w:color="auto" w:fill="E1DFDD"/>
    </w:rPr>
  </w:style>
  <w:style w:type="paragraph" w:styleId="TOC1">
    <w:name w:val="toc 1"/>
    <w:basedOn w:val="Normal"/>
    <w:next w:val="Normal"/>
    <w:autoRedefine/>
    <w:uiPriority w:val="39"/>
    <w:unhideWhenUsed/>
    <w:rsid w:val="00F1661B"/>
    <w:pPr>
      <w:spacing w:after="100"/>
    </w:pPr>
  </w:style>
  <w:style w:type="paragraph" w:styleId="TOC2">
    <w:name w:val="toc 2"/>
    <w:basedOn w:val="Normal"/>
    <w:next w:val="Normal"/>
    <w:autoRedefine/>
    <w:uiPriority w:val="39"/>
    <w:unhideWhenUsed/>
    <w:rsid w:val="00F1661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hf.org.uk/informationsupport/how-your-heart-works" TargetMode="External"/><Relationship Id="rId13" Type="http://schemas.openxmlformats.org/officeDocument/2006/relationships/hyperlink" Target="https://www.healthscotland.scot/diabetes" TargetMode="External"/><Relationship Id="rId18" Type="http://schemas.openxmlformats.org/officeDocument/2006/relationships/hyperlink" Target="https://pmc.ncbi.nlm.nih.gov/articles/PMC4952504/"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nice.org.uk/guidance/ng28/chapter/recommendations" TargetMode="External"/><Relationship Id="rId7" Type="http://schemas.openxmlformats.org/officeDocument/2006/relationships/endnotes" Target="endnotes.xml"/><Relationship Id="rId12" Type="http://schemas.openxmlformats.org/officeDocument/2006/relationships/hyperlink" Target="https://www.gov.uk/government/publications/type-2-diabetes-prevention" TargetMode="External"/><Relationship Id="rId17" Type="http://schemas.openxmlformats.org/officeDocument/2006/relationships/hyperlink" Target="https://patient.info/doctor/management-of-type-2-diabetes"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nature.com/articles/s41392-024-01951-9" TargetMode="External"/><Relationship Id="rId20" Type="http://schemas.openxmlformats.org/officeDocument/2006/relationships/hyperlink" Target="https://www.diabetes.org.uk/for-professionals/improving-care/clinical-recommendations-for-professional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ice.org.uk/guidance/ng17"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mayoclinic.org/diseases-conditions/type-2-diabetes/symptoms-causes/syc-20351193" TargetMode="External"/><Relationship Id="rId23" Type="http://schemas.openxmlformats.org/officeDocument/2006/relationships/hyperlink" Target="https://www.nature.com/articles/s41586-024-01847-3" TargetMode="External"/><Relationship Id="rId10" Type="http://schemas.openxmlformats.org/officeDocument/2006/relationships/hyperlink" Target="https://www.nhs.uk/conditions/type-2-diabetes/" TargetMode="External"/><Relationship Id="rId19" Type="http://schemas.openxmlformats.org/officeDocument/2006/relationships/hyperlink" Target="https://pubmed.ncbi.nlm.nih.gov/37919773/" TargetMode="External"/><Relationship Id="rId4" Type="http://schemas.openxmlformats.org/officeDocument/2006/relationships/settings" Target="settings.xml"/><Relationship Id="rId9" Type="http://schemas.openxmlformats.org/officeDocument/2006/relationships/hyperlink" Target="https://www.diabetes.org.uk/guide-to-diabetes" TargetMode="External"/><Relationship Id="rId14" Type="http://schemas.openxmlformats.org/officeDocument/2006/relationships/hyperlink" Target="https://pmc.ncbi.nlm.nih.gov/articles/PMC7503727/" TargetMode="External"/><Relationship Id="rId22" Type="http://schemas.openxmlformats.org/officeDocument/2006/relationships/hyperlink" Target="https://primarycare.northeastlondon.icb.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2491</Words>
  <Characters>17738</Characters>
  <Application>Microsoft Office Word</Application>
  <DocSecurity>0</DocSecurity>
  <Lines>305</Lines>
  <Paragraphs>66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20163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(Y12) Zain Adam</cp:lastModifiedBy>
  <cp:revision>3</cp:revision>
  <dcterms:created xsi:type="dcterms:W3CDTF">2025-11-07T19:20:00Z</dcterms:created>
  <dcterms:modified xsi:type="dcterms:W3CDTF">2025-11-07T19:20:00Z</dcterms:modified>
  <cp:category/>
</cp:coreProperties>
</file>