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35B1BE" w14:textId="605405C7" w:rsidR="00D91913" w:rsidRDefault="00D91913" w:rsidP="00EA4076">
      <w:pPr>
        <w:pStyle w:val="Title"/>
      </w:pPr>
    </w:p>
    <w:p w14:paraId="45CD257C" w14:textId="37DCF297" w:rsidR="00D91913" w:rsidRPr="00D91913" w:rsidRDefault="00D91913" w:rsidP="00D91913">
      <w:pPr>
        <w:rPr>
          <w:lang w:val="en-US"/>
        </w:rPr>
      </w:pPr>
      <w:r w:rsidRPr="00D91913">
        <w:rPr>
          <w:noProof/>
          <w:lang w:val="en-US"/>
        </w:rPr>
        <w:drawing>
          <wp:inline distT="0" distB="0" distL="0" distR="0" wp14:anchorId="477099E8" wp14:editId="13657F9A">
            <wp:extent cx="5727700" cy="2362200"/>
            <wp:effectExtent l="0" t="0" r="6350" b="0"/>
            <wp:docPr id="7092725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700" cy="2362200"/>
                    </a:xfrm>
                    <a:prstGeom prst="rect">
                      <a:avLst/>
                    </a:prstGeom>
                    <a:noFill/>
                    <a:ln>
                      <a:noFill/>
                    </a:ln>
                  </pic:spPr>
                </pic:pic>
              </a:graphicData>
            </a:graphic>
          </wp:inline>
        </w:drawing>
      </w:r>
    </w:p>
    <w:p w14:paraId="6A23D578" w14:textId="77777777" w:rsidR="00D91913" w:rsidRPr="00D91913" w:rsidRDefault="00D91913" w:rsidP="00D91913">
      <w:pPr>
        <w:rPr>
          <w:lang w:val="en-US"/>
        </w:rPr>
      </w:pPr>
    </w:p>
    <w:tbl>
      <w:tblPr>
        <w:tblStyle w:val="TableGrid"/>
        <w:tblW w:w="10275" w:type="dxa"/>
        <w:tblLook w:val="04A0" w:firstRow="1" w:lastRow="0" w:firstColumn="1" w:lastColumn="0" w:noHBand="0" w:noVBand="1"/>
      </w:tblPr>
      <w:tblGrid>
        <w:gridCol w:w="5137"/>
        <w:gridCol w:w="5138"/>
      </w:tblGrid>
      <w:tr w:rsidR="00D91913" w:rsidRPr="00D91913" w14:paraId="51736700" w14:textId="77777777">
        <w:trPr>
          <w:trHeight w:val="685"/>
        </w:trPr>
        <w:tc>
          <w:tcPr>
            <w:tcW w:w="5137" w:type="dxa"/>
            <w:tcBorders>
              <w:top w:val="single" w:sz="4" w:space="0" w:color="auto"/>
              <w:left w:val="single" w:sz="4" w:space="0" w:color="auto"/>
              <w:bottom w:val="single" w:sz="4" w:space="0" w:color="auto"/>
              <w:right w:val="single" w:sz="4" w:space="0" w:color="auto"/>
            </w:tcBorders>
            <w:hideMark/>
          </w:tcPr>
          <w:p w14:paraId="7BC14B1C" w14:textId="77777777" w:rsidR="00D91913" w:rsidRPr="00D91913" w:rsidRDefault="00D91913" w:rsidP="00D91913">
            <w:pPr>
              <w:spacing w:after="160" w:line="278" w:lineRule="auto"/>
              <w:rPr>
                <w:lang w:val="en-IN"/>
              </w:rPr>
            </w:pPr>
            <w:r w:rsidRPr="00D91913">
              <w:rPr>
                <w:lang w:val="en-IN"/>
              </w:rPr>
              <w:t xml:space="preserve">Program Name </w:t>
            </w:r>
          </w:p>
        </w:tc>
        <w:tc>
          <w:tcPr>
            <w:tcW w:w="5138" w:type="dxa"/>
            <w:tcBorders>
              <w:top w:val="single" w:sz="4" w:space="0" w:color="auto"/>
              <w:left w:val="single" w:sz="4" w:space="0" w:color="auto"/>
              <w:bottom w:val="single" w:sz="4" w:space="0" w:color="auto"/>
              <w:right w:val="single" w:sz="4" w:space="0" w:color="auto"/>
            </w:tcBorders>
            <w:hideMark/>
          </w:tcPr>
          <w:p w14:paraId="416B6E4D" w14:textId="77777777" w:rsidR="00D91913" w:rsidRPr="00D91913" w:rsidRDefault="00D91913" w:rsidP="00D91913">
            <w:pPr>
              <w:spacing w:after="160" w:line="278" w:lineRule="auto"/>
              <w:rPr>
                <w:lang w:val="en-IN"/>
              </w:rPr>
            </w:pPr>
            <w:r w:rsidRPr="00D91913">
              <w:rPr>
                <w:lang w:val="en-IN"/>
              </w:rPr>
              <w:t>MBA</w:t>
            </w:r>
          </w:p>
        </w:tc>
      </w:tr>
      <w:tr w:rsidR="00D91913" w:rsidRPr="00D91913" w14:paraId="167FA05A" w14:textId="77777777">
        <w:trPr>
          <w:trHeight w:val="670"/>
        </w:trPr>
        <w:tc>
          <w:tcPr>
            <w:tcW w:w="5137" w:type="dxa"/>
            <w:tcBorders>
              <w:top w:val="single" w:sz="4" w:space="0" w:color="auto"/>
              <w:left w:val="single" w:sz="4" w:space="0" w:color="auto"/>
              <w:bottom w:val="single" w:sz="4" w:space="0" w:color="auto"/>
              <w:right w:val="single" w:sz="4" w:space="0" w:color="auto"/>
            </w:tcBorders>
            <w:hideMark/>
          </w:tcPr>
          <w:p w14:paraId="53433B79" w14:textId="77777777" w:rsidR="00D91913" w:rsidRPr="00D91913" w:rsidRDefault="00D91913" w:rsidP="00D91913">
            <w:pPr>
              <w:spacing w:after="160" w:line="278" w:lineRule="auto"/>
              <w:rPr>
                <w:lang w:val="en-IN"/>
              </w:rPr>
            </w:pPr>
            <w:r w:rsidRPr="00D91913">
              <w:rPr>
                <w:lang w:val="en-IN"/>
              </w:rPr>
              <w:t>Module Name</w:t>
            </w:r>
          </w:p>
        </w:tc>
        <w:tc>
          <w:tcPr>
            <w:tcW w:w="5138" w:type="dxa"/>
            <w:tcBorders>
              <w:top w:val="single" w:sz="4" w:space="0" w:color="auto"/>
              <w:left w:val="single" w:sz="4" w:space="0" w:color="auto"/>
              <w:bottom w:val="single" w:sz="4" w:space="0" w:color="auto"/>
              <w:right w:val="single" w:sz="4" w:space="0" w:color="auto"/>
            </w:tcBorders>
            <w:hideMark/>
          </w:tcPr>
          <w:p w14:paraId="554D6DF1" w14:textId="6244BC7F" w:rsidR="00D91913" w:rsidRPr="00D91913" w:rsidRDefault="00D91913" w:rsidP="00D91913">
            <w:pPr>
              <w:spacing w:after="160" w:line="278" w:lineRule="auto"/>
              <w:rPr>
                <w:lang w:val="en-IN"/>
              </w:rPr>
            </w:pPr>
            <w:r>
              <w:rPr>
                <w:lang w:val="en-IN"/>
              </w:rPr>
              <w:t>Strategic Management</w:t>
            </w:r>
          </w:p>
        </w:tc>
      </w:tr>
      <w:tr w:rsidR="00D91913" w:rsidRPr="00D91913" w14:paraId="6063E8BE" w14:textId="77777777">
        <w:trPr>
          <w:trHeight w:val="685"/>
        </w:trPr>
        <w:tc>
          <w:tcPr>
            <w:tcW w:w="5137" w:type="dxa"/>
            <w:tcBorders>
              <w:top w:val="single" w:sz="4" w:space="0" w:color="auto"/>
              <w:left w:val="single" w:sz="4" w:space="0" w:color="auto"/>
              <w:bottom w:val="single" w:sz="4" w:space="0" w:color="auto"/>
              <w:right w:val="single" w:sz="4" w:space="0" w:color="auto"/>
            </w:tcBorders>
            <w:hideMark/>
          </w:tcPr>
          <w:p w14:paraId="39376274" w14:textId="77777777" w:rsidR="00D91913" w:rsidRPr="00D91913" w:rsidRDefault="00D91913" w:rsidP="00D91913">
            <w:pPr>
              <w:spacing w:after="160" w:line="278" w:lineRule="auto"/>
              <w:rPr>
                <w:lang w:val="en-IN"/>
              </w:rPr>
            </w:pPr>
            <w:r w:rsidRPr="00D91913">
              <w:rPr>
                <w:lang w:val="en-IN"/>
              </w:rPr>
              <w:t>Module Code</w:t>
            </w:r>
          </w:p>
        </w:tc>
        <w:tc>
          <w:tcPr>
            <w:tcW w:w="5138" w:type="dxa"/>
            <w:tcBorders>
              <w:top w:val="single" w:sz="4" w:space="0" w:color="auto"/>
              <w:left w:val="single" w:sz="4" w:space="0" w:color="auto"/>
              <w:bottom w:val="single" w:sz="4" w:space="0" w:color="auto"/>
              <w:right w:val="single" w:sz="4" w:space="0" w:color="auto"/>
            </w:tcBorders>
            <w:hideMark/>
          </w:tcPr>
          <w:p w14:paraId="1CC8DA1A" w14:textId="1BD1583D" w:rsidR="00D91913" w:rsidRPr="00D91913" w:rsidRDefault="00D91913" w:rsidP="00D91913">
            <w:pPr>
              <w:spacing w:after="160" w:line="278" w:lineRule="auto"/>
              <w:rPr>
                <w:lang w:val="en-IN"/>
              </w:rPr>
            </w:pPr>
            <w:r w:rsidRPr="00D91913">
              <w:rPr>
                <w:lang w:val="en-IN"/>
              </w:rPr>
              <w:t>LCMB70</w:t>
            </w:r>
            <w:r>
              <w:rPr>
                <w:lang w:val="en-IN"/>
              </w:rPr>
              <w:t>03</w:t>
            </w:r>
          </w:p>
        </w:tc>
      </w:tr>
      <w:tr w:rsidR="00D91913" w:rsidRPr="00D91913" w14:paraId="1FD142FD" w14:textId="77777777">
        <w:trPr>
          <w:trHeight w:val="670"/>
        </w:trPr>
        <w:tc>
          <w:tcPr>
            <w:tcW w:w="5137" w:type="dxa"/>
            <w:tcBorders>
              <w:top w:val="single" w:sz="4" w:space="0" w:color="auto"/>
              <w:left w:val="single" w:sz="4" w:space="0" w:color="auto"/>
              <w:bottom w:val="single" w:sz="4" w:space="0" w:color="auto"/>
              <w:right w:val="single" w:sz="4" w:space="0" w:color="auto"/>
            </w:tcBorders>
            <w:hideMark/>
          </w:tcPr>
          <w:p w14:paraId="73E49DEF" w14:textId="6DB44DA0" w:rsidR="00D91913" w:rsidRPr="00D91913" w:rsidRDefault="00D91913" w:rsidP="00D91913">
            <w:pPr>
              <w:spacing w:after="160" w:line="278" w:lineRule="auto"/>
              <w:rPr>
                <w:lang w:val="en-IN"/>
              </w:rPr>
            </w:pPr>
            <w:r w:rsidRPr="00D91913">
              <w:rPr>
                <w:lang w:val="en-IN"/>
              </w:rPr>
              <w:t>Title</w:t>
            </w:r>
          </w:p>
        </w:tc>
        <w:tc>
          <w:tcPr>
            <w:tcW w:w="5138" w:type="dxa"/>
            <w:tcBorders>
              <w:top w:val="single" w:sz="4" w:space="0" w:color="auto"/>
              <w:left w:val="single" w:sz="4" w:space="0" w:color="auto"/>
              <w:bottom w:val="single" w:sz="4" w:space="0" w:color="auto"/>
              <w:right w:val="single" w:sz="4" w:space="0" w:color="auto"/>
            </w:tcBorders>
            <w:hideMark/>
          </w:tcPr>
          <w:p w14:paraId="248BBCA8" w14:textId="331E2691" w:rsidR="00D91913" w:rsidRPr="00D91913" w:rsidRDefault="00D91913" w:rsidP="00D91913">
            <w:pPr>
              <w:spacing w:after="160" w:line="278" w:lineRule="auto"/>
              <w:rPr>
                <w:lang w:val="en-IN"/>
              </w:rPr>
            </w:pPr>
            <w:r>
              <w:rPr>
                <w:lang w:val="en-IN"/>
              </w:rPr>
              <w:t xml:space="preserve">Assessment Component : Individual Report </w:t>
            </w:r>
          </w:p>
        </w:tc>
      </w:tr>
      <w:tr w:rsidR="00D91913" w:rsidRPr="00D91913" w14:paraId="08E4094B" w14:textId="77777777">
        <w:trPr>
          <w:trHeight w:val="1358"/>
        </w:trPr>
        <w:tc>
          <w:tcPr>
            <w:tcW w:w="5137" w:type="dxa"/>
            <w:tcBorders>
              <w:top w:val="single" w:sz="4" w:space="0" w:color="auto"/>
              <w:left w:val="single" w:sz="4" w:space="0" w:color="auto"/>
              <w:bottom w:val="single" w:sz="4" w:space="0" w:color="auto"/>
              <w:right w:val="single" w:sz="4" w:space="0" w:color="auto"/>
            </w:tcBorders>
            <w:hideMark/>
          </w:tcPr>
          <w:p w14:paraId="3A03A21A" w14:textId="5B3312CC" w:rsidR="00D91913" w:rsidRPr="00D91913" w:rsidRDefault="00D91913" w:rsidP="00D91913">
            <w:pPr>
              <w:spacing w:after="160" w:line="278" w:lineRule="auto"/>
              <w:rPr>
                <w:lang w:val="en-IN"/>
              </w:rPr>
            </w:pPr>
          </w:p>
          <w:p w14:paraId="386E9025" w14:textId="77777777" w:rsidR="00D91913" w:rsidRPr="00D91913" w:rsidRDefault="00D91913" w:rsidP="00D91913">
            <w:pPr>
              <w:spacing w:after="160" w:line="278" w:lineRule="auto"/>
              <w:rPr>
                <w:lang w:val="en-IN"/>
              </w:rPr>
            </w:pPr>
            <w:r w:rsidRPr="00D91913">
              <w:rPr>
                <w:lang w:val="en-IN"/>
              </w:rPr>
              <w:t xml:space="preserve">Company Name </w:t>
            </w:r>
          </w:p>
        </w:tc>
        <w:tc>
          <w:tcPr>
            <w:tcW w:w="5138" w:type="dxa"/>
            <w:tcBorders>
              <w:top w:val="single" w:sz="4" w:space="0" w:color="auto"/>
              <w:left w:val="single" w:sz="4" w:space="0" w:color="auto"/>
              <w:bottom w:val="single" w:sz="4" w:space="0" w:color="auto"/>
              <w:right w:val="single" w:sz="4" w:space="0" w:color="auto"/>
            </w:tcBorders>
            <w:hideMark/>
          </w:tcPr>
          <w:p w14:paraId="570D1BEE" w14:textId="77777777" w:rsidR="00D91913" w:rsidRDefault="00D91913" w:rsidP="00D91913">
            <w:pPr>
              <w:spacing w:after="160" w:line="278" w:lineRule="auto"/>
              <w:rPr>
                <w:lang w:val="en-IN"/>
              </w:rPr>
            </w:pPr>
          </w:p>
          <w:p w14:paraId="08BE5588" w14:textId="46A1AEB6" w:rsidR="00D91913" w:rsidRPr="00D91913" w:rsidRDefault="00D91913" w:rsidP="00D91913">
            <w:pPr>
              <w:spacing w:after="160" w:line="278" w:lineRule="auto"/>
              <w:rPr>
                <w:lang w:val="en-IN"/>
              </w:rPr>
            </w:pPr>
            <w:r>
              <w:rPr>
                <w:lang w:val="en-IN"/>
              </w:rPr>
              <w:t>Starbucks</w:t>
            </w:r>
          </w:p>
        </w:tc>
      </w:tr>
      <w:tr w:rsidR="00D91913" w:rsidRPr="00D91913" w14:paraId="3234BD88" w14:textId="77777777">
        <w:trPr>
          <w:trHeight w:val="685"/>
        </w:trPr>
        <w:tc>
          <w:tcPr>
            <w:tcW w:w="5137" w:type="dxa"/>
            <w:tcBorders>
              <w:top w:val="single" w:sz="4" w:space="0" w:color="auto"/>
              <w:left w:val="single" w:sz="4" w:space="0" w:color="auto"/>
              <w:bottom w:val="single" w:sz="4" w:space="0" w:color="auto"/>
              <w:right w:val="single" w:sz="4" w:space="0" w:color="auto"/>
            </w:tcBorders>
            <w:hideMark/>
          </w:tcPr>
          <w:p w14:paraId="2F452F48" w14:textId="77777777" w:rsidR="00D91913" w:rsidRPr="00D91913" w:rsidRDefault="00D91913" w:rsidP="00D91913">
            <w:pPr>
              <w:spacing w:after="160" w:line="278" w:lineRule="auto"/>
              <w:rPr>
                <w:lang w:val="en-IN"/>
              </w:rPr>
            </w:pPr>
            <w:r w:rsidRPr="00D91913">
              <w:rPr>
                <w:lang w:val="en-IN"/>
              </w:rPr>
              <w:t>Lecturer</w:t>
            </w:r>
          </w:p>
        </w:tc>
        <w:tc>
          <w:tcPr>
            <w:tcW w:w="5138" w:type="dxa"/>
            <w:tcBorders>
              <w:top w:val="single" w:sz="4" w:space="0" w:color="auto"/>
              <w:left w:val="single" w:sz="4" w:space="0" w:color="auto"/>
              <w:bottom w:val="single" w:sz="4" w:space="0" w:color="auto"/>
              <w:right w:val="single" w:sz="4" w:space="0" w:color="auto"/>
            </w:tcBorders>
            <w:hideMark/>
          </w:tcPr>
          <w:p w14:paraId="0C339701" w14:textId="35378DA3" w:rsidR="00D91913" w:rsidRPr="00D91913" w:rsidRDefault="00D91913" w:rsidP="00D91913">
            <w:pPr>
              <w:spacing w:after="160" w:line="278" w:lineRule="auto"/>
              <w:rPr>
                <w:lang w:val="en-IN"/>
              </w:rPr>
            </w:pPr>
            <w:r>
              <w:rPr>
                <w:lang w:val="en-IN"/>
              </w:rPr>
              <w:t>Jia Miao</w:t>
            </w:r>
          </w:p>
        </w:tc>
      </w:tr>
      <w:tr w:rsidR="00D91913" w:rsidRPr="00D91913" w14:paraId="1E461353" w14:textId="77777777">
        <w:trPr>
          <w:trHeight w:val="685"/>
        </w:trPr>
        <w:tc>
          <w:tcPr>
            <w:tcW w:w="5137" w:type="dxa"/>
            <w:tcBorders>
              <w:top w:val="single" w:sz="4" w:space="0" w:color="auto"/>
              <w:left w:val="single" w:sz="4" w:space="0" w:color="auto"/>
              <w:bottom w:val="single" w:sz="4" w:space="0" w:color="auto"/>
              <w:right w:val="single" w:sz="4" w:space="0" w:color="auto"/>
            </w:tcBorders>
            <w:hideMark/>
          </w:tcPr>
          <w:p w14:paraId="2C57DEC7" w14:textId="77777777" w:rsidR="00D91913" w:rsidRPr="00D91913" w:rsidRDefault="00D91913" w:rsidP="00D91913">
            <w:pPr>
              <w:spacing w:after="160" w:line="278" w:lineRule="auto"/>
              <w:rPr>
                <w:lang w:val="en-IN"/>
              </w:rPr>
            </w:pPr>
            <w:r w:rsidRPr="00D91913">
              <w:rPr>
                <w:lang w:val="en-IN"/>
              </w:rPr>
              <w:t>Student Name</w:t>
            </w:r>
          </w:p>
        </w:tc>
        <w:tc>
          <w:tcPr>
            <w:tcW w:w="5138" w:type="dxa"/>
            <w:tcBorders>
              <w:top w:val="single" w:sz="4" w:space="0" w:color="auto"/>
              <w:left w:val="single" w:sz="4" w:space="0" w:color="auto"/>
              <w:bottom w:val="single" w:sz="4" w:space="0" w:color="auto"/>
              <w:right w:val="single" w:sz="4" w:space="0" w:color="auto"/>
            </w:tcBorders>
            <w:hideMark/>
          </w:tcPr>
          <w:p w14:paraId="420A4000" w14:textId="77777777" w:rsidR="00D91913" w:rsidRPr="00D91913" w:rsidRDefault="00D91913" w:rsidP="00D91913">
            <w:pPr>
              <w:spacing w:after="160" w:line="278" w:lineRule="auto"/>
              <w:rPr>
                <w:lang w:val="en-IN"/>
              </w:rPr>
            </w:pPr>
            <w:r w:rsidRPr="00D91913">
              <w:rPr>
                <w:lang w:val="en-IN"/>
              </w:rPr>
              <w:t xml:space="preserve">Divyesh </w:t>
            </w:r>
            <w:proofErr w:type="spellStart"/>
            <w:r w:rsidRPr="00D91913">
              <w:rPr>
                <w:lang w:val="en-IN"/>
              </w:rPr>
              <w:t>Sureshbhai</w:t>
            </w:r>
            <w:proofErr w:type="spellEnd"/>
            <w:r w:rsidRPr="00D91913">
              <w:rPr>
                <w:lang w:val="en-IN"/>
              </w:rPr>
              <w:t xml:space="preserve"> </w:t>
            </w:r>
            <w:proofErr w:type="spellStart"/>
            <w:r w:rsidRPr="00D91913">
              <w:rPr>
                <w:lang w:val="en-IN"/>
              </w:rPr>
              <w:t>Rokad</w:t>
            </w:r>
            <w:proofErr w:type="spellEnd"/>
          </w:p>
        </w:tc>
      </w:tr>
      <w:tr w:rsidR="00D91913" w:rsidRPr="00D91913" w14:paraId="73017328" w14:textId="77777777">
        <w:trPr>
          <w:trHeight w:val="670"/>
        </w:trPr>
        <w:tc>
          <w:tcPr>
            <w:tcW w:w="5137" w:type="dxa"/>
            <w:tcBorders>
              <w:top w:val="single" w:sz="4" w:space="0" w:color="auto"/>
              <w:left w:val="single" w:sz="4" w:space="0" w:color="auto"/>
              <w:bottom w:val="single" w:sz="4" w:space="0" w:color="auto"/>
              <w:right w:val="single" w:sz="4" w:space="0" w:color="auto"/>
            </w:tcBorders>
            <w:hideMark/>
          </w:tcPr>
          <w:p w14:paraId="01600A08" w14:textId="77777777" w:rsidR="00D91913" w:rsidRPr="00D91913" w:rsidRDefault="00D91913" w:rsidP="00D91913">
            <w:pPr>
              <w:spacing w:after="160" w:line="278" w:lineRule="auto"/>
              <w:rPr>
                <w:lang w:val="en-IN"/>
              </w:rPr>
            </w:pPr>
            <w:r w:rsidRPr="00D91913">
              <w:rPr>
                <w:lang w:val="en-IN"/>
              </w:rPr>
              <w:t>Student ID</w:t>
            </w:r>
          </w:p>
        </w:tc>
        <w:tc>
          <w:tcPr>
            <w:tcW w:w="5138" w:type="dxa"/>
            <w:tcBorders>
              <w:top w:val="single" w:sz="4" w:space="0" w:color="auto"/>
              <w:left w:val="single" w:sz="4" w:space="0" w:color="auto"/>
              <w:bottom w:val="single" w:sz="4" w:space="0" w:color="auto"/>
              <w:right w:val="single" w:sz="4" w:space="0" w:color="auto"/>
            </w:tcBorders>
            <w:hideMark/>
          </w:tcPr>
          <w:p w14:paraId="5C6D9531" w14:textId="77777777" w:rsidR="00D91913" w:rsidRPr="00D91913" w:rsidRDefault="00D91913" w:rsidP="00D91913">
            <w:pPr>
              <w:spacing w:after="160" w:line="278" w:lineRule="auto"/>
              <w:rPr>
                <w:lang w:val="en-IN"/>
              </w:rPr>
            </w:pPr>
            <w:r w:rsidRPr="00D91913">
              <w:rPr>
                <w:lang w:val="en-IN"/>
              </w:rPr>
              <w:t>2430637</w:t>
            </w:r>
          </w:p>
        </w:tc>
      </w:tr>
    </w:tbl>
    <w:p w14:paraId="19ABC297" w14:textId="77777777" w:rsidR="00D91913" w:rsidRPr="00D91913" w:rsidRDefault="00D91913" w:rsidP="00D91913">
      <w:pPr>
        <w:rPr>
          <w:lang w:val="en-IN"/>
        </w:rPr>
      </w:pPr>
    </w:p>
    <w:p w14:paraId="6D54D479" w14:textId="77777777" w:rsidR="00D91913" w:rsidRPr="00D91913" w:rsidRDefault="00D91913" w:rsidP="00D91913">
      <w:pPr>
        <w:rPr>
          <w:lang w:val="en-US"/>
        </w:rPr>
      </w:pPr>
    </w:p>
    <w:p w14:paraId="05468018" w14:textId="77777777" w:rsidR="00D91913" w:rsidRDefault="00D91913">
      <w:pPr>
        <w:rPr>
          <w:rFonts w:asciiTheme="majorHAnsi" w:eastAsiaTheme="majorEastAsia" w:hAnsiTheme="majorHAnsi" w:cstheme="majorBidi"/>
          <w:color w:val="0F4761" w:themeColor="accent1" w:themeShade="BF"/>
          <w:kern w:val="0"/>
          <w:sz w:val="32"/>
          <w:szCs w:val="32"/>
          <w:lang w:val="en-US"/>
          <w14:ligatures w14:val="none"/>
        </w:rPr>
      </w:pPr>
      <w:r>
        <w:br w:type="page"/>
      </w:r>
    </w:p>
    <w:sdt>
      <w:sdtPr>
        <w:rPr>
          <w:rFonts w:asciiTheme="minorHAnsi" w:eastAsiaTheme="minorHAnsi" w:hAnsiTheme="minorHAnsi" w:cstheme="minorBidi"/>
          <w:color w:val="auto"/>
          <w:kern w:val="2"/>
          <w:sz w:val="24"/>
          <w:szCs w:val="24"/>
          <w:lang w:val="en-GB"/>
          <w14:ligatures w14:val="standardContextual"/>
        </w:rPr>
        <w:id w:val="-1108651486"/>
        <w:docPartObj>
          <w:docPartGallery w:val="Table of Contents"/>
          <w:docPartUnique/>
        </w:docPartObj>
      </w:sdtPr>
      <w:sdtEndPr>
        <w:rPr>
          <w:b/>
          <w:bCs/>
          <w:noProof/>
        </w:rPr>
      </w:sdtEndPr>
      <w:sdtContent>
        <w:p w14:paraId="7376D58E" w14:textId="6BF085B6" w:rsidR="009021AA" w:rsidRDefault="009021AA">
          <w:pPr>
            <w:pStyle w:val="TOCHeading"/>
          </w:pPr>
          <w:r>
            <w:t>Contents</w:t>
          </w:r>
        </w:p>
        <w:p w14:paraId="612349DC" w14:textId="2AF6317A" w:rsidR="00D91913" w:rsidRDefault="009021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7258899" w:history="1">
            <w:r w:rsidR="00D91913" w:rsidRPr="00CD41E6">
              <w:rPr>
                <w:rStyle w:val="Hyperlink"/>
                <w:noProof/>
              </w:rPr>
              <w:t>1.Introduction</w:t>
            </w:r>
            <w:r w:rsidR="00D91913">
              <w:rPr>
                <w:noProof/>
                <w:webHidden/>
              </w:rPr>
              <w:tab/>
            </w:r>
            <w:r w:rsidR="00D91913">
              <w:rPr>
                <w:noProof/>
                <w:webHidden/>
              </w:rPr>
              <w:fldChar w:fldCharType="begin"/>
            </w:r>
            <w:r w:rsidR="00D91913">
              <w:rPr>
                <w:noProof/>
                <w:webHidden/>
              </w:rPr>
              <w:instrText xml:space="preserve"> PAGEREF _Toc217258899 \h </w:instrText>
            </w:r>
            <w:r w:rsidR="00D91913">
              <w:rPr>
                <w:noProof/>
                <w:webHidden/>
              </w:rPr>
            </w:r>
            <w:r w:rsidR="00D91913">
              <w:rPr>
                <w:noProof/>
                <w:webHidden/>
              </w:rPr>
              <w:fldChar w:fldCharType="separate"/>
            </w:r>
            <w:r w:rsidR="00D91913">
              <w:rPr>
                <w:noProof/>
                <w:webHidden/>
              </w:rPr>
              <w:t>3</w:t>
            </w:r>
            <w:r w:rsidR="00D91913">
              <w:rPr>
                <w:noProof/>
                <w:webHidden/>
              </w:rPr>
              <w:fldChar w:fldCharType="end"/>
            </w:r>
          </w:hyperlink>
        </w:p>
        <w:p w14:paraId="21D55663" w14:textId="1E3BA859" w:rsidR="00D91913" w:rsidRDefault="00D91913">
          <w:pPr>
            <w:pStyle w:val="TOC1"/>
            <w:tabs>
              <w:tab w:val="right" w:leader="dot" w:pos="9016"/>
            </w:tabs>
            <w:rPr>
              <w:rFonts w:eastAsiaTheme="minorEastAsia"/>
              <w:noProof/>
              <w:lang w:eastAsia="en-GB"/>
            </w:rPr>
          </w:pPr>
          <w:hyperlink w:anchor="_Toc217258900" w:history="1">
            <w:r w:rsidRPr="00CD41E6">
              <w:rPr>
                <w:rStyle w:val="Hyperlink"/>
                <w:rFonts w:ascii="Arial" w:hAnsi="Arial" w:cs="Arial"/>
                <w:noProof/>
              </w:rPr>
              <w:t>2. Selection of Organisation and Target Market</w:t>
            </w:r>
            <w:r>
              <w:rPr>
                <w:noProof/>
                <w:webHidden/>
              </w:rPr>
              <w:tab/>
            </w:r>
            <w:r>
              <w:rPr>
                <w:noProof/>
                <w:webHidden/>
              </w:rPr>
              <w:fldChar w:fldCharType="begin"/>
            </w:r>
            <w:r>
              <w:rPr>
                <w:noProof/>
                <w:webHidden/>
              </w:rPr>
              <w:instrText xml:space="preserve"> PAGEREF _Toc217258900 \h </w:instrText>
            </w:r>
            <w:r>
              <w:rPr>
                <w:noProof/>
                <w:webHidden/>
              </w:rPr>
            </w:r>
            <w:r>
              <w:rPr>
                <w:noProof/>
                <w:webHidden/>
              </w:rPr>
              <w:fldChar w:fldCharType="separate"/>
            </w:r>
            <w:r>
              <w:rPr>
                <w:noProof/>
                <w:webHidden/>
              </w:rPr>
              <w:t>4</w:t>
            </w:r>
            <w:r>
              <w:rPr>
                <w:noProof/>
                <w:webHidden/>
              </w:rPr>
              <w:fldChar w:fldCharType="end"/>
            </w:r>
          </w:hyperlink>
        </w:p>
        <w:p w14:paraId="105FE929" w14:textId="74065F24" w:rsidR="00D91913" w:rsidRDefault="00D91913">
          <w:pPr>
            <w:pStyle w:val="TOC2"/>
            <w:tabs>
              <w:tab w:val="right" w:leader="dot" w:pos="9016"/>
            </w:tabs>
            <w:rPr>
              <w:rFonts w:eastAsiaTheme="minorEastAsia"/>
              <w:noProof/>
              <w:lang w:eastAsia="en-GB"/>
            </w:rPr>
          </w:pPr>
          <w:hyperlink w:anchor="_Toc217258901" w:history="1">
            <w:r w:rsidRPr="00CD41E6">
              <w:rPr>
                <w:rStyle w:val="Hyperlink"/>
                <w:rFonts w:ascii="Arial" w:hAnsi="Arial" w:cs="Arial"/>
                <w:noProof/>
              </w:rPr>
              <w:t>2.1 Macro-Environmental Analysis of the Indian Market (PESTLE)</w:t>
            </w:r>
            <w:r>
              <w:rPr>
                <w:noProof/>
                <w:webHidden/>
              </w:rPr>
              <w:tab/>
            </w:r>
            <w:r>
              <w:rPr>
                <w:noProof/>
                <w:webHidden/>
              </w:rPr>
              <w:fldChar w:fldCharType="begin"/>
            </w:r>
            <w:r>
              <w:rPr>
                <w:noProof/>
                <w:webHidden/>
              </w:rPr>
              <w:instrText xml:space="preserve"> PAGEREF _Toc217258901 \h </w:instrText>
            </w:r>
            <w:r>
              <w:rPr>
                <w:noProof/>
                <w:webHidden/>
              </w:rPr>
            </w:r>
            <w:r>
              <w:rPr>
                <w:noProof/>
                <w:webHidden/>
              </w:rPr>
              <w:fldChar w:fldCharType="separate"/>
            </w:r>
            <w:r>
              <w:rPr>
                <w:noProof/>
                <w:webHidden/>
              </w:rPr>
              <w:t>5</w:t>
            </w:r>
            <w:r>
              <w:rPr>
                <w:noProof/>
                <w:webHidden/>
              </w:rPr>
              <w:fldChar w:fldCharType="end"/>
            </w:r>
          </w:hyperlink>
        </w:p>
        <w:p w14:paraId="4A809187" w14:textId="56F1060B" w:rsidR="00D91913" w:rsidRDefault="00D91913">
          <w:pPr>
            <w:pStyle w:val="TOC2"/>
            <w:tabs>
              <w:tab w:val="right" w:leader="dot" w:pos="9016"/>
            </w:tabs>
            <w:rPr>
              <w:rFonts w:eastAsiaTheme="minorEastAsia"/>
              <w:noProof/>
              <w:lang w:eastAsia="en-GB"/>
            </w:rPr>
          </w:pPr>
          <w:hyperlink w:anchor="_Toc217258902" w:history="1">
            <w:r w:rsidRPr="00CD41E6">
              <w:rPr>
                <w:rStyle w:val="Hyperlink"/>
                <w:rFonts w:ascii="Arial" w:hAnsi="Arial" w:cs="Arial"/>
                <w:noProof/>
              </w:rPr>
              <w:t>2.2 Industry and Competitive Analysis: Porter’s Five Forces</w:t>
            </w:r>
            <w:r>
              <w:rPr>
                <w:noProof/>
                <w:webHidden/>
              </w:rPr>
              <w:tab/>
            </w:r>
            <w:r>
              <w:rPr>
                <w:noProof/>
                <w:webHidden/>
              </w:rPr>
              <w:fldChar w:fldCharType="begin"/>
            </w:r>
            <w:r>
              <w:rPr>
                <w:noProof/>
                <w:webHidden/>
              </w:rPr>
              <w:instrText xml:space="preserve"> PAGEREF _Toc217258902 \h </w:instrText>
            </w:r>
            <w:r>
              <w:rPr>
                <w:noProof/>
                <w:webHidden/>
              </w:rPr>
            </w:r>
            <w:r>
              <w:rPr>
                <w:noProof/>
                <w:webHidden/>
              </w:rPr>
              <w:fldChar w:fldCharType="separate"/>
            </w:r>
            <w:r>
              <w:rPr>
                <w:noProof/>
                <w:webHidden/>
              </w:rPr>
              <w:t>7</w:t>
            </w:r>
            <w:r>
              <w:rPr>
                <w:noProof/>
                <w:webHidden/>
              </w:rPr>
              <w:fldChar w:fldCharType="end"/>
            </w:r>
          </w:hyperlink>
        </w:p>
        <w:p w14:paraId="415BB465" w14:textId="4801B95E" w:rsidR="00D91913" w:rsidRDefault="00D91913">
          <w:pPr>
            <w:pStyle w:val="TOC2"/>
            <w:tabs>
              <w:tab w:val="right" w:leader="dot" w:pos="9016"/>
            </w:tabs>
            <w:rPr>
              <w:rFonts w:eastAsiaTheme="minorEastAsia"/>
              <w:noProof/>
              <w:lang w:eastAsia="en-GB"/>
            </w:rPr>
          </w:pPr>
          <w:hyperlink w:anchor="_Toc217258903" w:history="1">
            <w:r w:rsidRPr="00CD41E6">
              <w:rPr>
                <w:rStyle w:val="Hyperlink"/>
                <w:rFonts w:ascii="Arial" w:hAnsi="Arial" w:cs="Arial"/>
                <w:noProof/>
              </w:rPr>
              <w:t>2.3 Internal Strategic Analysis: VRIO Framework</w:t>
            </w:r>
            <w:r>
              <w:rPr>
                <w:noProof/>
                <w:webHidden/>
              </w:rPr>
              <w:tab/>
            </w:r>
            <w:r>
              <w:rPr>
                <w:noProof/>
                <w:webHidden/>
              </w:rPr>
              <w:fldChar w:fldCharType="begin"/>
            </w:r>
            <w:r>
              <w:rPr>
                <w:noProof/>
                <w:webHidden/>
              </w:rPr>
              <w:instrText xml:space="preserve"> PAGEREF _Toc217258903 \h </w:instrText>
            </w:r>
            <w:r>
              <w:rPr>
                <w:noProof/>
                <w:webHidden/>
              </w:rPr>
            </w:r>
            <w:r>
              <w:rPr>
                <w:noProof/>
                <w:webHidden/>
              </w:rPr>
              <w:fldChar w:fldCharType="separate"/>
            </w:r>
            <w:r>
              <w:rPr>
                <w:noProof/>
                <w:webHidden/>
              </w:rPr>
              <w:t>8</w:t>
            </w:r>
            <w:r>
              <w:rPr>
                <w:noProof/>
                <w:webHidden/>
              </w:rPr>
              <w:fldChar w:fldCharType="end"/>
            </w:r>
          </w:hyperlink>
        </w:p>
        <w:p w14:paraId="7624640D" w14:textId="48B2979A" w:rsidR="00D91913" w:rsidRDefault="00D91913">
          <w:pPr>
            <w:pStyle w:val="TOC1"/>
            <w:tabs>
              <w:tab w:val="right" w:leader="dot" w:pos="9016"/>
            </w:tabs>
            <w:rPr>
              <w:rFonts w:eastAsiaTheme="minorEastAsia"/>
              <w:noProof/>
              <w:lang w:eastAsia="en-GB"/>
            </w:rPr>
          </w:pPr>
          <w:hyperlink w:anchor="_Toc217258904" w:history="1">
            <w:r w:rsidRPr="00CD41E6">
              <w:rPr>
                <w:rStyle w:val="Hyperlink"/>
                <w:rFonts w:ascii="Arial" w:hAnsi="Arial" w:cs="Arial"/>
                <w:noProof/>
              </w:rPr>
              <w:t>3. Strategy Development and Formulation</w:t>
            </w:r>
            <w:r>
              <w:rPr>
                <w:noProof/>
                <w:webHidden/>
              </w:rPr>
              <w:tab/>
            </w:r>
            <w:r>
              <w:rPr>
                <w:noProof/>
                <w:webHidden/>
              </w:rPr>
              <w:fldChar w:fldCharType="begin"/>
            </w:r>
            <w:r>
              <w:rPr>
                <w:noProof/>
                <w:webHidden/>
              </w:rPr>
              <w:instrText xml:space="preserve"> PAGEREF _Toc217258904 \h </w:instrText>
            </w:r>
            <w:r>
              <w:rPr>
                <w:noProof/>
                <w:webHidden/>
              </w:rPr>
            </w:r>
            <w:r>
              <w:rPr>
                <w:noProof/>
                <w:webHidden/>
              </w:rPr>
              <w:fldChar w:fldCharType="separate"/>
            </w:r>
            <w:r>
              <w:rPr>
                <w:noProof/>
                <w:webHidden/>
              </w:rPr>
              <w:t>10</w:t>
            </w:r>
            <w:r>
              <w:rPr>
                <w:noProof/>
                <w:webHidden/>
              </w:rPr>
              <w:fldChar w:fldCharType="end"/>
            </w:r>
          </w:hyperlink>
        </w:p>
        <w:p w14:paraId="6D1F2CFF" w14:textId="61142FF8" w:rsidR="00D91913" w:rsidRDefault="00D91913">
          <w:pPr>
            <w:pStyle w:val="TOC2"/>
            <w:tabs>
              <w:tab w:val="right" w:leader="dot" w:pos="9016"/>
            </w:tabs>
            <w:rPr>
              <w:rFonts w:eastAsiaTheme="minorEastAsia"/>
              <w:noProof/>
              <w:lang w:eastAsia="en-GB"/>
            </w:rPr>
          </w:pPr>
          <w:hyperlink w:anchor="_Toc217258905" w:history="1">
            <w:r w:rsidRPr="00CD41E6">
              <w:rPr>
                <w:rStyle w:val="Hyperlink"/>
                <w:rFonts w:ascii="Arial" w:hAnsi="Arial" w:cs="Arial"/>
                <w:noProof/>
              </w:rPr>
              <w:t>3.1 Strategic Growth Direction</w:t>
            </w:r>
            <w:r>
              <w:rPr>
                <w:noProof/>
                <w:webHidden/>
              </w:rPr>
              <w:tab/>
            </w:r>
            <w:r>
              <w:rPr>
                <w:noProof/>
                <w:webHidden/>
              </w:rPr>
              <w:fldChar w:fldCharType="begin"/>
            </w:r>
            <w:r>
              <w:rPr>
                <w:noProof/>
                <w:webHidden/>
              </w:rPr>
              <w:instrText xml:space="preserve"> PAGEREF _Toc217258905 \h </w:instrText>
            </w:r>
            <w:r>
              <w:rPr>
                <w:noProof/>
                <w:webHidden/>
              </w:rPr>
            </w:r>
            <w:r>
              <w:rPr>
                <w:noProof/>
                <w:webHidden/>
              </w:rPr>
              <w:fldChar w:fldCharType="separate"/>
            </w:r>
            <w:r>
              <w:rPr>
                <w:noProof/>
                <w:webHidden/>
              </w:rPr>
              <w:t>10</w:t>
            </w:r>
            <w:r>
              <w:rPr>
                <w:noProof/>
                <w:webHidden/>
              </w:rPr>
              <w:fldChar w:fldCharType="end"/>
            </w:r>
          </w:hyperlink>
        </w:p>
        <w:p w14:paraId="600E3097" w14:textId="1B36CB08" w:rsidR="00D91913" w:rsidRDefault="00D91913">
          <w:pPr>
            <w:pStyle w:val="TOC2"/>
            <w:tabs>
              <w:tab w:val="right" w:leader="dot" w:pos="9016"/>
            </w:tabs>
            <w:rPr>
              <w:rFonts w:eastAsiaTheme="minorEastAsia"/>
              <w:noProof/>
              <w:lang w:eastAsia="en-GB"/>
            </w:rPr>
          </w:pPr>
          <w:hyperlink w:anchor="_Toc217258906" w:history="1">
            <w:r w:rsidRPr="00CD41E6">
              <w:rPr>
                <w:rStyle w:val="Hyperlink"/>
                <w:noProof/>
              </w:rPr>
              <w:t>3.2 Market Entry Mode Strategy</w:t>
            </w:r>
            <w:r>
              <w:rPr>
                <w:noProof/>
                <w:webHidden/>
              </w:rPr>
              <w:tab/>
            </w:r>
            <w:r>
              <w:rPr>
                <w:noProof/>
                <w:webHidden/>
              </w:rPr>
              <w:fldChar w:fldCharType="begin"/>
            </w:r>
            <w:r>
              <w:rPr>
                <w:noProof/>
                <w:webHidden/>
              </w:rPr>
              <w:instrText xml:space="preserve"> PAGEREF _Toc217258906 \h </w:instrText>
            </w:r>
            <w:r>
              <w:rPr>
                <w:noProof/>
                <w:webHidden/>
              </w:rPr>
            </w:r>
            <w:r>
              <w:rPr>
                <w:noProof/>
                <w:webHidden/>
              </w:rPr>
              <w:fldChar w:fldCharType="separate"/>
            </w:r>
            <w:r>
              <w:rPr>
                <w:noProof/>
                <w:webHidden/>
              </w:rPr>
              <w:t>10</w:t>
            </w:r>
            <w:r>
              <w:rPr>
                <w:noProof/>
                <w:webHidden/>
              </w:rPr>
              <w:fldChar w:fldCharType="end"/>
            </w:r>
          </w:hyperlink>
        </w:p>
        <w:p w14:paraId="1B6AF7BC" w14:textId="471667ED" w:rsidR="00D91913" w:rsidRDefault="00D91913">
          <w:pPr>
            <w:pStyle w:val="TOC2"/>
            <w:tabs>
              <w:tab w:val="right" w:leader="dot" w:pos="9016"/>
            </w:tabs>
            <w:rPr>
              <w:rFonts w:eastAsiaTheme="minorEastAsia"/>
              <w:noProof/>
              <w:lang w:eastAsia="en-GB"/>
            </w:rPr>
          </w:pPr>
          <w:hyperlink w:anchor="_Toc217258907" w:history="1">
            <w:r w:rsidRPr="00CD41E6">
              <w:rPr>
                <w:rStyle w:val="Hyperlink"/>
                <w:rFonts w:ascii="Arial" w:hAnsi="Arial" w:cs="Arial"/>
                <w:noProof/>
              </w:rPr>
              <w:t>3.3 Competitive Strategy: Differentiation with Local Responsiveness</w:t>
            </w:r>
            <w:r>
              <w:rPr>
                <w:noProof/>
                <w:webHidden/>
              </w:rPr>
              <w:tab/>
            </w:r>
            <w:r>
              <w:rPr>
                <w:noProof/>
                <w:webHidden/>
              </w:rPr>
              <w:fldChar w:fldCharType="begin"/>
            </w:r>
            <w:r>
              <w:rPr>
                <w:noProof/>
                <w:webHidden/>
              </w:rPr>
              <w:instrText xml:space="preserve"> PAGEREF _Toc217258907 \h </w:instrText>
            </w:r>
            <w:r>
              <w:rPr>
                <w:noProof/>
                <w:webHidden/>
              </w:rPr>
            </w:r>
            <w:r>
              <w:rPr>
                <w:noProof/>
                <w:webHidden/>
              </w:rPr>
              <w:fldChar w:fldCharType="separate"/>
            </w:r>
            <w:r>
              <w:rPr>
                <w:noProof/>
                <w:webHidden/>
              </w:rPr>
              <w:t>11</w:t>
            </w:r>
            <w:r>
              <w:rPr>
                <w:noProof/>
                <w:webHidden/>
              </w:rPr>
              <w:fldChar w:fldCharType="end"/>
            </w:r>
          </w:hyperlink>
        </w:p>
        <w:p w14:paraId="71AEA9D5" w14:textId="5F7716BC" w:rsidR="00D91913" w:rsidRDefault="00D91913">
          <w:pPr>
            <w:pStyle w:val="TOC2"/>
            <w:tabs>
              <w:tab w:val="right" w:leader="dot" w:pos="9016"/>
            </w:tabs>
            <w:rPr>
              <w:rFonts w:eastAsiaTheme="minorEastAsia"/>
              <w:noProof/>
              <w:lang w:eastAsia="en-GB"/>
            </w:rPr>
          </w:pPr>
          <w:hyperlink w:anchor="_Toc217258908" w:history="1">
            <w:r w:rsidRPr="00CD41E6">
              <w:rPr>
                <w:rStyle w:val="Hyperlink"/>
                <w:rFonts w:ascii="Arial" w:hAnsi="Arial" w:cs="Arial"/>
                <w:noProof/>
              </w:rPr>
              <w:t>3.4 Geographic and Segment Focus</w:t>
            </w:r>
            <w:r>
              <w:rPr>
                <w:noProof/>
                <w:webHidden/>
              </w:rPr>
              <w:tab/>
            </w:r>
            <w:r>
              <w:rPr>
                <w:noProof/>
                <w:webHidden/>
              </w:rPr>
              <w:fldChar w:fldCharType="begin"/>
            </w:r>
            <w:r>
              <w:rPr>
                <w:noProof/>
                <w:webHidden/>
              </w:rPr>
              <w:instrText xml:space="preserve"> PAGEREF _Toc217258908 \h </w:instrText>
            </w:r>
            <w:r>
              <w:rPr>
                <w:noProof/>
                <w:webHidden/>
              </w:rPr>
            </w:r>
            <w:r>
              <w:rPr>
                <w:noProof/>
                <w:webHidden/>
              </w:rPr>
              <w:fldChar w:fldCharType="separate"/>
            </w:r>
            <w:r>
              <w:rPr>
                <w:noProof/>
                <w:webHidden/>
              </w:rPr>
              <w:t>11</w:t>
            </w:r>
            <w:r>
              <w:rPr>
                <w:noProof/>
                <w:webHidden/>
              </w:rPr>
              <w:fldChar w:fldCharType="end"/>
            </w:r>
          </w:hyperlink>
        </w:p>
        <w:p w14:paraId="54B6359B" w14:textId="5B44F13F" w:rsidR="00D91913" w:rsidRDefault="00D91913">
          <w:pPr>
            <w:pStyle w:val="TOC2"/>
            <w:tabs>
              <w:tab w:val="right" w:leader="dot" w:pos="9016"/>
            </w:tabs>
            <w:rPr>
              <w:rFonts w:eastAsiaTheme="minorEastAsia"/>
              <w:noProof/>
              <w:lang w:eastAsia="en-GB"/>
            </w:rPr>
          </w:pPr>
          <w:hyperlink w:anchor="_Toc217258909" w:history="1">
            <w:r w:rsidRPr="00CD41E6">
              <w:rPr>
                <w:rStyle w:val="Hyperlink"/>
                <w:rFonts w:ascii="Arial" w:hAnsi="Arial" w:cs="Arial"/>
                <w:noProof/>
              </w:rPr>
              <w:t>3.5 Strategic Risk Management and Fit</w:t>
            </w:r>
            <w:r>
              <w:rPr>
                <w:noProof/>
                <w:webHidden/>
              </w:rPr>
              <w:tab/>
            </w:r>
            <w:r>
              <w:rPr>
                <w:noProof/>
                <w:webHidden/>
              </w:rPr>
              <w:fldChar w:fldCharType="begin"/>
            </w:r>
            <w:r>
              <w:rPr>
                <w:noProof/>
                <w:webHidden/>
              </w:rPr>
              <w:instrText xml:space="preserve"> PAGEREF _Toc217258909 \h </w:instrText>
            </w:r>
            <w:r>
              <w:rPr>
                <w:noProof/>
                <w:webHidden/>
              </w:rPr>
            </w:r>
            <w:r>
              <w:rPr>
                <w:noProof/>
                <w:webHidden/>
              </w:rPr>
              <w:fldChar w:fldCharType="separate"/>
            </w:r>
            <w:r>
              <w:rPr>
                <w:noProof/>
                <w:webHidden/>
              </w:rPr>
              <w:t>11</w:t>
            </w:r>
            <w:r>
              <w:rPr>
                <w:noProof/>
                <w:webHidden/>
              </w:rPr>
              <w:fldChar w:fldCharType="end"/>
            </w:r>
          </w:hyperlink>
        </w:p>
        <w:p w14:paraId="6D33646E" w14:textId="1FD5C609" w:rsidR="00D91913" w:rsidRDefault="00D91913">
          <w:pPr>
            <w:pStyle w:val="TOC1"/>
            <w:tabs>
              <w:tab w:val="right" w:leader="dot" w:pos="9016"/>
            </w:tabs>
            <w:rPr>
              <w:rFonts w:eastAsiaTheme="minorEastAsia"/>
              <w:noProof/>
              <w:lang w:eastAsia="en-GB"/>
            </w:rPr>
          </w:pPr>
          <w:hyperlink w:anchor="_Toc217258910" w:history="1">
            <w:r w:rsidRPr="00CD41E6">
              <w:rPr>
                <w:rStyle w:val="Hyperlink"/>
                <w:rFonts w:ascii="Arial" w:hAnsi="Arial" w:cs="Arial"/>
                <w:noProof/>
              </w:rPr>
              <w:t>4. Performance Evaluation Framework</w:t>
            </w:r>
            <w:r>
              <w:rPr>
                <w:noProof/>
                <w:webHidden/>
              </w:rPr>
              <w:tab/>
            </w:r>
            <w:r>
              <w:rPr>
                <w:noProof/>
                <w:webHidden/>
              </w:rPr>
              <w:fldChar w:fldCharType="begin"/>
            </w:r>
            <w:r>
              <w:rPr>
                <w:noProof/>
                <w:webHidden/>
              </w:rPr>
              <w:instrText xml:space="preserve"> PAGEREF _Toc217258910 \h </w:instrText>
            </w:r>
            <w:r>
              <w:rPr>
                <w:noProof/>
                <w:webHidden/>
              </w:rPr>
            </w:r>
            <w:r>
              <w:rPr>
                <w:noProof/>
                <w:webHidden/>
              </w:rPr>
              <w:fldChar w:fldCharType="separate"/>
            </w:r>
            <w:r>
              <w:rPr>
                <w:noProof/>
                <w:webHidden/>
              </w:rPr>
              <w:t>12</w:t>
            </w:r>
            <w:r>
              <w:rPr>
                <w:noProof/>
                <w:webHidden/>
              </w:rPr>
              <w:fldChar w:fldCharType="end"/>
            </w:r>
          </w:hyperlink>
        </w:p>
        <w:p w14:paraId="67A0CA18" w14:textId="15E08BB6" w:rsidR="00D91913" w:rsidRDefault="00D91913">
          <w:pPr>
            <w:pStyle w:val="TOC2"/>
            <w:tabs>
              <w:tab w:val="right" w:leader="dot" w:pos="9016"/>
            </w:tabs>
            <w:rPr>
              <w:rFonts w:eastAsiaTheme="minorEastAsia"/>
              <w:noProof/>
              <w:lang w:eastAsia="en-GB"/>
            </w:rPr>
          </w:pPr>
          <w:hyperlink w:anchor="_Toc217258911" w:history="1">
            <w:r w:rsidRPr="00CD41E6">
              <w:rPr>
                <w:rStyle w:val="Hyperlink"/>
                <w:rFonts w:ascii="Arial" w:hAnsi="Arial" w:cs="Arial"/>
                <w:noProof/>
              </w:rPr>
              <w:t>4.1 Financial Perspective</w:t>
            </w:r>
            <w:r>
              <w:rPr>
                <w:noProof/>
                <w:webHidden/>
              </w:rPr>
              <w:tab/>
            </w:r>
            <w:r>
              <w:rPr>
                <w:noProof/>
                <w:webHidden/>
              </w:rPr>
              <w:fldChar w:fldCharType="begin"/>
            </w:r>
            <w:r>
              <w:rPr>
                <w:noProof/>
                <w:webHidden/>
              </w:rPr>
              <w:instrText xml:space="preserve"> PAGEREF _Toc217258911 \h </w:instrText>
            </w:r>
            <w:r>
              <w:rPr>
                <w:noProof/>
                <w:webHidden/>
              </w:rPr>
            </w:r>
            <w:r>
              <w:rPr>
                <w:noProof/>
                <w:webHidden/>
              </w:rPr>
              <w:fldChar w:fldCharType="separate"/>
            </w:r>
            <w:r>
              <w:rPr>
                <w:noProof/>
                <w:webHidden/>
              </w:rPr>
              <w:t>12</w:t>
            </w:r>
            <w:r>
              <w:rPr>
                <w:noProof/>
                <w:webHidden/>
              </w:rPr>
              <w:fldChar w:fldCharType="end"/>
            </w:r>
          </w:hyperlink>
        </w:p>
        <w:p w14:paraId="1E75D78F" w14:textId="109C701E" w:rsidR="00D91913" w:rsidRDefault="00D91913">
          <w:pPr>
            <w:pStyle w:val="TOC2"/>
            <w:tabs>
              <w:tab w:val="right" w:leader="dot" w:pos="9016"/>
            </w:tabs>
            <w:rPr>
              <w:rFonts w:eastAsiaTheme="minorEastAsia"/>
              <w:noProof/>
              <w:lang w:eastAsia="en-GB"/>
            </w:rPr>
          </w:pPr>
          <w:hyperlink w:anchor="_Toc217258912" w:history="1">
            <w:r w:rsidRPr="00CD41E6">
              <w:rPr>
                <w:rStyle w:val="Hyperlink"/>
                <w:rFonts w:ascii="Arial" w:hAnsi="Arial" w:cs="Arial"/>
                <w:noProof/>
              </w:rPr>
              <w:t>4.2 Customer Perspective</w:t>
            </w:r>
            <w:r>
              <w:rPr>
                <w:noProof/>
                <w:webHidden/>
              </w:rPr>
              <w:tab/>
            </w:r>
            <w:r>
              <w:rPr>
                <w:noProof/>
                <w:webHidden/>
              </w:rPr>
              <w:fldChar w:fldCharType="begin"/>
            </w:r>
            <w:r>
              <w:rPr>
                <w:noProof/>
                <w:webHidden/>
              </w:rPr>
              <w:instrText xml:space="preserve"> PAGEREF _Toc217258912 \h </w:instrText>
            </w:r>
            <w:r>
              <w:rPr>
                <w:noProof/>
                <w:webHidden/>
              </w:rPr>
            </w:r>
            <w:r>
              <w:rPr>
                <w:noProof/>
                <w:webHidden/>
              </w:rPr>
              <w:fldChar w:fldCharType="separate"/>
            </w:r>
            <w:r>
              <w:rPr>
                <w:noProof/>
                <w:webHidden/>
              </w:rPr>
              <w:t>12</w:t>
            </w:r>
            <w:r>
              <w:rPr>
                <w:noProof/>
                <w:webHidden/>
              </w:rPr>
              <w:fldChar w:fldCharType="end"/>
            </w:r>
          </w:hyperlink>
        </w:p>
        <w:p w14:paraId="29DB3E73" w14:textId="194437CA" w:rsidR="00D91913" w:rsidRDefault="00D91913">
          <w:pPr>
            <w:pStyle w:val="TOC2"/>
            <w:tabs>
              <w:tab w:val="right" w:leader="dot" w:pos="9016"/>
            </w:tabs>
            <w:rPr>
              <w:rFonts w:eastAsiaTheme="minorEastAsia"/>
              <w:noProof/>
              <w:lang w:eastAsia="en-GB"/>
            </w:rPr>
          </w:pPr>
          <w:hyperlink w:anchor="_Toc217258913" w:history="1">
            <w:r w:rsidRPr="00CD41E6">
              <w:rPr>
                <w:rStyle w:val="Hyperlink"/>
                <w:rFonts w:ascii="Arial" w:hAnsi="Arial" w:cs="Arial"/>
                <w:noProof/>
              </w:rPr>
              <w:t>4.3 Internal Business Process Perspective</w:t>
            </w:r>
            <w:r>
              <w:rPr>
                <w:noProof/>
                <w:webHidden/>
              </w:rPr>
              <w:tab/>
            </w:r>
            <w:r>
              <w:rPr>
                <w:noProof/>
                <w:webHidden/>
              </w:rPr>
              <w:fldChar w:fldCharType="begin"/>
            </w:r>
            <w:r>
              <w:rPr>
                <w:noProof/>
                <w:webHidden/>
              </w:rPr>
              <w:instrText xml:space="preserve"> PAGEREF _Toc217258913 \h </w:instrText>
            </w:r>
            <w:r>
              <w:rPr>
                <w:noProof/>
                <w:webHidden/>
              </w:rPr>
            </w:r>
            <w:r>
              <w:rPr>
                <w:noProof/>
                <w:webHidden/>
              </w:rPr>
              <w:fldChar w:fldCharType="separate"/>
            </w:r>
            <w:r>
              <w:rPr>
                <w:noProof/>
                <w:webHidden/>
              </w:rPr>
              <w:t>13</w:t>
            </w:r>
            <w:r>
              <w:rPr>
                <w:noProof/>
                <w:webHidden/>
              </w:rPr>
              <w:fldChar w:fldCharType="end"/>
            </w:r>
          </w:hyperlink>
        </w:p>
        <w:p w14:paraId="5AF78FC7" w14:textId="173CCB2A" w:rsidR="00D91913" w:rsidRDefault="00D91913">
          <w:pPr>
            <w:pStyle w:val="TOC2"/>
            <w:tabs>
              <w:tab w:val="right" w:leader="dot" w:pos="9016"/>
            </w:tabs>
            <w:rPr>
              <w:rFonts w:eastAsiaTheme="minorEastAsia"/>
              <w:noProof/>
              <w:lang w:eastAsia="en-GB"/>
            </w:rPr>
          </w:pPr>
          <w:hyperlink w:anchor="_Toc217258914" w:history="1">
            <w:r w:rsidRPr="00CD41E6">
              <w:rPr>
                <w:rStyle w:val="Hyperlink"/>
                <w:rFonts w:ascii="Arial" w:hAnsi="Arial" w:cs="Arial"/>
                <w:noProof/>
              </w:rPr>
              <w:t>4.4 Learning and Growth Perspective</w:t>
            </w:r>
            <w:r>
              <w:rPr>
                <w:noProof/>
                <w:webHidden/>
              </w:rPr>
              <w:tab/>
            </w:r>
            <w:r>
              <w:rPr>
                <w:noProof/>
                <w:webHidden/>
              </w:rPr>
              <w:fldChar w:fldCharType="begin"/>
            </w:r>
            <w:r>
              <w:rPr>
                <w:noProof/>
                <w:webHidden/>
              </w:rPr>
              <w:instrText xml:space="preserve"> PAGEREF _Toc217258914 \h </w:instrText>
            </w:r>
            <w:r>
              <w:rPr>
                <w:noProof/>
                <w:webHidden/>
              </w:rPr>
            </w:r>
            <w:r>
              <w:rPr>
                <w:noProof/>
                <w:webHidden/>
              </w:rPr>
              <w:fldChar w:fldCharType="separate"/>
            </w:r>
            <w:r>
              <w:rPr>
                <w:noProof/>
                <w:webHidden/>
              </w:rPr>
              <w:t>13</w:t>
            </w:r>
            <w:r>
              <w:rPr>
                <w:noProof/>
                <w:webHidden/>
              </w:rPr>
              <w:fldChar w:fldCharType="end"/>
            </w:r>
          </w:hyperlink>
        </w:p>
        <w:p w14:paraId="6653A280" w14:textId="5B1B0769" w:rsidR="00D91913" w:rsidRDefault="00D91913">
          <w:pPr>
            <w:pStyle w:val="TOC2"/>
            <w:tabs>
              <w:tab w:val="right" w:leader="dot" w:pos="9016"/>
            </w:tabs>
            <w:rPr>
              <w:rFonts w:eastAsiaTheme="minorEastAsia"/>
              <w:noProof/>
              <w:lang w:eastAsia="en-GB"/>
            </w:rPr>
          </w:pPr>
          <w:hyperlink w:anchor="_Toc217258915" w:history="1">
            <w:r w:rsidRPr="00CD41E6">
              <w:rPr>
                <w:rStyle w:val="Hyperlink"/>
                <w:rFonts w:ascii="Arial" w:hAnsi="Arial" w:cs="Arial"/>
                <w:noProof/>
              </w:rPr>
              <w:t>4.5 Strategic Alignment and Sustainability Considerations</w:t>
            </w:r>
            <w:r>
              <w:rPr>
                <w:noProof/>
                <w:webHidden/>
              </w:rPr>
              <w:tab/>
            </w:r>
            <w:r>
              <w:rPr>
                <w:noProof/>
                <w:webHidden/>
              </w:rPr>
              <w:fldChar w:fldCharType="begin"/>
            </w:r>
            <w:r>
              <w:rPr>
                <w:noProof/>
                <w:webHidden/>
              </w:rPr>
              <w:instrText xml:space="preserve"> PAGEREF _Toc217258915 \h </w:instrText>
            </w:r>
            <w:r>
              <w:rPr>
                <w:noProof/>
                <w:webHidden/>
              </w:rPr>
            </w:r>
            <w:r>
              <w:rPr>
                <w:noProof/>
                <w:webHidden/>
              </w:rPr>
              <w:fldChar w:fldCharType="separate"/>
            </w:r>
            <w:r>
              <w:rPr>
                <w:noProof/>
                <w:webHidden/>
              </w:rPr>
              <w:t>14</w:t>
            </w:r>
            <w:r>
              <w:rPr>
                <w:noProof/>
                <w:webHidden/>
              </w:rPr>
              <w:fldChar w:fldCharType="end"/>
            </w:r>
          </w:hyperlink>
        </w:p>
        <w:p w14:paraId="318E0734" w14:textId="6C8E41BF" w:rsidR="00D91913" w:rsidRDefault="00D91913">
          <w:pPr>
            <w:pStyle w:val="TOC2"/>
            <w:tabs>
              <w:tab w:val="right" w:leader="dot" w:pos="9016"/>
            </w:tabs>
            <w:rPr>
              <w:rFonts w:eastAsiaTheme="minorEastAsia"/>
              <w:noProof/>
              <w:lang w:eastAsia="en-GB"/>
            </w:rPr>
          </w:pPr>
          <w:hyperlink w:anchor="_Toc217258916" w:history="1">
            <w:r w:rsidRPr="00CD41E6">
              <w:rPr>
                <w:rStyle w:val="Hyperlink"/>
                <w:rFonts w:ascii="Arial" w:hAnsi="Arial" w:cs="Arial"/>
                <w:noProof/>
              </w:rPr>
              <w:t>4.6 Critical Evaluation of the Balanced Scorecard</w:t>
            </w:r>
            <w:r>
              <w:rPr>
                <w:noProof/>
                <w:webHidden/>
              </w:rPr>
              <w:tab/>
            </w:r>
            <w:r>
              <w:rPr>
                <w:noProof/>
                <w:webHidden/>
              </w:rPr>
              <w:fldChar w:fldCharType="begin"/>
            </w:r>
            <w:r>
              <w:rPr>
                <w:noProof/>
                <w:webHidden/>
              </w:rPr>
              <w:instrText xml:space="preserve"> PAGEREF _Toc217258916 \h </w:instrText>
            </w:r>
            <w:r>
              <w:rPr>
                <w:noProof/>
                <w:webHidden/>
              </w:rPr>
            </w:r>
            <w:r>
              <w:rPr>
                <w:noProof/>
                <w:webHidden/>
              </w:rPr>
              <w:fldChar w:fldCharType="separate"/>
            </w:r>
            <w:r>
              <w:rPr>
                <w:noProof/>
                <w:webHidden/>
              </w:rPr>
              <w:t>14</w:t>
            </w:r>
            <w:r>
              <w:rPr>
                <w:noProof/>
                <w:webHidden/>
              </w:rPr>
              <w:fldChar w:fldCharType="end"/>
            </w:r>
          </w:hyperlink>
        </w:p>
        <w:p w14:paraId="30B735A6" w14:textId="6323714C" w:rsidR="00D91913" w:rsidRDefault="00D91913">
          <w:pPr>
            <w:pStyle w:val="TOC1"/>
            <w:tabs>
              <w:tab w:val="right" w:leader="dot" w:pos="9016"/>
            </w:tabs>
            <w:rPr>
              <w:rFonts w:eastAsiaTheme="minorEastAsia"/>
              <w:noProof/>
              <w:lang w:eastAsia="en-GB"/>
            </w:rPr>
          </w:pPr>
          <w:hyperlink w:anchor="_Toc217258917" w:history="1">
            <w:r w:rsidRPr="00CD41E6">
              <w:rPr>
                <w:rStyle w:val="Hyperlink"/>
                <w:noProof/>
              </w:rPr>
              <w:t>Conclusion</w:t>
            </w:r>
            <w:r>
              <w:rPr>
                <w:noProof/>
                <w:webHidden/>
              </w:rPr>
              <w:tab/>
            </w:r>
            <w:r>
              <w:rPr>
                <w:noProof/>
                <w:webHidden/>
              </w:rPr>
              <w:fldChar w:fldCharType="begin"/>
            </w:r>
            <w:r>
              <w:rPr>
                <w:noProof/>
                <w:webHidden/>
              </w:rPr>
              <w:instrText xml:space="preserve"> PAGEREF _Toc217258917 \h </w:instrText>
            </w:r>
            <w:r>
              <w:rPr>
                <w:noProof/>
                <w:webHidden/>
              </w:rPr>
            </w:r>
            <w:r>
              <w:rPr>
                <w:noProof/>
                <w:webHidden/>
              </w:rPr>
              <w:fldChar w:fldCharType="separate"/>
            </w:r>
            <w:r>
              <w:rPr>
                <w:noProof/>
                <w:webHidden/>
              </w:rPr>
              <w:t>15</w:t>
            </w:r>
            <w:r>
              <w:rPr>
                <w:noProof/>
                <w:webHidden/>
              </w:rPr>
              <w:fldChar w:fldCharType="end"/>
            </w:r>
          </w:hyperlink>
        </w:p>
        <w:p w14:paraId="7F920063" w14:textId="5DD5FCF4" w:rsidR="00D91913" w:rsidRDefault="00D91913">
          <w:pPr>
            <w:pStyle w:val="TOC1"/>
            <w:tabs>
              <w:tab w:val="right" w:leader="dot" w:pos="9016"/>
            </w:tabs>
            <w:rPr>
              <w:rFonts w:eastAsiaTheme="minorEastAsia"/>
              <w:noProof/>
              <w:lang w:eastAsia="en-GB"/>
            </w:rPr>
          </w:pPr>
          <w:hyperlink w:anchor="_Toc217258918" w:history="1">
            <w:r w:rsidRPr="00CD41E6">
              <w:rPr>
                <w:rStyle w:val="Hyperlink"/>
                <w:noProof/>
              </w:rPr>
              <w:t>References</w:t>
            </w:r>
            <w:r>
              <w:rPr>
                <w:noProof/>
                <w:webHidden/>
              </w:rPr>
              <w:tab/>
            </w:r>
            <w:r>
              <w:rPr>
                <w:noProof/>
                <w:webHidden/>
              </w:rPr>
              <w:fldChar w:fldCharType="begin"/>
            </w:r>
            <w:r>
              <w:rPr>
                <w:noProof/>
                <w:webHidden/>
              </w:rPr>
              <w:instrText xml:space="preserve"> PAGEREF _Toc217258918 \h </w:instrText>
            </w:r>
            <w:r>
              <w:rPr>
                <w:noProof/>
                <w:webHidden/>
              </w:rPr>
            </w:r>
            <w:r>
              <w:rPr>
                <w:noProof/>
                <w:webHidden/>
              </w:rPr>
              <w:fldChar w:fldCharType="separate"/>
            </w:r>
            <w:r>
              <w:rPr>
                <w:noProof/>
                <w:webHidden/>
              </w:rPr>
              <w:t>16</w:t>
            </w:r>
            <w:r>
              <w:rPr>
                <w:noProof/>
                <w:webHidden/>
              </w:rPr>
              <w:fldChar w:fldCharType="end"/>
            </w:r>
          </w:hyperlink>
        </w:p>
        <w:p w14:paraId="30EB8ECA" w14:textId="1F25C310" w:rsidR="009021AA" w:rsidRDefault="009021AA">
          <w:r>
            <w:rPr>
              <w:b/>
              <w:bCs/>
              <w:noProof/>
            </w:rPr>
            <w:fldChar w:fldCharType="end"/>
          </w:r>
        </w:p>
      </w:sdtContent>
    </w:sdt>
    <w:p w14:paraId="2DB3D3EE" w14:textId="77777777" w:rsidR="009021AA" w:rsidRDefault="009021AA" w:rsidP="009021AA">
      <w:pPr>
        <w:pStyle w:val="Heading1"/>
        <w:jc w:val="both"/>
        <w:rPr>
          <w:rFonts w:ascii="Arial" w:hAnsi="Arial" w:cs="Arial"/>
        </w:rPr>
      </w:pPr>
    </w:p>
    <w:p w14:paraId="441E4EAE" w14:textId="77777777" w:rsidR="00D91913" w:rsidRDefault="00D91913" w:rsidP="009021AA">
      <w:pPr>
        <w:jc w:val="both"/>
        <w:rPr>
          <w:rFonts w:ascii="Arial" w:hAnsi="Arial" w:cs="Arial"/>
        </w:rPr>
      </w:pPr>
    </w:p>
    <w:p w14:paraId="2DA8BF3C" w14:textId="77777777" w:rsidR="00D91913" w:rsidRDefault="00D91913" w:rsidP="009021AA">
      <w:pPr>
        <w:jc w:val="both"/>
        <w:rPr>
          <w:rFonts w:ascii="Arial" w:hAnsi="Arial" w:cs="Arial"/>
        </w:rPr>
      </w:pPr>
    </w:p>
    <w:p w14:paraId="58A0113B" w14:textId="77777777" w:rsidR="00D91913" w:rsidRDefault="00D91913" w:rsidP="009021AA">
      <w:pPr>
        <w:jc w:val="both"/>
        <w:rPr>
          <w:rFonts w:ascii="Arial" w:hAnsi="Arial" w:cs="Arial"/>
        </w:rPr>
      </w:pPr>
    </w:p>
    <w:p w14:paraId="1A7EE05B" w14:textId="77777777" w:rsidR="00D91913" w:rsidRDefault="00D91913" w:rsidP="009021AA">
      <w:pPr>
        <w:jc w:val="both"/>
        <w:rPr>
          <w:rFonts w:ascii="Arial" w:hAnsi="Arial" w:cs="Arial"/>
        </w:rPr>
      </w:pPr>
    </w:p>
    <w:p w14:paraId="7B81D14B" w14:textId="77777777" w:rsidR="00D91913" w:rsidRDefault="00D91913" w:rsidP="00D91913">
      <w:pPr>
        <w:pStyle w:val="Heading1"/>
      </w:pPr>
    </w:p>
    <w:p w14:paraId="4F73FC5B" w14:textId="2F4169BA" w:rsidR="00D91913" w:rsidRPr="00D91913" w:rsidRDefault="00D91913" w:rsidP="00D91913">
      <w:pPr>
        <w:pStyle w:val="Heading1"/>
      </w:pPr>
      <w:bookmarkStart w:id="0" w:name="_Toc217258899"/>
      <w:r w:rsidRPr="00D91913">
        <w:t>1.Introduction</w:t>
      </w:r>
      <w:bookmarkEnd w:id="0"/>
    </w:p>
    <w:p w14:paraId="7A3DDEF4" w14:textId="59BD5508" w:rsidR="00D91913" w:rsidRDefault="00AD2038" w:rsidP="009021AA">
      <w:pPr>
        <w:jc w:val="both"/>
        <w:rPr>
          <w:rFonts w:ascii="Arial" w:hAnsi="Arial" w:cs="Arial"/>
        </w:rPr>
      </w:pPr>
      <w:r w:rsidRPr="00AD2038">
        <w:rPr>
          <w:rFonts w:ascii="Arial" w:hAnsi="Arial" w:cs="Arial"/>
        </w:rPr>
        <w:t>In the contemporary global business environment, international expansion has become a critical strategic option for multinational enterprises seeking long-term growth and competitive sustainability. Accelerating globalisation, technological</w:t>
      </w:r>
    </w:p>
    <w:p w14:paraId="563DA50B" w14:textId="51E5DC36" w:rsidR="00AD2038" w:rsidRPr="00AD2038" w:rsidRDefault="00AD2038" w:rsidP="009021AA">
      <w:pPr>
        <w:jc w:val="both"/>
        <w:rPr>
          <w:rFonts w:ascii="Arial" w:hAnsi="Arial" w:cs="Arial"/>
        </w:rPr>
      </w:pPr>
      <w:r w:rsidRPr="00AD2038">
        <w:rPr>
          <w:rFonts w:ascii="Arial" w:hAnsi="Arial" w:cs="Arial"/>
        </w:rPr>
        <w:t>advancement, and shifting consumer lifestyles have intensified competitive pressures, requiring firms to adopt structured and evidence-based approaches to strategic decision-making (Johnson et al., 2020). In this context, the ability to analyse external environments, evaluate internal capabilities, and design adaptable market entry strategies is essential, particularly when entering complex emerging economies.</w:t>
      </w:r>
    </w:p>
    <w:p w14:paraId="15F16958" w14:textId="77777777" w:rsidR="00AD2038" w:rsidRPr="00AD2038" w:rsidRDefault="00AD2038" w:rsidP="009021AA">
      <w:pPr>
        <w:jc w:val="both"/>
        <w:rPr>
          <w:rFonts w:ascii="Arial" w:hAnsi="Arial" w:cs="Arial"/>
        </w:rPr>
      </w:pPr>
      <w:r w:rsidRPr="00AD2038">
        <w:rPr>
          <w:rFonts w:ascii="Arial" w:hAnsi="Arial" w:cs="Arial"/>
        </w:rPr>
        <w:t xml:space="preserve">This report develops an organisational expansion plan for </w:t>
      </w:r>
      <w:r w:rsidRPr="00AD2038">
        <w:rPr>
          <w:rFonts w:ascii="Arial" w:hAnsi="Arial" w:cs="Arial"/>
          <w:b/>
          <w:bCs/>
        </w:rPr>
        <w:t>Starbucks</w:t>
      </w:r>
      <w:r w:rsidRPr="00AD2038">
        <w:rPr>
          <w:rFonts w:ascii="Arial" w:hAnsi="Arial" w:cs="Arial"/>
        </w:rPr>
        <w:t>, one of the world’s largest specialty coffee retailers, focusing on its strategic expansion within the Indian market. Starbucks operates a differentiation-based strategy built on premium product quality, strong brand equity, customer experience, and ethical sourcing practices (Starbucks, 2023). While the company has achieved substantial success in developed markets, continued growth increasingly depends on emerging economies where demographic expansion and urbanisation are reshaping consumption patterns (</w:t>
      </w:r>
      <w:proofErr w:type="spellStart"/>
      <w:r w:rsidRPr="00AD2038">
        <w:rPr>
          <w:rFonts w:ascii="Arial" w:hAnsi="Arial" w:cs="Arial"/>
        </w:rPr>
        <w:t>Cavusgil</w:t>
      </w:r>
      <w:proofErr w:type="spellEnd"/>
      <w:r w:rsidRPr="00AD2038">
        <w:rPr>
          <w:rFonts w:ascii="Arial" w:hAnsi="Arial" w:cs="Arial"/>
        </w:rPr>
        <w:t xml:space="preserve"> et al., 2019).</w:t>
      </w:r>
    </w:p>
    <w:p w14:paraId="69632058" w14:textId="77777777" w:rsidR="00AD2038" w:rsidRPr="00AD2038" w:rsidRDefault="00AD2038" w:rsidP="009021AA">
      <w:pPr>
        <w:jc w:val="both"/>
        <w:rPr>
          <w:rFonts w:ascii="Arial" w:hAnsi="Arial" w:cs="Arial"/>
        </w:rPr>
      </w:pPr>
      <w:r w:rsidRPr="00AD2038">
        <w:rPr>
          <w:rFonts w:ascii="Arial" w:hAnsi="Arial" w:cs="Arial"/>
        </w:rPr>
        <w:t>India represents a strategically attractive yet challenging market for Starbucks. As one of the fastest-growing major economies globally, India offers significant long-term potential driven by a young population, rising disposable incomes, and increasing exposure to global consumer culture (World Bank, 2024). At the same time, the Indian beverage market is characterised by high price sensitivity, deeply rooted tea-drinking traditions, and intense competition from domestic café chains offering locally adapted and lower-priced alternatives (Euromonitor, 2023). These conditions necessitate a carefully calibrated strategy that balances global brand consistency with local market responsiveness.</w:t>
      </w:r>
    </w:p>
    <w:p w14:paraId="54766A7F" w14:textId="3E472A73" w:rsidR="00D91913" w:rsidRDefault="00AD2038" w:rsidP="00D91913">
      <w:pPr>
        <w:jc w:val="both"/>
        <w:rPr>
          <w:rFonts w:ascii="Arial" w:hAnsi="Arial" w:cs="Arial"/>
        </w:rPr>
      </w:pPr>
      <w:r w:rsidRPr="00AD2038">
        <w:rPr>
          <w:rFonts w:ascii="Arial" w:hAnsi="Arial" w:cs="Arial"/>
        </w:rPr>
        <w:t>The aim of this report is to critically evaluate Starbucks’ expansion strategy in India through the application of established strategic management frameworks. The analysis integrates macro-environmental assessment, industry and competitive analysis, internal resource evaluation, and strategy formulation. Frameworks including PESTLE, Porter’s Five Forces, VRIO, and Porter’s Generic Strategies are applied critically to assess strategic fit and feasibility. The report concludes by proposing an appropriate performance evaluation framework to measure the effectiveness and sustainability of Starbucks’ expansion strategy in the Indian market.</w:t>
      </w:r>
    </w:p>
    <w:p w14:paraId="11E8AA8B" w14:textId="605FC0DB" w:rsidR="00AD2038" w:rsidRPr="009021AA" w:rsidRDefault="009021AA" w:rsidP="009021AA">
      <w:pPr>
        <w:pStyle w:val="Heading1"/>
        <w:jc w:val="both"/>
        <w:rPr>
          <w:rFonts w:ascii="Arial" w:hAnsi="Arial" w:cs="Arial"/>
        </w:rPr>
      </w:pPr>
      <w:bookmarkStart w:id="1" w:name="_Toc217258900"/>
      <w:r w:rsidRPr="009021AA">
        <w:rPr>
          <w:rFonts w:ascii="Arial" w:hAnsi="Arial" w:cs="Arial"/>
        </w:rPr>
        <w:lastRenderedPageBreak/>
        <w:t>2</w:t>
      </w:r>
      <w:r w:rsidR="00AD2038" w:rsidRPr="009021AA">
        <w:rPr>
          <w:rFonts w:ascii="Arial" w:hAnsi="Arial" w:cs="Arial"/>
        </w:rPr>
        <w:t>. Selection of Organisation and Target Market</w:t>
      </w:r>
      <w:bookmarkEnd w:id="1"/>
    </w:p>
    <w:p w14:paraId="25E357B0" w14:textId="77777777" w:rsidR="00AD2038" w:rsidRPr="00AD2038" w:rsidRDefault="00AD2038" w:rsidP="009021AA">
      <w:pPr>
        <w:jc w:val="both"/>
        <w:rPr>
          <w:rFonts w:ascii="Arial" w:hAnsi="Arial" w:cs="Arial"/>
        </w:rPr>
      </w:pPr>
      <w:r w:rsidRPr="00AD2038">
        <w:rPr>
          <w:rFonts w:ascii="Arial" w:hAnsi="Arial" w:cs="Arial"/>
        </w:rPr>
        <w:t xml:space="preserve">The organisation selected for this international expansion analysis is </w:t>
      </w:r>
      <w:r w:rsidRPr="00AD2038">
        <w:rPr>
          <w:rFonts w:ascii="Arial" w:hAnsi="Arial" w:cs="Arial"/>
          <w:b/>
          <w:bCs/>
        </w:rPr>
        <w:t>Starbucks</w:t>
      </w:r>
      <w:r w:rsidRPr="00AD2038">
        <w:rPr>
          <w:rFonts w:ascii="Arial" w:hAnsi="Arial" w:cs="Arial"/>
        </w:rPr>
        <w:t>, a multinational specialty coffee retailer headquartered in the United States. Founded in 1971, Starbucks has developed into one of the most recognisable global consumer brands, operating in over 80 international markets. The company follows a differentiation-based competitive strategy that emphasises premium product quality, experiential store environments, strong brand equity, and ethical sourcing practices (Starbucks, 2023). This strategic positioning has enabled Starbucks to maintain customer loyalty and pricing power across diverse geographic markets.</w:t>
      </w:r>
    </w:p>
    <w:p w14:paraId="1DA7AF77" w14:textId="77777777" w:rsidR="00AD2038" w:rsidRPr="00AD2038" w:rsidRDefault="00AD2038" w:rsidP="009021AA">
      <w:pPr>
        <w:jc w:val="both"/>
        <w:rPr>
          <w:rFonts w:ascii="Arial" w:hAnsi="Arial" w:cs="Arial"/>
        </w:rPr>
      </w:pPr>
      <w:r w:rsidRPr="00AD2038">
        <w:rPr>
          <w:rFonts w:ascii="Arial" w:hAnsi="Arial" w:cs="Arial"/>
        </w:rPr>
        <w:t>Despite its extensive global presence, Starbucks faces increasing growth constraints in mature markets such as North America and Western Europe. Market saturation, rising labour and rental costs, and intensified competition from independent cafés and value-focused chains have limited opportunities for further large-scale expansion in these regions (Johnson et al., 2020). Strategic management literature suggests that when growth opportunities decline in established markets, multinational enterprises must increasingly pursue expansion in emerging economies to sustain long-term performance, despite the higher levels of risk and complexity involved (</w:t>
      </w:r>
      <w:proofErr w:type="spellStart"/>
      <w:r w:rsidRPr="00AD2038">
        <w:rPr>
          <w:rFonts w:ascii="Arial" w:hAnsi="Arial" w:cs="Arial"/>
        </w:rPr>
        <w:t>Cavusgil</w:t>
      </w:r>
      <w:proofErr w:type="spellEnd"/>
      <w:r w:rsidRPr="00AD2038">
        <w:rPr>
          <w:rFonts w:ascii="Arial" w:hAnsi="Arial" w:cs="Arial"/>
        </w:rPr>
        <w:t xml:space="preserve"> et al., 2019).</w:t>
      </w:r>
    </w:p>
    <w:p w14:paraId="4503285E" w14:textId="77777777" w:rsidR="00AD2038" w:rsidRPr="00AD2038" w:rsidRDefault="00AD2038" w:rsidP="009021AA">
      <w:pPr>
        <w:jc w:val="both"/>
        <w:rPr>
          <w:rFonts w:ascii="Arial" w:hAnsi="Arial" w:cs="Arial"/>
        </w:rPr>
      </w:pPr>
      <w:r w:rsidRPr="00AD2038">
        <w:rPr>
          <w:rFonts w:ascii="Arial" w:hAnsi="Arial" w:cs="Arial"/>
        </w:rPr>
        <w:t>India has been selected as the target market for Starbucks’ expansion due to its strong long-term economic and demographic fundamentals. India is among the fastest-growing major economies globally, supported by rapid urbanisation, a large working-age population, and the continued expansion of a middle-income consumer segment (World Bank, 2024). These trends have contributed to changing consumption patterns in major urban centres, where café culture is increasingly associated with social interaction, professional lifestyles, and aspirational consumption (Euromonitor, 2023). From a strategic perspective, this shift aligns with Starbucks’ emphasis on experiential consumption rather than purely functional beverage offerings.</w:t>
      </w:r>
    </w:p>
    <w:p w14:paraId="25308A92" w14:textId="77777777" w:rsidR="00AD2038" w:rsidRPr="00AD2038" w:rsidRDefault="00AD2038" w:rsidP="009021AA">
      <w:pPr>
        <w:jc w:val="both"/>
        <w:rPr>
          <w:rFonts w:ascii="Arial" w:hAnsi="Arial" w:cs="Arial"/>
        </w:rPr>
      </w:pPr>
      <w:r w:rsidRPr="00AD2038">
        <w:rPr>
          <w:rFonts w:ascii="Arial" w:hAnsi="Arial" w:cs="Arial"/>
        </w:rPr>
        <w:t>However, the Indian market also presents substantial strategic challenges that justify its selection as an analytical focus. Income levels vary significantly across regions, resulting in high price sensitivity among a large proportion of consumers (IBISWorld, 2023). In addition, India has a deeply embedded tea-drinking culture, which limits the overall size of the coffee market and increases the threat of substitution. Competitive rivalry is further intensified by strong domestic café chains that benefit from deep local market knowledge, lower operating costs, and culturally adapted menus offered at more affordable price points (Euromonitor, 2023). These conditions reduce the effectiveness of standardised global strategies and require careful localisation of product offerings, pricing, and market positioning.</w:t>
      </w:r>
    </w:p>
    <w:p w14:paraId="5240D682" w14:textId="77777777" w:rsidR="00AD2038" w:rsidRPr="00AD2038" w:rsidRDefault="00AD2038" w:rsidP="009021AA">
      <w:pPr>
        <w:jc w:val="both"/>
        <w:rPr>
          <w:rFonts w:ascii="Arial" w:hAnsi="Arial" w:cs="Arial"/>
        </w:rPr>
      </w:pPr>
      <w:r w:rsidRPr="00AD2038">
        <w:rPr>
          <w:rFonts w:ascii="Arial" w:hAnsi="Arial" w:cs="Arial"/>
        </w:rPr>
        <w:t xml:space="preserve">The selection of India therefore provides a strategically and analytically appropriate context for examining Starbucks’ international expansion. The contrast between Starbucks’ premium global brand positioning and India’s price-sensitive, culturally </w:t>
      </w:r>
      <w:r w:rsidRPr="00AD2038">
        <w:rPr>
          <w:rFonts w:ascii="Arial" w:hAnsi="Arial" w:cs="Arial"/>
        </w:rPr>
        <w:lastRenderedPageBreak/>
        <w:t>diverse beverage market enables a critical evaluation of strategic fit, entry mode decisions, and competitive adaptation. Furthermore, Starbucks’ existing presence in India through a joint venture structure offers a realistic basis for assessing strategic refinement and future growth, rather than hypothetical market entry. This enhances the practical relevance of the analysis and allows for the application of strategic management frameworks to a real-world context characterised by both opportunity and complexity.</w:t>
      </w:r>
    </w:p>
    <w:p w14:paraId="04BACB62" w14:textId="77777777" w:rsidR="00F15724" w:rsidRPr="009021AA" w:rsidRDefault="00F15724" w:rsidP="009021AA">
      <w:pPr>
        <w:pStyle w:val="Heading2"/>
        <w:rPr>
          <w:rFonts w:ascii="Arial" w:hAnsi="Arial" w:cs="Arial"/>
        </w:rPr>
      </w:pPr>
      <w:bookmarkStart w:id="2" w:name="_Toc217258901"/>
      <w:r w:rsidRPr="009021AA">
        <w:rPr>
          <w:rFonts w:ascii="Arial" w:hAnsi="Arial" w:cs="Arial"/>
        </w:rPr>
        <w:t>2.1 Macro-Environmental Analysis of the Indian Market (PESTLE)</w:t>
      </w:r>
      <w:bookmarkEnd w:id="2"/>
    </w:p>
    <w:p w14:paraId="0D19302B" w14:textId="77777777" w:rsidR="00F15724" w:rsidRPr="00F15724" w:rsidRDefault="00F15724" w:rsidP="009021AA">
      <w:pPr>
        <w:jc w:val="both"/>
        <w:rPr>
          <w:rFonts w:ascii="Arial" w:hAnsi="Arial" w:cs="Arial"/>
        </w:rPr>
      </w:pPr>
      <w:r w:rsidRPr="00F15724">
        <w:rPr>
          <w:rFonts w:ascii="Arial" w:hAnsi="Arial" w:cs="Arial"/>
        </w:rPr>
        <w:t xml:space="preserve">This section applies the PESTLE framework to evaluate the macro-environmental factors influencing the expansion strategy of </w:t>
      </w:r>
      <w:r w:rsidRPr="00F15724">
        <w:rPr>
          <w:rFonts w:ascii="Arial" w:hAnsi="Arial" w:cs="Arial"/>
          <w:b/>
          <w:bCs/>
        </w:rPr>
        <w:t>Starbucks</w:t>
      </w:r>
      <w:r w:rsidRPr="00F15724">
        <w:rPr>
          <w:rFonts w:ascii="Arial" w:hAnsi="Arial" w:cs="Arial"/>
        </w:rPr>
        <w:t xml:space="preserve"> in India. The framework enables a structured assessment of external conditions that shape strategic opportunities and constraints, while recognising its limitations in capturing market-level behavioural nuances.</w:t>
      </w:r>
    </w:p>
    <w:p w14:paraId="1A5992A0" w14:textId="77777777" w:rsidR="00F15724" w:rsidRPr="00F15724" w:rsidRDefault="00F15724" w:rsidP="009021AA">
      <w:pPr>
        <w:jc w:val="both"/>
        <w:rPr>
          <w:rFonts w:ascii="Arial" w:hAnsi="Arial" w:cs="Arial"/>
          <w:b/>
          <w:bCs/>
        </w:rPr>
      </w:pPr>
      <w:r w:rsidRPr="00F15724">
        <w:rPr>
          <w:rFonts w:ascii="Arial" w:hAnsi="Arial" w:cs="Arial"/>
          <w:b/>
          <w:bCs/>
        </w:rPr>
        <w:t>Political Factors</w:t>
      </w:r>
    </w:p>
    <w:p w14:paraId="795AD605" w14:textId="77777777" w:rsidR="00F15724" w:rsidRPr="00F15724" w:rsidRDefault="00F15724" w:rsidP="009021AA">
      <w:pPr>
        <w:jc w:val="both"/>
        <w:rPr>
          <w:rFonts w:ascii="Arial" w:hAnsi="Arial" w:cs="Arial"/>
        </w:rPr>
      </w:pPr>
      <w:r w:rsidRPr="00F15724">
        <w:rPr>
          <w:rFonts w:ascii="Arial" w:hAnsi="Arial" w:cs="Arial"/>
        </w:rPr>
        <w:t>India has maintained relative political stability in recent years, supported by policy initiatives aimed at attracting foreign direct investment (FDI) and improving the ease of doing business. The Indian government permits 100 per cent FDI in single-brand retail under the automatic route, which has facilitated the entry and expansion of multinational consumer brands (DPIIT, 2024). This policy environment is favourable for Starbucks’ continued expansion. However, political complexity remains at the state and municipal levels, where regulatory requirements related to licensing, zoning, and labour compliance vary significantly. These factors increase administrative burden and reinforce the strategic importance of local partnerships to navigate institutional environments effectively (OECD, 2017).</w:t>
      </w:r>
    </w:p>
    <w:p w14:paraId="2CD16C1D" w14:textId="77777777" w:rsidR="00F15724" w:rsidRPr="00F15724" w:rsidRDefault="00F15724" w:rsidP="009021AA">
      <w:pPr>
        <w:jc w:val="both"/>
        <w:rPr>
          <w:rFonts w:ascii="Arial" w:hAnsi="Arial" w:cs="Arial"/>
          <w:b/>
          <w:bCs/>
        </w:rPr>
      </w:pPr>
      <w:r w:rsidRPr="00F15724">
        <w:rPr>
          <w:rFonts w:ascii="Arial" w:hAnsi="Arial" w:cs="Arial"/>
          <w:b/>
          <w:bCs/>
        </w:rPr>
        <w:t>Economic Factors</w:t>
      </w:r>
    </w:p>
    <w:p w14:paraId="792D5665" w14:textId="77777777" w:rsidR="00F15724" w:rsidRPr="00F15724" w:rsidRDefault="00F15724" w:rsidP="009021AA">
      <w:pPr>
        <w:jc w:val="both"/>
        <w:rPr>
          <w:rFonts w:ascii="Arial" w:hAnsi="Arial" w:cs="Arial"/>
        </w:rPr>
      </w:pPr>
      <w:r w:rsidRPr="00F15724">
        <w:rPr>
          <w:rFonts w:ascii="Arial" w:hAnsi="Arial" w:cs="Arial"/>
        </w:rPr>
        <w:t>India is one of the fastest-growing major economies globally, driven by rising domestic consumption, urbanisation, and income growth among the middle class (World Bank, 2024). These trends support increased discretionary spending on lifestyle and premium food and beverage products. Nevertheless, income inequality remains pronounced, resulting in high price sensitivity across large segments of the population (IBISWorld, 2023). For Starbucks, this creates a strategic tension between maintaining its premium pricing model and achieving scalable market penetration. Economic volatility, including inflationary pressures and currency fluctuations, may further affect operating costs and consumer spending behaviour.</w:t>
      </w:r>
    </w:p>
    <w:p w14:paraId="5B5853EE" w14:textId="77777777" w:rsidR="00F15724" w:rsidRPr="00F15724" w:rsidRDefault="00F15724" w:rsidP="009021AA">
      <w:pPr>
        <w:jc w:val="both"/>
        <w:rPr>
          <w:rFonts w:ascii="Arial" w:hAnsi="Arial" w:cs="Arial"/>
          <w:b/>
          <w:bCs/>
        </w:rPr>
      </w:pPr>
      <w:r w:rsidRPr="00F15724">
        <w:rPr>
          <w:rFonts w:ascii="Arial" w:hAnsi="Arial" w:cs="Arial"/>
          <w:b/>
          <w:bCs/>
        </w:rPr>
        <w:t>Social Factors</w:t>
      </w:r>
    </w:p>
    <w:p w14:paraId="6698B962" w14:textId="77777777" w:rsidR="00F15724" w:rsidRPr="00F15724" w:rsidRDefault="00F15724" w:rsidP="009021AA">
      <w:pPr>
        <w:jc w:val="both"/>
        <w:rPr>
          <w:rFonts w:ascii="Arial" w:hAnsi="Arial" w:cs="Arial"/>
        </w:rPr>
      </w:pPr>
      <w:r w:rsidRPr="00F15724">
        <w:rPr>
          <w:rFonts w:ascii="Arial" w:hAnsi="Arial" w:cs="Arial"/>
        </w:rPr>
        <w:t xml:space="preserve">Social and demographic trends in India present both opportunities and constraints. India has a young population, with a growing number of urban professionals who associate café consumption with socialisation, productivity, and aspirational lifestyles </w:t>
      </w:r>
      <w:r w:rsidRPr="00F15724">
        <w:rPr>
          <w:rFonts w:ascii="Arial" w:hAnsi="Arial" w:cs="Arial"/>
        </w:rPr>
        <w:lastRenderedPageBreak/>
        <w:t>(Euromonitor, 2023). This aligns closely with Starbucks’ experience-oriented value proposition. However, traditional preferences for tea remain deeply embedded in Indian culture, particularly outside major metropolitan areas. As a result, coffee consumption remains concentrated in urban centres, limiting the immediate scalability of Starbucks’ offerings. This social context necessitates careful localisation of menus and store formats to enhance cultural relevance.</w:t>
      </w:r>
    </w:p>
    <w:p w14:paraId="0C0CE256" w14:textId="77777777" w:rsidR="00F15724" w:rsidRPr="00F15724" w:rsidRDefault="00F15724" w:rsidP="009021AA">
      <w:pPr>
        <w:jc w:val="both"/>
        <w:rPr>
          <w:rFonts w:ascii="Arial" w:hAnsi="Arial" w:cs="Arial"/>
          <w:b/>
          <w:bCs/>
        </w:rPr>
      </w:pPr>
      <w:r w:rsidRPr="00F15724">
        <w:rPr>
          <w:rFonts w:ascii="Arial" w:hAnsi="Arial" w:cs="Arial"/>
          <w:b/>
          <w:bCs/>
        </w:rPr>
        <w:t>Technological Factors</w:t>
      </w:r>
    </w:p>
    <w:p w14:paraId="6553A8C6" w14:textId="77777777" w:rsidR="00F15724" w:rsidRPr="00F15724" w:rsidRDefault="00F15724" w:rsidP="009021AA">
      <w:pPr>
        <w:jc w:val="both"/>
        <w:rPr>
          <w:rFonts w:ascii="Arial" w:hAnsi="Arial" w:cs="Arial"/>
        </w:rPr>
      </w:pPr>
      <w:r w:rsidRPr="00F15724">
        <w:rPr>
          <w:rFonts w:ascii="Arial" w:hAnsi="Arial" w:cs="Arial"/>
        </w:rPr>
        <w:t>India has experienced rapid growth in digital infrastructure, smartphone penetration, and cashless payment systems. The widespread adoption of digital wallets and app-based services supports Starbucks’ digital engagement strategy, including mobile payments and loyalty programmes (Statista, 2024). These technologies enhance customer convenience and enable data-driven marketing. However, technological adoption is uneven across regions, with lower penetration in semi-urban and rural areas. Consequently, reliance on digital platforms alone may constrain expansion beyond Tier-1 cities in the short to medium term.</w:t>
      </w:r>
    </w:p>
    <w:p w14:paraId="557EA239" w14:textId="77777777" w:rsidR="00F15724" w:rsidRPr="00F15724" w:rsidRDefault="00F15724" w:rsidP="009021AA">
      <w:pPr>
        <w:jc w:val="both"/>
        <w:rPr>
          <w:rFonts w:ascii="Arial" w:hAnsi="Arial" w:cs="Arial"/>
          <w:b/>
          <w:bCs/>
        </w:rPr>
      </w:pPr>
      <w:r w:rsidRPr="00F15724">
        <w:rPr>
          <w:rFonts w:ascii="Arial" w:hAnsi="Arial" w:cs="Arial"/>
          <w:b/>
          <w:bCs/>
        </w:rPr>
        <w:t>Legal Factors</w:t>
      </w:r>
    </w:p>
    <w:p w14:paraId="76224CEE" w14:textId="77777777" w:rsidR="00F15724" w:rsidRPr="00F15724" w:rsidRDefault="00F15724" w:rsidP="009021AA">
      <w:pPr>
        <w:jc w:val="both"/>
        <w:rPr>
          <w:rFonts w:ascii="Arial" w:hAnsi="Arial" w:cs="Arial"/>
        </w:rPr>
      </w:pPr>
      <w:r w:rsidRPr="00F15724">
        <w:rPr>
          <w:rFonts w:ascii="Arial" w:hAnsi="Arial" w:cs="Arial"/>
        </w:rPr>
        <w:t>India’s legal environment presents both improvements and ongoing challenges for foreign retailers. While reforms have simplified certain aspects of taxation and business registration, labour laws, food safety regulations, and compliance requirements remain complex and unevenly enforced across states (OECD, 2017). For Starbucks, this increases operational risk and compliance costs, particularly during store expansion. Legal complexity further supports the strategic rationale for operating through a joint venture structure that leverages local regulatory expertise.</w:t>
      </w:r>
    </w:p>
    <w:p w14:paraId="1CEE39B4" w14:textId="77777777" w:rsidR="00F15724" w:rsidRPr="00F15724" w:rsidRDefault="00F15724" w:rsidP="009021AA">
      <w:pPr>
        <w:jc w:val="both"/>
        <w:rPr>
          <w:rFonts w:ascii="Arial" w:hAnsi="Arial" w:cs="Arial"/>
          <w:b/>
          <w:bCs/>
        </w:rPr>
      </w:pPr>
      <w:r w:rsidRPr="00F15724">
        <w:rPr>
          <w:rFonts w:ascii="Arial" w:hAnsi="Arial" w:cs="Arial"/>
          <w:b/>
          <w:bCs/>
        </w:rPr>
        <w:t>Environmental Factors</w:t>
      </w:r>
    </w:p>
    <w:p w14:paraId="7A286FF3" w14:textId="77777777" w:rsidR="00F15724" w:rsidRPr="00F15724" w:rsidRDefault="00F15724" w:rsidP="009021AA">
      <w:pPr>
        <w:jc w:val="both"/>
        <w:rPr>
          <w:rFonts w:ascii="Arial" w:hAnsi="Arial" w:cs="Arial"/>
        </w:rPr>
      </w:pPr>
      <w:r w:rsidRPr="00F15724">
        <w:rPr>
          <w:rFonts w:ascii="Arial" w:hAnsi="Arial" w:cs="Arial"/>
        </w:rPr>
        <w:t>Environmental sustainability is becoming an increasingly important consideration in India, driven by regulatory pressure, urban environmental challenges, and growing consumer awareness. Issues such as waste management, plastic usage, and water scarcity are particularly relevant to food and beverage retailers (UNEP, 2023). Starbucks’ global commitment to ethical sourcing and sustainability initiatives provides reputational advantages; however, implementing these standards consistently at the local level remains a strategic challenge that requires investment and operational adaptation.</w:t>
      </w:r>
    </w:p>
    <w:p w14:paraId="7C5BBB01" w14:textId="77777777" w:rsidR="00F15724" w:rsidRPr="00F15724" w:rsidRDefault="00F15724" w:rsidP="009021AA">
      <w:pPr>
        <w:jc w:val="both"/>
        <w:rPr>
          <w:rFonts w:ascii="Arial" w:hAnsi="Arial" w:cs="Arial"/>
          <w:b/>
          <w:bCs/>
        </w:rPr>
      </w:pPr>
      <w:r w:rsidRPr="00F15724">
        <w:rPr>
          <w:rFonts w:ascii="Arial" w:hAnsi="Arial" w:cs="Arial"/>
          <w:b/>
          <w:bCs/>
        </w:rPr>
        <w:t>Critical Evaluation of PESTLE</w:t>
      </w:r>
    </w:p>
    <w:p w14:paraId="66220DC5" w14:textId="77777777" w:rsidR="00F15724" w:rsidRPr="00F15724" w:rsidRDefault="00F15724" w:rsidP="009021AA">
      <w:pPr>
        <w:jc w:val="both"/>
        <w:rPr>
          <w:rFonts w:ascii="Arial" w:hAnsi="Arial" w:cs="Arial"/>
        </w:rPr>
      </w:pPr>
      <w:r w:rsidRPr="00F15724">
        <w:rPr>
          <w:rFonts w:ascii="Arial" w:hAnsi="Arial" w:cs="Arial"/>
        </w:rPr>
        <w:t>While the PESTLE framework offers a comprehensive overview of macro-environmental conditions, it provides limited insight into competitive dynamics and consumer behaviour at the micro level. In a diverse and regionally fragmented market such as India, macro-level analysis may oversimplify local variations. Therefore, PESTLE should be complemented by industry and internal analyses to support robust strategic decision-making.</w:t>
      </w:r>
    </w:p>
    <w:p w14:paraId="2A92B056" w14:textId="77777777" w:rsidR="00F15724" w:rsidRPr="009021AA" w:rsidRDefault="00F15724" w:rsidP="009021AA">
      <w:pPr>
        <w:pStyle w:val="Heading2"/>
        <w:jc w:val="both"/>
        <w:rPr>
          <w:rFonts w:ascii="Arial" w:hAnsi="Arial" w:cs="Arial"/>
        </w:rPr>
      </w:pPr>
      <w:bookmarkStart w:id="3" w:name="_Toc217258902"/>
      <w:r w:rsidRPr="009021AA">
        <w:rPr>
          <w:rFonts w:ascii="Arial" w:hAnsi="Arial" w:cs="Arial"/>
        </w:rPr>
        <w:lastRenderedPageBreak/>
        <w:t>2.2 Industry and Competitive Analysis: Porter’s Five Forces</w:t>
      </w:r>
      <w:bookmarkEnd w:id="3"/>
    </w:p>
    <w:p w14:paraId="5883AE0E" w14:textId="77777777" w:rsidR="00F15724" w:rsidRPr="00F15724" w:rsidRDefault="00F15724" w:rsidP="009021AA">
      <w:pPr>
        <w:jc w:val="both"/>
        <w:rPr>
          <w:rFonts w:ascii="Arial" w:hAnsi="Arial" w:cs="Arial"/>
        </w:rPr>
      </w:pPr>
      <w:r w:rsidRPr="00F15724">
        <w:rPr>
          <w:rFonts w:ascii="Arial" w:hAnsi="Arial" w:cs="Arial"/>
        </w:rPr>
        <w:t xml:space="preserve">This section applies </w:t>
      </w:r>
      <w:r w:rsidRPr="00F15724">
        <w:rPr>
          <w:rFonts w:ascii="Arial" w:hAnsi="Arial" w:cs="Arial"/>
          <w:b/>
          <w:bCs/>
        </w:rPr>
        <w:t>Porter’s Five Forces</w:t>
      </w:r>
      <w:r w:rsidRPr="00F15724">
        <w:rPr>
          <w:rFonts w:ascii="Arial" w:hAnsi="Arial" w:cs="Arial"/>
        </w:rPr>
        <w:t xml:space="preserve"> framework to assess the competitive intensity of the Indian café and specialty beverage industry and to evaluate the implications for </w:t>
      </w:r>
      <w:r w:rsidRPr="00F15724">
        <w:rPr>
          <w:rFonts w:ascii="Arial" w:hAnsi="Arial" w:cs="Arial"/>
          <w:b/>
          <w:bCs/>
        </w:rPr>
        <w:t>Starbucks</w:t>
      </w:r>
      <w:r w:rsidRPr="00F15724">
        <w:rPr>
          <w:rFonts w:ascii="Arial" w:hAnsi="Arial" w:cs="Arial"/>
        </w:rPr>
        <w:t>’ expansion strategy. The framework provides insight into industry structure and profit potential, while its limitations in dynamic and culturally diverse markets are also considered (Porter, 2008).</w:t>
      </w:r>
    </w:p>
    <w:p w14:paraId="4EB92E9E" w14:textId="77777777" w:rsidR="00F15724" w:rsidRPr="00F15724" w:rsidRDefault="00F15724" w:rsidP="009021AA">
      <w:pPr>
        <w:jc w:val="both"/>
        <w:rPr>
          <w:rFonts w:ascii="Arial" w:hAnsi="Arial" w:cs="Arial"/>
          <w:b/>
          <w:bCs/>
        </w:rPr>
      </w:pPr>
      <w:r w:rsidRPr="00F15724">
        <w:rPr>
          <w:rFonts w:ascii="Arial" w:hAnsi="Arial" w:cs="Arial"/>
          <w:b/>
          <w:bCs/>
        </w:rPr>
        <w:t>Threat of New Entrants</w:t>
      </w:r>
    </w:p>
    <w:p w14:paraId="313E53F1" w14:textId="77777777" w:rsidR="00F15724" w:rsidRPr="00F15724" w:rsidRDefault="00F15724" w:rsidP="009021AA">
      <w:pPr>
        <w:jc w:val="both"/>
        <w:rPr>
          <w:rFonts w:ascii="Arial" w:hAnsi="Arial" w:cs="Arial"/>
        </w:rPr>
      </w:pPr>
      <w:r w:rsidRPr="00F15724">
        <w:rPr>
          <w:rFonts w:ascii="Arial" w:hAnsi="Arial" w:cs="Arial"/>
        </w:rPr>
        <w:t xml:space="preserve">The threat of new entrants in the Indian café market is </w:t>
      </w:r>
      <w:r w:rsidRPr="00F15724">
        <w:rPr>
          <w:rFonts w:ascii="Arial" w:hAnsi="Arial" w:cs="Arial"/>
          <w:b/>
          <w:bCs/>
        </w:rPr>
        <w:t>moderate</w:t>
      </w:r>
      <w:r w:rsidRPr="00F15724">
        <w:rPr>
          <w:rFonts w:ascii="Arial" w:hAnsi="Arial" w:cs="Arial"/>
        </w:rPr>
        <w:t>. Entry barriers in terms of capital investment are relatively low for small independent cafés, as initial setup costs and sourcing requirements are limited. This has contributed to a fragmented market structure, particularly in urban areas (IBISWorld, 2023). However, for large-scale national or international expansion, barriers increase significantly. These include access to premium retail locations, brand recognition, supply chain capabilities, and compliance with regulatory and food safety standards. Starbucks’ strong brand equity and partnership with Tata Group provide advantages that are difficult for new entrants to replicate quickly. Nevertheless, the steady emergence of new domestic café concepts indicates that entry threats remain relevant, particularly at the local level.</w:t>
      </w:r>
    </w:p>
    <w:p w14:paraId="3F2717A6" w14:textId="77777777" w:rsidR="00F15724" w:rsidRPr="00F15724" w:rsidRDefault="00F15724" w:rsidP="009021AA">
      <w:pPr>
        <w:jc w:val="both"/>
        <w:rPr>
          <w:rFonts w:ascii="Arial" w:hAnsi="Arial" w:cs="Arial"/>
          <w:b/>
          <w:bCs/>
        </w:rPr>
      </w:pPr>
      <w:r w:rsidRPr="00F15724">
        <w:rPr>
          <w:rFonts w:ascii="Arial" w:hAnsi="Arial" w:cs="Arial"/>
          <w:b/>
          <w:bCs/>
        </w:rPr>
        <w:t>Bargaining Power of Suppliers</w:t>
      </w:r>
    </w:p>
    <w:p w14:paraId="59C2FFA3" w14:textId="77777777" w:rsidR="00F15724" w:rsidRPr="00F15724" w:rsidRDefault="00F15724" w:rsidP="009021AA">
      <w:pPr>
        <w:jc w:val="both"/>
        <w:rPr>
          <w:rFonts w:ascii="Arial" w:hAnsi="Arial" w:cs="Arial"/>
        </w:rPr>
      </w:pPr>
      <w:r w:rsidRPr="00F15724">
        <w:rPr>
          <w:rFonts w:ascii="Arial" w:hAnsi="Arial" w:cs="Arial"/>
        </w:rPr>
        <w:t xml:space="preserve">The bargaining power of suppliers is </w:t>
      </w:r>
      <w:r w:rsidRPr="00F15724">
        <w:rPr>
          <w:rFonts w:ascii="Arial" w:hAnsi="Arial" w:cs="Arial"/>
          <w:b/>
          <w:bCs/>
        </w:rPr>
        <w:t>moderate</w:t>
      </w:r>
      <w:r w:rsidRPr="00F15724">
        <w:rPr>
          <w:rFonts w:ascii="Arial" w:hAnsi="Arial" w:cs="Arial"/>
        </w:rPr>
        <w:t>. Coffee beans are globally traded commodities, which limits the power of individual suppliers. However, access to high-quality Arabica beans and ethically sourced coffee can be constrained, particularly when firms commit to sustainability standards (Starbucks, 2023). In India, Starbucks benefits from local sourcing arrangements through its partnership with Tata Coffee, which reduces supplier dependency and improves supply chain stability (Tata Consumer Products, 2024). While this mitigates supplier power for Starbucks, smaller competitors without similar scale or partnerships may face higher input cost volatility.</w:t>
      </w:r>
    </w:p>
    <w:p w14:paraId="28D6033B" w14:textId="77777777" w:rsidR="00F15724" w:rsidRPr="00F15724" w:rsidRDefault="00F15724" w:rsidP="009021AA">
      <w:pPr>
        <w:jc w:val="both"/>
        <w:rPr>
          <w:rFonts w:ascii="Arial" w:hAnsi="Arial" w:cs="Arial"/>
          <w:b/>
          <w:bCs/>
        </w:rPr>
      </w:pPr>
      <w:r w:rsidRPr="00F15724">
        <w:rPr>
          <w:rFonts w:ascii="Arial" w:hAnsi="Arial" w:cs="Arial"/>
          <w:b/>
          <w:bCs/>
        </w:rPr>
        <w:t>Bargaining Power of Buyers</w:t>
      </w:r>
    </w:p>
    <w:p w14:paraId="0683759F" w14:textId="1D83332D" w:rsidR="009021AA" w:rsidRPr="009021AA" w:rsidRDefault="00F15724" w:rsidP="009021AA">
      <w:pPr>
        <w:jc w:val="both"/>
        <w:rPr>
          <w:rFonts w:ascii="Arial" w:hAnsi="Arial" w:cs="Arial"/>
        </w:rPr>
      </w:pPr>
      <w:r w:rsidRPr="00F15724">
        <w:rPr>
          <w:rFonts w:ascii="Arial" w:hAnsi="Arial" w:cs="Arial"/>
        </w:rPr>
        <w:t xml:space="preserve">Buyer power in the Indian café market is </w:t>
      </w:r>
      <w:r w:rsidRPr="00F15724">
        <w:rPr>
          <w:rFonts w:ascii="Arial" w:hAnsi="Arial" w:cs="Arial"/>
          <w:b/>
          <w:bCs/>
        </w:rPr>
        <w:t>high</w:t>
      </w:r>
      <w:r w:rsidRPr="00F15724">
        <w:rPr>
          <w:rFonts w:ascii="Arial" w:hAnsi="Arial" w:cs="Arial"/>
        </w:rPr>
        <w:t>. Consumers have access to numerous alternatives, including domestic café chains, independent cafés, quick-service restaurants, and traditional beverage outlets. Switching costs are low, and price sensitivity is high, particularly among younger consumers and students (Euromonitor, 2023). This limits Starbucks’ ability to increase prices without delivering clear value through product quality, ambience, and service. As a result, customer experience and brand differentiation become critical in reducing buyer power and encouraging repeat patronage.</w:t>
      </w:r>
    </w:p>
    <w:p w14:paraId="7672A320" w14:textId="00242A9D" w:rsidR="00F15724" w:rsidRPr="00F15724" w:rsidRDefault="00F15724" w:rsidP="009021AA">
      <w:pPr>
        <w:jc w:val="both"/>
        <w:rPr>
          <w:rFonts w:ascii="Arial" w:hAnsi="Arial" w:cs="Arial"/>
          <w:b/>
          <w:bCs/>
        </w:rPr>
      </w:pPr>
      <w:r w:rsidRPr="00F15724">
        <w:rPr>
          <w:rFonts w:ascii="Arial" w:hAnsi="Arial" w:cs="Arial"/>
          <w:b/>
          <w:bCs/>
        </w:rPr>
        <w:t>Threat of Substitutes</w:t>
      </w:r>
    </w:p>
    <w:p w14:paraId="26E90201" w14:textId="77777777" w:rsidR="00F15724" w:rsidRPr="00F15724" w:rsidRDefault="00F15724" w:rsidP="009021AA">
      <w:pPr>
        <w:jc w:val="both"/>
        <w:rPr>
          <w:rFonts w:ascii="Arial" w:hAnsi="Arial" w:cs="Arial"/>
        </w:rPr>
      </w:pPr>
      <w:r w:rsidRPr="00F15724">
        <w:rPr>
          <w:rFonts w:ascii="Arial" w:hAnsi="Arial" w:cs="Arial"/>
        </w:rPr>
        <w:t xml:space="preserve">The threat of substitutes is </w:t>
      </w:r>
      <w:r w:rsidRPr="00F15724">
        <w:rPr>
          <w:rFonts w:ascii="Arial" w:hAnsi="Arial" w:cs="Arial"/>
          <w:b/>
          <w:bCs/>
        </w:rPr>
        <w:t>high</w:t>
      </w:r>
      <w:r w:rsidRPr="00F15724">
        <w:rPr>
          <w:rFonts w:ascii="Arial" w:hAnsi="Arial" w:cs="Arial"/>
        </w:rPr>
        <w:t xml:space="preserve"> in the Indian context. Tea remains the dominant beverage in India, widely available at significantly lower prices than specialty coffee </w:t>
      </w:r>
      <w:r w:rsidRPr="00F15724">
        <w:rPr>
          <w:rFonts w:ascii="Arial" w:hAnsi="Arial" w:cs="Arial"/>
        </w:rPr>
        <w:lastRenderedPageBreak/>
        <w:t>(IBISWorld, 2023). In addition, street beverages, packaged drinks, and home consumption options provide readily accessible substitutes that fulfil similar functional needs. This high level of substitution places downward pressure on demand for premium coffee products and reinforces the need for Starbucks to compete on experiential and symbolic value rather than functional attributes alone.</w:t>
      </w:r>
    </w:p>
    <w:p w14:paraId="53FEB21C" w14:textId="77777777" w:rsidR="00F15724" w:rsidRPr="00F15724" w:rsidRDefault="00F15724" w:rsidP="009021AA">
      <w:pPr>
        <w:jc w:val="both"/>
        <w:rPr>
          <w:rFonts w:ascii="Arial" w:hAnsi="Arial" w:cs="Arial"/>
          <w:b/>
          <w:bCs/>
        </w:rPr>
      </w:pPr>
      <w:r w:rsidRPr="00F15724">
        <w:rPr>
          <w:rFonts w:ascii="Arial" w:hAnsi="Arial" w:cs="Arial"/>
          <w:b/>
          <w:bCs/>
        </w:rPr>
        <w:t>Competitive Rivalry</w:t>
      </w:r>
    </w:p>
    <w:p w14:paraId="6D03BC87" w14:textId="77777777" w:rsidR="00F15724" w:rsidRPr="00F15724" w:rsidRDefault="00F15724" w:rsidP="009021AA">
      <w:pPr>
        <w:jc w:val="both"/>
        <w:rPr>
          <w:rFonts w:ascii="Arial" w:hAnsi="Arial" w:cs="Arial"/>
        </w:rPr>
      </w:pPr>
      <w:r w:rsidRPr="00F15724">
        <w:rPr>
          <w:rFonts w:ascii="Arial" w:hAnsi="Arial" w:cs="Arial"/>
        </w:rPr>
        <w:t xml:space="preserve">Competitive rivalry within the Indian café industry is </w:t>
      </w:r>
      <w:r w:rsidRPr="00F15724">
        <w:rPr>
          <w:rFonts w:ascii="Arial" w:hAnsi="Arial" w:cs="Arial"/>
          <w:b/>
          <w:bCs/>
        </w:rPr>
        <w:t>intense</w:t>
      </w:r>
      <w:r w:rsidRPr="00F15724">
        <w:rPr>
          <w:rFonts w:ascii="Arial" w:hAnsi="Arial" w:cs="Arial"/>
        </w:rPr>
        <w:t>. The market includes a mix of international brands and strong domestic competitors that benefit from local market knowledge, cost advantages, and culturally adapted menus (Euromonitor, 2023). Competition for prime urban locations is particularly strong, increasing rental costs and operational pressure. Frequent promotional activity and product innovation further intensify rivalry. For Starbucks, this environment limits the feasibility of aggressive expansion strategies and supports a more selective, urban-focused approach.</w:t>
      </w:r>
    </w:p>
    <w:p w14:paraId="43647783" w14:textId="77777777" w:rsidR="00F15724" w:rsidRPr="00F15724" w:rsidRDefault="00F15724" w:rsidP="009021AA">
      <w:pPr>
        <w:jc w:val="both"/>
        <w:rPr>
          <w:rFonts w:ascii="Arial" w:hAnsi="Arial" w:cs="Arial"/>
          <w:b/>
          <w:bCs/>
        </w:rPr>
      </w:pPr>
      <w:r w:rsidRPr="00F15724">
        <w:rPr>
          <w:rFonts w:ascii="Arial" w:hAnsi="Arial" w:cs="Arial"/>
          <w:b/>
          <w:bCs/>
        </w:rPr>
        <w:t>Critical Evaluation of Porter’s Five Forces</w:t>
      </w:r>
    </w:p>
    <w:p w14:paraId="0049A8CC" w14:textId="77777777" w:rsidR="00F15724" w:rsidRPr="00F15724" w:rsidRDefault="00F15724" w:rsidP="009021AA">
      <w:pPr>
        <w:jc w:val="both"/>
        <w:rPr>
          <w:rFonts w:ascii="Arial" w:hAnsi="Arial" w:cs="Arial"/>
        </w:rPr>
      </w:pPr>
      <w:r w:rsidRPr="00F15724">
        <w:rPr>
          <w:rFonts w:ascii="Arial" w:hAnsi="Arial" w:cs="Arial"/>
        </w:rPr>
        <w:t>Porter’s Five Forces framework offers valuable insight into the structural pressures shaping industry profitability. However, it assumes relatively stable industry boundaries and may underestimate the role of innovation, digital engagement, and experiential differentiation in shaping competitive advantage (Porter, 2008). In a rapidly evolving market such as India, where consumer preferences and business models are changing, the framework should be applied alongside resource-based and dynamic capability perspectives to inform strategic decisions more comprehensively.</w:t>
      </w:r>
    </w:p>
    <w:p w14:paraId="6CA4C2B0" w14:textId="77777777" w:rsidR="00F15724" w:rsidRPr="009021AA" w:rsidRDefault="00F15724" w:rsidP="009021AA">
      <w:pPr>
        <w:pStyle w:val="Heading2"/>
        <w:jc w:val="both"/>
        <w:rPr>
          <w:rFonts w:ascii="Arial" w:hAnsi="Arial" w:cs="Arial"/>
        </w:rPr>
      </w:pPr>
      <w:bookmarkStart w:id="4" w:name="_Toc217258903"/>
      <w:r w:rsidRPr="009021AA">
        <w:rPr>
          <w:rFonts w:ascii="Arial" w:hAnsi="Arial" w:cs="Arial"/>
        </w:rPr>
        <w:t>2.3 Internal Strategic Analysis: VRIO Framework</w:t>
      </w:r>
      <w:bookmarkEnd w:id="4"/>
    </w:p>
    <w:p w14:paraId="07CDBBA6" w14:textId="77777777" w:rsidR="00F15724" w:rsidRPr="00F15724" w:rsidRDefault="00F15724" w:rsidP="009021AA">
      <w:pPr>
        <w:jc w:val="both"/>
        <w:rPr>
          <w:rFonts w:ascii="Arial" w:hAnsi="Arial" w:cs="Arial"/>
        </w:rPr>
      </w:pPr>
      <w:r w:rsidRPr="00F15724">
        <w:rPr>
          <w:rFonts w:ascii="Arial" w:hAnsi="Arial" w:cs="Arial"/>
        </w:rPr>
        <w:t xml:space="preserve">This section applies the VRIO framework to assess whether </w:t>
      </w:r>
      <w:r w:rsidRPr="00F15724">
        <w:rPr>
          <w:rFonts w:ascii="Arial" w:hAnsi="Arial" w:cs="Arial"/>
          <w:b/>
          <w:bCs/>
        </w:rPr>
        <w:t>Starbucks</w:t>
      </w:r>
      <w:r w:rsidRPr="00F15724">
        <w:rPr>
          <w:rFonts w:ascii="Arial" w:hAnsi="Arial" w:cs="Arial"/>
        </w:rPr>
        <w:t xml:space="preserve"> possesses internal resources and capabilities that can generate sustained competitive advantage in the Indian market. The VRIO model evaluates resources based on four criteria: value, rarity, imitability, and organisational support (Barney, 1991). This analysis is particularly relevant in emerging markets, where internal capabilities often determine a firm’s ability to adapt to external complexity.</w:t>
      </w:r>
    </w:p>
    <w:p w14:paraId="7AA47D62" w14:textId="77777777" w:rsidR="00F15724" w:rsidRPr="009021AA" w:rsidRDefault="00F15724" w:rsidP="009021AA">
      <w:pPr>
        <w:jc w:val="both"/>
        <w:rPr>
          <w:rFonts w:ascii="Arial" w:hAnsi="Arial" w:cs="Arial"/>
          <w:b/>
          <w:bCs/>
        </w:rPr>
      </w:pPr>
      <w:r w:rsidRPr="009021AA">
        <w:rPr>
          <w:rFonts w:ascii="Arial" w:hAnsi="Arial" w:cs="Arial"/>
          <w:b/>
          <w:bCs/>
        </w:rPr>
        <w:t>Brand Equity and Global Reputation</w:t>
      </w:r>
    </w:p>
    <w:p w14:paraId="136B0DA5" w14:textId="77777777" w:rsidR="00F15724" w:rsidRPr="00F15724" w:rsidRDefault="00F15724" w:rsidP="009021AA">
      <w:pPr>
        <w:jc w:val="both"/>
        <w:rPr>
          <w:rFonts w:ascii="Arial" w:hAnsi="Arial" w:cs="Arial"/>
        </w:rPr>
      </w:pPr>
      <w:r w:rsidRPr="00F15724">
        <w:rPr>
          <w:rFonts w:ascii="Arial" w:hAnsi="Arial" w:cs="Arial"/>
        </w:rPr>
        <w:t xml:space="preserve">Starbucks’ global brand equity represents a highly valuable strategic resource. The brand is associated with premium quality, ethical sourcing, and a distinctive customer experience, allowing Starbucks to differentiate itself from lower-priced competitors. In India, where café consumption among urban consumers is closely linked to social status and aspirational lifestyles, brand symbolism adds significant value (Keller and Swaminathan, 2019). While several café brands operate in India, few possess comparable global recognition, making Starbucks’ brand relatively rare. The long-term investment required to build such equity renders imitation difficult. Starbucks is also well organised to exploit this asset through global brand governance combined with </w:t>
      </w:r>
      <w:r w:rsidRPr="00F15724">
        <w:rPr>
          <w:rFonts w:ascii="Arial" w:hAnsi="Arial" w:cs="Arial"/>
        </w:rPr>
        <w:lastRenderedPageBreak/>
        <w:t>local adaptation, suggesting that brand equity provides a sustained competitive advantage (Starbucks, 2023).</w:t>
      </w:r>
    </w:p>
    <w:p w14:paraId="0CF71BEE" w14:textId="77777777" w:rsidR="00F15724" w:rsidRPr="009021AA" w:rsidRDefault="00F15724" w:rsidP="009021AA">
      <w:pPr>
        <w:jc w:val="both"/>
        <w:rPr>
          <w:rFonts w:ascii="Arial" w:hAnsi="Arial" w:cs="Arial"/>
          <w:b/>
          <w:bCs/>
        </w:rPr>
      </w:pPr>
      <w:r w:rsidRPr="009021AA">
        <w:rPr>
          <w:rFonts w:ascii="Arial" w:hAnsi="Arial" w:cs="Arial"/>
          <w:b/>
          <w:bCs/>
        </w:rPr>
        <w:t>Supply Chain and Ethical Sourcing Capabilities</w:t>
      </w:r>
    </w:p>
    <w:p w14:paraId="7EF73AA5" w14:textId="77777777" w:rsidR="00F15724" w:rsidRPr="00F15724" w:rsidRDefault="00F15724" w:rsidP="009021AA">
      <w:pPr>
        <w:jc w:val="both"/>
        <w:rPr>
          <w:rFonts w:ascii="Arial" w:hAnsi="Arial" w:cs="Arial"/>
        </w:rPr>
      </w:pPr>
      <w:r w:rsidRPr="00F15724">
        <w:rPr>
          <w:rFonts w:ascii="Arial" w:hAnsi="Arial" w:cs="Arial"/>
        </w:rPr>
        <w:t>Starbucks’ integrated supply chain and commitment to ethical sourcing constitute another valuable internal capability. Through its Coffee and Farmer Equity (C.A.F.E.) Practices, Starbucks ensures quality control, sustainability, and long-term supplier relationships across its operations (Starbucks, 2023). In India, where environmental and social responsibility are becoming increasingly important to regulators and consumers, these practices enhance brand legitimacy. Although supply chain management is not inherently rare, Starbucks’ scale, transparency, and sustainability focus increase barriers to imitation. The company’s organisational structures support the effective exploitation of this capability, contributing to a sustained or long-term competitive advantage.</w:t>
      </w:r>
    </w:p>
    <w:p w14:paraId="6D91CD31" w14:textId="77777777" w:rsidR="00F15724" w:rsidRPr="009021AA" w:rsidRDefault="00F15724" w:rsidP="009021AA">
      <w:pPr>
        <w:jc w:val="both"/>
        <w:rPr>
          <w:rFonts w:ascii="Arial" w:hAnsi="Arial" w:cs="Arial"/>
          <w:b/>
          <w:bCs/>
        </w:rPr>
      </w:pPr>
      <w:r w:rsidRPr="009021AA">
        <w:rPr>
          <w:rFonts w:ascii="Arial" w:hAnsi="Arial" w:cs="Arial"/>
          <w:b/>
          <w:bCs/>
        </w:rPr>
        <w:t>Strategic Partnership with Tata Group</w:t>
      </w:r>
    </w:p>
    <w:p w14:paraId="0D79B762" w14:textId="77777777" w:rsidR="00F15724" w:rsidRPr="00F15724" w:rsidRDefault="00F15724" w:rsidP="009021AA">
      <w:pPr>
        <w:jc w:val="both"/>
        <w:rPr>
          <w:rFonts w:ascii="Arial" w:hAnsi="Arial" w:cs="Arial"/>
        </w:rPr>
      </w:pPr>
      <w:r w:rsidRPr="00F15724">
        <w:rPr>
          <w:rFonts w:ascii="Arial" w:hAnsi="Arial" w:cs="Arial"/>
        </w:rPr>
        <w:t>The joint venture with Tata Group represents a context-specific and strategically critical resource. Tata provides deep local market knowledge, regulatory expertise, real estate access, and supply chain infrastructure, significantly reducing the liability of foreignness commonly faced by multinational enterprises in emerging markets (Hill and Hult, 2020). This partnership is rare and highly difficult to imitate, as similar alliances require long-term trust and strategic alignment. Starbucks is organisationally structured to integrate Tata’s capabilities into its operations, making this partnership a key source of sustained competitive advantage in India (Tata Consumer Products, 2024).</w:t>
      </w:r>
    </w:p>
    <w:p w14:paraId="117CD158" w14:textId="77777777" w:rsidR="00F15724" w:rsidRPr="009021AA" w:rsidRDefault="00F15724" w:rsidP="009021AA">
      <w:pPr>
        <w:jc w:val="both"/>
        <w:rPr>
          <w:rFonts w:ascii="Arial" w:hAnsi="Arial" w:cs="Arial"/>
          <w:b/>
          <w:bCs/>
        </w:rPr>
      </w:pPr>
      <w:r w:rsidRPr="009021AA">
        <w:rPr>
          <w:rFonts w:ascii="Arial" w:hAnsi="Arial" w:cs="Arial"/>
          <w:b/>
          <w:bCs/>
        </w:rPr>
        <w:t>Human Capital and Service Culture</w:t>
      </w:r>
    </w:p>
    <w:p w14:paraId="7C77CCEB" w14:textId="77777777" w:rsidR="00F15724" w:rsidRPr="00F15724" w:rsidRDefault="00F15724" w:rsidP="009021AA">
      <w:pPr>
        <w:jc w:val="both"/>
        <w:rPr>
          <w:rFonts w:ascii="Arial" w:hAnsi="Arial" w:cs="Arial"/>
        </w:rPr>
      </w:pPr>
      <w:r w:rsidRPr="00F15724">
        <w:rPr>
          <w:rFonts w:ascii="Arial" w:hAnsi="Arial" w:cs="Arial"/>
        </w:rPr>
        <w:t>Starbucks’ emphasis on employee training and service quality supports its experiential differentiation strategy. High service standards enhance customer satisfaction and reinforce brand positioning (Heskett et al., 2008). While this capability is valuable, it is less rare and more easily imitated by competitors over time. In addition, high employee turnover in India’s retail and hospitality sectors may weaken the durability of this advantage. Consequently, human capital provides a temporary competitive advantage rather than a sustained one.</w:t>
      </w:r>
    </w:p>
    <w:p w14:paraId="1AFD5D2B" w14:textId="77777777" w:rsidR="00F15724" w:rsidRPr="009021AA" w:rsidRDefault="00F15724" w:rsidP="009021AA">
      <w:pPr>
        <w:jc w:val="both"/>
        <w:rPr>
          <w:rFonts w:ascii="Arial" w:hAnsi="Arial" w:cs="Arial"/>
          <w:b/>
          <w:bCs/>
        </w:rPr>
      </w:pPr>
      <w:r w:rsidRPr="009021AA">
        <w:rPr>
          <w:rFonts w:ascii="Arial" w:hAnsi="Arial" w:cs="Arial"/>
          <w:b/>
          <w:bCs/>
        </w:rPr>
        <w:t>Digital Capabilities and Customer Engagement</w:t>
      </w:r>
    </w:p>
    <w:p w14:paraId="04EBEF99" w14:textId="77777777" w:rsidR="00F15724" w:rsidRPr="00F15724" w:rsidRDefault="00F15724" w:rsidP="009021AA">
      <w:pPr>
        <w:jc w:val="both"/>
        <w:rPr>
          <w:rFonts w:ascii="Arial" w:hAnsi="Arial" w:cs="Arial"/>
        </w:rPr>
      </w:pPr>
      <w:r w:rsidRPr="00F15724">
        <w:rPr>
          <w:rFonts w:ascii="Arial" w:hAnsi="Arial" w:cs="Arial"/>
        </w:rPr>
        <w:t>Starbucks’ digital platforms, including loyalty programmes and mobile ordering systems, enhance convenience and enable data-driven marketing. In urban Indian markets, increasing smartphone penetration supports the value of these capabilities (Statista, 2024). However, digital technologies are widely accessible and rapidly adopted by competitors, reducing their rarity and increasing imitability. As a result, digital capabilities offer competitive parity or short-term advantage rather than long-term differentiation.</w:t>
      </w:r>
    </w:p>
    <w:p w14:paraId="6A53842A" w14:textId="77777777" w:rsidR="00F15724" w:rsidRPr="009021AA" w:rsidRDefault="00F15724" w:rsidP="009021AA">
      <w:pPr>
        <w:jc w:val="both"/>
        <w:rPr>
          <w:rFonts w:ascii="Arial" w:hAnsi="Arial" w:cs="Arial"/>
          <w:b/>
          <w:bCs/>
        </w:rPr>
      </w:pPr>
      <w:r w:rsidRPr="009021AA">
        <w:rPr>
          <w:rFonts w:ascii="Arial" w:hAnsi="Arial" w:cs="Arial"/>
          <w:b/>
          <w:bCs/>
        </w:rPr>
        <w:lastRenderedPageBreak/>
        <w:t>Critical Evaluation of VRIO</w:t>
      </w:r>
    </w:p>
    <w:p w14:paraId="21023951" w14:textId="77777777" w:rsidR="00F15724" w:rsidRPr="00F15724" w:rsidRDefault="00F15724" w:rsidP="009021AA">
      <w:pPr>
        <w:jc w:val="both"/>
        <w:rPr>
          <w:rFonts w:ascii="Arial" w:hAnsi="Arial" w:cs="Arial"/>
        </w:rPr>
      </w:pPr>
      <w:r w:rsidRPr="00F15724">
        <w:rPr>
          <w:rFonts w:ascii="Arial" w:hAnsi="Arial" w:cs="Arial"/>
        </w:rPr>
        <w:t>While the VRIO framework effectively identifies sources of competitive advantage, it adopts a largely static perspective and does not fully capture how resource value may evolve in dynamic markets. In India’s rapidly changing consumer and regulatory environment, continuous capability development and strategic adaptation remain essential to sustaining competitive advantage beyond initial market entry (Barney, 1991).</w:t>
      </w:r>
    </w:p>
    <w:p w14:paraId="4CB60361" w14:textId="77777777" w:rsidR="00F15724" w:rsidRPr="009021AA" w:rsidRDefault="00F15724" w:rsidP="009021AA">
      <w:pPr>
        <w:pStyle w:val="Heading1"/>
        <w:jc w:val="both"/>
        <w:rPr>
          <w:rFonts w:ascii="Arial" w:hAnsi="Arial" w:cs="Arial"/>
        </w:rPr>
      </w:pPr>
      <w:bookmarkStart w:id="5" w:name="_Toc217258904"/>
      <w:r w:rsidRPr="009021AA">
        <w:rPr>
          <w:rFonts w:ascii="Arial" w:hAnsi="Arial" w:cs="Arial"/>
        </w:rPr>
        <w:t>3. Strategy Development and Formulation</w:t>
      </w:r>
      <w:bookmarkEnd w:id="5"/>
    </w:p>
    <w:p w14:paraId="7DAC89CF" w14:textId="77777777" w:rsidR="00F15724" w:rsidRPr="00F15724" w:rsidRDefault="00F15724" w:rsidP="009021AA">
      <w:pPr>
        <w:jc w:val="both"/>
        <w:rPr>
          <w:rFonts w:ascii="Arial" w:hAnsi="Arial" w:cs="Arial"/>
        </w:rPr>
      </w:pPr>
      <w:r w:rsidRPr="00F15724">
        <w:rPr>
          <w:rFonts w:ascii="Arial" w:hAnsi="Arial" w:cs="Arial"/>
        </w:rPr>
        <w:t xml:space="preserve">This section develops a coherent international expansion strategy for </w:t>
      </w:r>
      <w:r w:rsidRPr="00F15724">
        <w:rPr>
          <w:rFonts w:ascii="Arial" w:hAnsi="Arial" w:cs="Arial"/>
          <w:b/>
          <w:bCs/>
        </w:rPr>
        <w:t>Starbucks</w:t>
      </w:r>
      <w:r w:rsidRPr="00F15724">
        <w:rPr>
          <w:rFonts w:ascii="Arial" w:hAnsi="Arial" w:cs="Arial"/>
        </w:rPr>
        <w:t xml:space="preserve"> in the Indian market. The proposed strategy is grounded in the findings of the macro-environmental, industry, and internal analyses and aims to achieve sustainable competitive advantage while managing the structural and cultural complexities of operating in an emerging economy.</w:t>
      </w:r>
    </w:p>
    <w:p w14:paraId="5F2FC7C7" w14:textId="77777777" w:rsidR="00F15724" w:rsidRPr="009021AA" w:rsidRDefault="00F15724" w:rsidP="009021AA">
      <w:pPr>
        <w:pStyle w:val="Heading2"/>
        <w:jc w:val="both"/>
        <w:rPr>
          <w:rFonts w:ascii="Arial" w:hAnsi="Arial" w:cs="Arial"/>
        </w:rPr>
      </w:pPr>
      <w:bookmarkStart w:id="6" w:name="_Toc217258905"/>
      <w:r w:rsidRPr="009021AA">
        <w:rPr>
          <w:rFonts w:ascii="Arial" w:hAnsi="Arial" w:cs="Arial"/>
        </w:rPr>
        <w:t>3.1 Strategic Growth Direction</w:t>
      </w:r>
      <w:bookmarkEnd w:id="6"/>
    </w:p>
    <w:p w14:paraId="4710079E" w14:textId="77777777" w:rsidR="00F15724" w:rsidRPr="00F15724" w:rsidRDefault="00F15724" w:rsidP="009021AA">
      <w:pPr>
        <w:jc w:val="both"/>
        <w:rPr>
          <w:rFonts w:ascii="Arial" w:hAnsi="Arial" w:cs="Arial"/>
        </w:rPr>
      </w:pPr>
      <w:r w:rsidRPr="00F15724">
        <w:rPr>
          <w:rFonts w:ascii="Arial" w:hAnsi="Arial" w:cs="Arial"/>
        </w:rPr>
        <w:t xml:space="preserve">Starbucks’ expansion in India can be categorised as a </w:t>
      </w:r>
      <w:r w:rsidRPr="00F15724">
        <w:rPr>
          <w:rFonts w:ascii="Arial" w:hAnsi="Arial" w:cs="Arial"/>
          <w:b/>
          <w:bCs/>
        </w:rPr>
        <w:t>market development strategy</w:t>
      </w:r>
      <w:r w:rsidRPr="00F15724">
        <w:rPr>
          <w:rFonts w:ascii="Arial" w:hAnsi="Arial" w:cs="Arial"/>
        </w:rPr>
        <w:t xml:space="preserve"> under Ansoff’s Matrix, whereby an existing product and brand portfolio is introduced into a new or underdeveloped geographic market (Ansoff, 1957). Given increasing saturation in core Western markets, international business literature highlights emerging economies as essential drivers of long-term growth for multinational enterprises (</w:t>
      </w:r>
      <w:proofErr w:type="spellStart"/>
      <w:r w:rsidRPr="00F15724">
        <w:rPr>
          <w:rFonts w:ascii="Arial" w:hAnsi="Arial" w:cs="Arial"/>
        </w:rPr>
        <w:t>Cavusgil</w:t>
      </w:r>
      <w:proofErr w:type="spellEnd"/>
      <w:r w:rsidRPr="00F15724">
        <w:rPr>
          <w:rFonts w:ascii="Arial" w:hAnsi="Arial" w:cs="Arial"/>
        </w:rPr>
        <w:t xml:space="preserve"> et al., 2019). India’s favourable demographics and urbanisation trends therefore support Starbucks’ strategic growth objectives. However, the competitive and price-sensitive nature of the Indian market indicates that growth should be selective and strategically focused rather than rapid or mass-market oriented.</w:t>
      </w:r>
    </w:p>
    <w:p w14:paraId="4D010892" w14:textId="77777777" w:rsidR="00F15724" w:rsidRPr="00F15724" w:rsidRDefault="00F15724" w:rsidP="00D91913">
      <w:pPr>
        <w:pStyle w:val="Heading2"/>
      </w:pPr>
      <w:bookmarkStart w:id="7" w:name="_Toc217258906"/>
      <w:r w:rsidRPr="00F15724">
        <w:t>3.2 Market Entry Mode Strategy</w:t>
      </w:r>
      <w:bookmarkEnd w:id="7"/>
    </w:p>
    <w:p w14:paraId="3BB2B084" w14:textId="77777777" w:rsidR="00F15724" w:rsidRPr="00F15724" w:rsidRDefault="00F15724" w:rsidP="009021AA">
      <w:pPr>
        <w:jc w:val="both"/>
        <w:rPr>
          <w:rFonts w:ascii="Arial" w:hAnsi="Arial" w:cs="Arial"/>
        </w:rPr>
      </w:pPr>
      <w:r w:rsidRPr="00F15724">
        <w:rPr>
          <w:rFonts w:ascii="Arial" w:hAnsi="Arial" w:cs="Arial"/>
        </w:rPr>
        <w:t xml:space="preserve">The continuation of a </w:t>
      </w:r>
      <w:r w:rsidRPr="00F15724">
        <w:rPr>
          <w:rFonts w:ascii="Arial" w:hAnsi="Arial" w:cs="Arial"/>
          <w:b/>
          <w:bCs/>
        </w:rPr>
        <w:t>joint venture entry mode</w:t>
      </w:r>
      <w:r w:rsidRPr="00F15724">
        <w:rPr>
          <w:rFonts w:ascii="Arial" w:hAnsi="Arial" w:cs="Arial"/>
        </w:rPr>
        <w:t xml:space="preserve"> represents the most appropriate strategy for Starbucks in India. Joint ventures are widely regarded as effective in emerging markets where institutional complexity, regulatory variation, and cultural distance increase the risks associated with full ownership (Hill and Hult, 2020). Starbucks’ partnership with Tata Group provides access to local market knowledge, regulatory expertise, real estate networks, and supply chain infrastructure, significantly reducing operational uncertainty and entry barriers (Tata Consumer Products, 2024).</w:t>
      </w:r>
    </w:p>
    <w:p w14:paraId="512A8BDF" w14:textId="77777777" w:rsidR="00F15724" w:rsidRPr="00F15724" w:rsidRDefault="00F15724" w:rsidP="009021AA">
      <w:pPr>
        <w:jc w:val="both"/>
        <w:rPr>
          <w:rFonts w:ascii="Arial" w:hAnsi="Arial" w:cs="Arial"/>
        </w:rPr>
      </w:pPr>
      <w:r w:rsidRPr="00F15724">
        <w:rPr>
          <w:rFonts w:ascii="Arial" w:hAnsi="Arial" w:cs="Arial"/>
        </w:rPr>
        <w:t>From a transaction cost perspective, the joint venture structure allows Starbucks to balance strategic control with risk sharing, avoiding the high capital exposure of wholly owned subsidiaries while maintaining greater brand control than franchising (Williamson, 1985). This entry mode therefore aligns with both theoretical and practical considerations identified in the earlier analysis.</w:t>
      </w:r>
    </w:p>
    <w:p w14:paraId="6844D4A2" w14:textId="77777777" w:rsidR="00F15724" w:rsidRPr="009021AA" w:rsidRDefault="00F15724" w:rsidP="009021AA">
      <w:pPr>
        <w:pStyle w:val="Heading2"/>
        <w:rPr>
          <w:rFonts w:ascii="Arial" w:hAnsi="Arial" w:cs="Arial"/>
        </w:rPr>
      </w:pPr>
      <w:bookmarkStart w:id="8" w:name="_Toc217258907"/>
      <w:r w:rsidRPr="009021AA">
        <w:rPr>
          <w:rFonts w:ascii="Arial" w:hAnsi="Arial" w:cs="Arial"/>
        </w:rPr>
        <w:lastRenderedPageBreak/>
        <w:t>3.3 Competitive Strategy: Differentiation with Local Responsiveness</w:t>
      </w:r>
      <w:bookmarkEnd w:id="8"/>
    </w:p>
    <w:p w14:paraId="339E36E6" w14:textId="77777777" w:rsidR="00F15724" w:rsidRPr="00F15724" w:rsidRDefault="00F15724" w:rsidP="009021AA">
      <w:pPr>
        <w:jc w:val="both"/>
        <w:rPr>
          <w:rFonts w:ascii="Arial" w:hAnsi="Arial" w:cs="Arial"/>
        </w:rPr>
      </w:pPr>
      <w:r w:rsidRPr="00F15724">
        <w:rPr>
          <w:rFonts w:ascii="Arial" w:hAnsi="Arial" w:cs="Arial"/>
        </w:rPr>
        <w:t xml:space="preserve">Porter’s Generic Strategies framework suggests that Starbucks should pursue a </w:t>
      </w:r>
      <w:r w:rsidRPr="00F15724">
        <w:rPr>
          <w:rFonts w:ascii="Arial" w:hAnsi="Arial" w:cs="Arial"/>
          <w:b/>
          <w:bCs/>
        </w:rPr>
        <w:t>differentiation strategy</w:t>
      </w:r>
      <w:r w:rsidRPr="00F15724">
        <w:rPr>
          <w:rFonts w:ascii="Arial" w:hAnsi="Arial" w:cs="Arial"/>
        </w:rPr>
        <w:t xml:space="preserve"> in India rather than cost leadership (Porter, 2008). Competing on price would expose Starbucks to intense rivalry from domestic café chains and traditional beverage providers that benefit from lower operating costs and deep cultural familiarity. Instead, Starbucks’ differentiation should continue to be based on brand experience, store ambience, service quality, and ethical sourcing.</w:t>
      </w:r>
    </w:p>
    <w:p w14:paraId="57ACEC8C" w14:textId="77777777" w:rsidR="00F15724" w:rsidRPr="00F15724" w:rsidRDefault="00F15724" w:rsidP="009021AA">
      <w:pPr>
        <w:jc w:val="both"/>
        <w:rPr>
          <w:rFonts w:ascii="Arial" w:hAnsi="Arial" w:cs="Arial"/>
        </w:rPr>
      </w:pPr>
      <w:r w:rsidRPr="00F15724">
        <w:rPr>
          <w:rFonts w:ascii="Arial" w:hAnsi="Arial" w:cs="Arial"/>
        </w:rPr>
        <w:t xml:space="preserve">However, differentiation in the Indian market must be accompanied by </w:t>
      </w:r>
      <w:r w:rsidRPr="00F15724">
        <w:rPr>
          <w:rFonts w:ascii="Arial" w:hAnsi="Arial" w:cs="Arial"/>
          <w:b/>
          <w:bCs/>
        </w:rPr>
        <w:t>local responsiveness</w:t>
      </w:r>
      <w:r w:rsidRPr="00F15724">
        <w:rPr>
          <w:rFonts w:ascii="Arial" w:hAnsi="Arial" w:cs="Arial"/>
        </w:rPr>
        <w:t>. International strategy theory emphasises the importance of balancing global integration with local adaptation, particularly in culturally diverse markets (Bartlett and Ghoshal, 1989). For Starbucks, this requires menu localisation, flexible pricing tiers, and culturally relevant store formats to enhance market acceptance while preserving global brand identity. Such adaptation mitigates cultural distance and supports customer relevance without diluting core brand values.</w:t>
      </w:r>
    </w:p>
    <w:p w14:paraId="1FFB8C48" w14:textId="77777777" w:rsidR="00F15724" w:rsidRPr="009021AA" w:rsidRDefault="00F15724" w:rsidP="009021AA">
      <w:pPr>
        <w:pStyle w:val="Heading2"/>
        <w:jc w:val="both"/>
        <w:rPr>
          <w:rFonts w:ascii="Arial" w:hAnsi="Arial" w:cs="Arial"/>
        </w:rPr>
      </w:pPr>
      <w:bookmarkStart w:id="9" w:name="_Toc217258908"/>
      <w:r w:rsidRPr="009021AA">
        <w:rPr>
          <w:rFonts w:ascii="Arial" w:hAnsi="Arial" w:cs="Arial"/>
        </w:rPr>
        <w:t>3.4 Geographic and Segment Focus</w:t>
      </w:r>
      <w:bookmarkEnd w:id="9"/>
    </w:p>
    <w:p w14:paraId="10415C55" w14:textId="77777777" w:rsidR="00F15724" w:rsidRPr="00F15724" w:rsidRDefault="00F15724" w:rsidP="009021AA">
      <w:pPr>
        <w:jc w:val="both"/>
        <w:rPr>
          <w:rFonts w:ascii="Arial" w:hAnsi="Arial" w:cs="Arial"/>
        </w:rPr>
      </w:pPr>
      <w:r w:rsidRPr="00F15724">
        <w:rPr>
          <w:rFonts w:ascii="Arial" w:hAnsi="Arial" w:cs="Arial"/>
        </w:rPr>
        <w:t xml:space="preserve">Rather than pursuing nationwide expansion, Starbucks should adopt a </w:t>
      </w:r>
      <w:r w:rsidRPr="00F15724">
        <w:rPr>
          <w:rFonts w:ascii="Arial" w:hAnsi="Arial" w:cs="Arial"/>
          <w:b/>
          <w:bCs/>
        </w:rPr>
        <w:t>phased, urban-focused expansion strategy</w:t>
      </w:r>
      <w:r w:rsidRPr="00F15724">
        <w:rPr>
          <w:rFonts w:ascii="Arial" w:hAnsi="Arial" w:cs="Arial"/>
        </w:rPr>
        <w:t>. Tier-1 cities such as Mumbai, Delhi, Bengaluru, and Hyderabad offer higher disposable incomes, stronger café culture adoption, and greater exposure to international brands (Euromonitor, 2023). Concentrating resources in these cities enables Starbucks to achieve operational efficiencies, strengthen brand presence, and refine localisation strategies before considering expansion into Tier-2 markets.</w:t>
      </w:r>
    </w:p>
    <w:p w14:paraId="367FE8DE" w14:textId="77777777" w:rsidR="00F15724" w:rsidRPr="00F15724" w:rsidRDefault="00F15724" w:rsidP="009021AA">
      <w:pPr>
        <w:jc w:val="both"/>
        <w:rPr>
          <w:rFonts w:ascii="Arial" w:hAnsi="Arial" w:cs="Arial"/>
        </w:rPr>
      </w:pPr>
      <w:r w:rsidRPr="00F15724">
        <w:rPr>
          <w:rFonts w:ascii="Arial" w:hAnsi="Arial" w:cs="Arial"/>
        </w:rPr>
        <w:t>Target customer segments should include young professionals, students, and middle- to upper-income urban consumers who value social experiences, digital connectivity, and brand symbolism. This focused segmentation approach reduces strategic risk and supports sustainable growth.</w:t>
      </w:r>
    </w:p>
    <w:p w14:paraId="64156B22" w14:textId="77777777" w:rsidR="00F15724" w:rsidRPr="009021AA" w:rsidRDefault="00F15724" w:rsidP="009021AA">
      <w:pPr>
        <w:pStyle w:val="Heading2"/>
        <w:jc w:val="both"/>
        <w:rPr>
          <w:rFonts w:ascii="Arial" w:hAnsi="Arial" w:cs="Arial"/>
        </w:rPr>
      </w:pPr>
      <w:bookmarkStart w:id="10" w:name="_Toc217258909"/>
      <w:r w:rsidRPr="009021AA">
        <w:rPr>
          <w:rFonts w:ascii="Arial" w:hAnsi="Arial" w:cs="Arial"/>
        </w:rPr>
        <w:t>3.5 Strategic Risk Management and Fit</w:t>
      </w:r>
      <w:bookmarkEnd w:id="10"/>
    </w:p>
    <w:p w14:paraId="24BBD311" w14:textId="77777777" w:rsidR="00F15724" w:rsidRPr="00F15724" w:rsidRDefault="00F15724" w:rsidP="009021AA">
      <w:pPr>
        <w:jc w:val="both"/>
        <w:rPr>
          <w:rFonts w:ascii="Arial" w:hAnsi="Arial" w:cs="Arial"/>
        </w:rPr>
      </w:pPr>
      <w:r w:rsidRPr="00F15724">
        <w:rPr>
          <w:rFonts w:ascii="Arial" w:hAnsi="Arial" w:cs="Arial"/>
        </w:rPr>
        <w:t>The proposed strategy directly addresses the key risks identified in earlier analyses. High buyer power and competitive rivalry are mitigated through experiential differentiation, while regulatory and operational risks are reduced through the joint venture structure. In addition, Starbucks’ emphasis on ethical sourcing and sustainability aligns with increasing environmental awareness and regulatory pressure in India, supporting long-term legitimacy and stakeholder trust (Starbucks, 2023; UNEP, 2023).</w:t>
      </w:r>
    </w:p>
    <w:p w14:paraId="549CF33D" w14:textId="77777777" w:rsidR="00F15724" w:rsidRPr="00F15724" w:rsidRDefault="00F15724" w:rsidP="009021AA">
      <w:pPr>
        <w:rPr>
          <w:rFonts w:ascii="Arial" w:hAnsi="Arial" w:cs="Arial"/>
        </w:rPr>
      </w:pPr>
      <w:r w:rsidRPr="00F15724">
        <w:rPr>
          <w:rFonts w:ascii="Arial" w:hAnsi="Arial" w:cs="Arial"/>
          <w:b/>
          <w:bCs/>
        </w:rPr>
        <w:t>Critical evaluation</w:t>
      </w:r>
      <w:r w:rsidRPr="00F15724">
        <w:rPr>
          <w:rFonts w:ascii="Arial" w:hAnsi="Arial" w:cs="Arial"/>
        </w:rPr>
        <w:br/>
        <w:t xml:space="preserve">While a differentiation-based strategy limits short-term mass-market penetration, it aligns with Starbucks’ strongest VRIO-validated resources, particularly brand equity and strategic partnerships. Long-term success will therefore depend on consistent </w:t>
      </w:r>
      <w:r w:rsidRPr="00F15724">
        <w:rPr>
          <w:rFonts w:ascii="Arial" w:hAnsi="Arial" w:cs="Arial"/>
        </w:rPr>
        <w:lastRenderedPageBreak/>
        <w:t>execution, continuous localisation, and the ability to adapt to economic and competitive change.</w:t>
      </w:r>
    </w:p>
    <w:p w14:paraId="5C817A10" w14:textId="77777777" w:rsidR="00F15724" w:rsidRPr="009021AA" w:rsidRDefault="00F15724" w:rsidP="009021AA">
      <w:pPr>
        <w:pStyle w:val="Heading1"/>
        <w:jc w:val="both"/>
        <w:rPr>
          <w:rFonts w:ascii="Arial" w:hAnsi="Arial" w:cs="Arial"/>
        </w:rPr>
      </w:pPr>
      <w:bookmarkStart w:id="11" w:name="_Toc217258910"/>
      <w:r w:rsidRPr="009021AA">
        <w:rPr>
          <w:rFonts w:ascii="Arial" w:hAnsi="Arial" w:cs="Arial"/>
        </w:rPr>
        <w:t>4. Performance Evaluation Framework</w:t>
      </w:r>
      <w:bookmarkEnd w:id="11"/>
    </w:p>
    <w:p w14:paraId="6E34A26F" w14:textId="77777777" w:rsidR="00F15724" w:rsidRPr="00F15724" w:rsidRDefault="00F15724" w:rsidP="009021AA">
      <w:pPr>
        <w:jc w:val="both"/>
        <w:rPr>
          <w:rFonts w:ascii="Arial" w:hAnsi="Arial" w:cs="Arial"/>
        </w:rPr>
      </w:pPr>
      <w:r w:rsidRPr="00F15724">
        <w:rPr>
          <w:rFonts w:ascii="Arial" w:hAnsi="Arial" w:cs="Arial"/>
        </w:rPr>
        <w:t xml:space="preserve">Effective strategy implementation requires a performance measurement system that translates strategic objectives into measurable and manageable outcomes. To evaluate the success of </w:t>
      </w:r>
      <w:r w:rsidRPr="00F15724">
        <w:rPr>
          <w:rFonts w:ascii="Arial" w:hAnsi="Arial" w:cs="Arial"/>
          <w:b/>
          <w:bCs/>
        </w:rPr>
        <w:t>Starbucks</w:t>
      </w:r>
      <w:r w:rsidRPr="00F15724">
        <w:rPr>
          <w:rFonts w:ascii="Arial" w:hAnsi="Arial" w:cs="Arial"/>
        </w:rPr>
        <w:t xml:space="preserve">’ expansion strategy in the Indian market, this report adopts the </w:t>
      </w:r>
      <w:r w:rsidRPr="00F15724">
        <w:rPr>
          <w:rFonts w:ascii="Arial" w:hAnsi="Arial" w:cs="Arial"/>
          <w:b/>
          <w:bCs/>
        </w:rPr>
        <w:t>Balanced Scorecard (BSC)</w:t>
      </w:r>
      <w:r w:rsidRPr="00F15724">
        <w:rPr>
          <w:rFonts w:ascii="Arial" w:hAnsi="Arial" w:cs="Arial"/>
        </w:rPr>
        <w:t xml:space="preserve"> framework. The Balanced Scorecard is widely used in strategic management because it extends beyond traditional financial indicators to include customer value, internal processes, and organisational learning, thereby providing a more holistic assessment of strategic performance (Kaplan and Norton, 1996).</w:t>
      </w:r>
    </w:p>
    <w:p w14:paraId="7448685E" w14:textId="77777777" w:rsidR="00F15724" w:rsidRPr="00F15724" w:rsidRDefault="00F15724" w:rsidP="009021AA">
      <w:pPr>
        <w:jc w:val="both"/>
        <w:rPr>
          <w:rFonts w:ascii="Arial" w:hAnsi="Arial" w:cs="Arial"/>
        </w:rPr>
      </w:pPr>
      <w:r w:rsidRPr="00F15724">
        <w:rPr>
          <w:rFonts w:ascii="Arial" w:hAnsi="Arial" w:cs="Arial"/>
        </w:rPr>
        <w:t>The Balanced Scorecard is particularly appropriate for Starbucks’ Indian expansion due to the long-term and experiential nature of its differentiation strategy. In a price-sensitive and highly competitive market, short-term financial results alone are insufficient indicators of strategic success. Instead, performance must be evaluated through a combination of financial outcomes, brand and customer metrics, operational effectiveness, and capability development (Hill and Hult, 2020).</w:t>
      </w:r>
    </w:p>
    <w:p w14:paraId="18D8DBA8" w14:textId="77777777" w:rsidR="00F15724" w:rsidRPr="009021AA" w:rsidRDefault="00F15724" w:rsidP="009021AA">
      <w:pPr>
        <w:pStyle w:val="Heading2"/>
        <w:jc w:val="both"/>
        <w:rPr>
          <w:rFonts w:ascii="Arial" w:hAnsi="Arial" w:cs="Arial"/>
        </w:rPr>
      </w:pPr>
      <w:bookmarkStart w:id="12" w:name="_Toc217258911"/>
      <w:r w:rsidRPr="009021AA">
        <w:rPr>
          <w:rFonts w:ascii="Arial" w:hAnsi="Arial" w:cs="Arial"/>
        </w:rPr>
        <w:t>4.1 Financial Perspective</w:t>
      </w:r>
      <w:bookmarkEnd w:id="12"/>
    </w:p>
    <w:p w14:paraId="526F7919" w14:textId="77777777" w:rsidR="00F15724" w:rsidRPr="00F15724" w:rsidRDefault="00F15724" w:rsidP="009021AA">
      <w:pPr>
        <w:jc w:val="both"/>
        <w:rPr>
          <w:rFonts w:ascii="Arial" w:hAnsi="Arial" w:cs="Arial"/>
        </w:rPr>
      </w:pPr>
      <w:r w:rsidRPr="00F15724">
        <w:rPr>
          <w:rFonts w:ascii="Arial" w:hAnsi="Arial" w:cs="Arial"/>
        </w:rPr>
        <w:t>The financial perspective assesses whether Starbucks’ expansion strategy contributes to sustainable economic value creation. Key financial objectives in the Indian market include achieving profitable growth while maintaining cost discipline within a premium positioning.</w:t>
      </w:r>
    </w:p>
    <w:p w14:paraId="19858F59" w14:textId="77777777" w:rsidR="00F15724" w:rsidRPr="00F15724" w:rsidRDefault="00F15724" w:rsidP="009021AA">
      <w:pPr>
        <w:jc w:val="both"/>
        <w:rPr>
          <w:rFonts w:ascii="Arial" w:hAnsi="Arial" w:cs="Arial"/>
        </w:rPr>
      </w:pPr>
      <w:r w:rsidRPr="00F15724">
        <w:rPr>
          <w:rFonts w:ascii="Arial" w:hAnsi="Arial" w:cs="Arial"/>
        </w:rPr>
        <w:t>Relevant key performance indicators (KPIs) include revenue growth rate, store-level operating margins, and return on invested capital (ROIC) for new store openings. Revenue growth reflects market acceptance and the effectiveness of Starbucks’ urban-focused expansion strategy, while operating margins indicate the firm’s ability to manage high rental, labour, and supply chain costs common in Indian metropolitan areas (Euromonitor, 2023). ROIC is particularly important in evaluating whether Starbucks’ selective expansion approach generates sufficient returns relative to the capital invested.</w:t>
      </w:r>
    </w:p>
    <w:p w14:paraId="33D905F3" w14:textId="77777777" w:rsidR="00F15724" w:rsidRPr="00F15724" w:rsidRDefault="00F15724" w:rsidP="009021AA">
      <w:pPr>
        <w:jc w:val="both"/>
        <w:rPr>
          <w:rFonts w:ascii="Arial" w:hAnsi="Arial" w:cs="Arial"/>
        </w:rPr>
      </w:pPr>
      <w:r w:rsidRPr="00F15724">
        <w:rPr>
          <w:rFonts w:ascii="Arial" w:hAnsi="Arial" w:cs="Arial"/>
        </w:rPr>
        <w:t>Given the high price sensitivity of Indian consumers, financial performance should be assessed over a medium- to long-term horizon rather than through short-term profitability alone. Strategic management literature emphasises that differentiation-based strategies often involve higher initial costs but generate superior returns over time through brand loyalty and repeat patronage (Porter, 2008).</w:t>
      </w:r>
    </w:p>
    <w:p w14:paraId="27C61318" w14:textId="77777777" w:rsidR="00F15724" w:rsidRPr="009021AA" w:rsidRDefault="00F15724" w:rsidP="009021AA">
      <w:pPr>
        <w:pStyle w:val="Heading2"/>
        <w:jc w:val="both"/>
        <w:rPr>
          <w:rFonts w:ascii="Arial" w:hAnsi="Arial" w:cs="Arial"/>
        </w:rPr>
      </w:pPr>
      <w:bookmarkStart w:id="13" w:name="_Toc217258912"/>
      <w:r w:rsidRPr="009021AA">
        <w:rPr>
          <w:rFonts w:ascii="Arial" w:hAnsi="Arial" w:cs="Arial"/>
        </w:rPr>
        <w:t>4.2 Customer Perspective</w:t>
      </w:r>
      <w:bookmarkEnd w:id="13"/>
    </w:p>
    <w:p w14:paraId="74D7550F" w14:textId="77777777" w:rsidR="00F15724" w:rsidRPr="00F15724" w:rsidRDefault="00F15724" w:rsidP="009021AA">
      <w:pPr>
        <w:jc w:val="both"/>
        <w:rPr>
          <w:rFonts w:ascii="Arial" w:hAnsi="Arial" w:cs="Arial"/>
        </w:rPr>
      </w:pPr>
      <w:r w:rsidRPr="00F15724">
        <w:rPr>
          <w:rFonts w:ascii="Arial" w:hAnsi="Arial" w:cs="Arial"/>
        </w:rPr>
        <w:t xml:space="preserve">The customer perspective evaluates how effectively Starbucks delivers value to its target segments and strengthens its brand position in the Indian market. This </w:t>
      </w:r>
      <w:r w:rsidRPr="00F15724">
        <w:rPr>
          <w:rFonts w:ascii="Arial" w:hAnsi="Arial" w:cs="Arial"/>
        </w:rPr>
        <w:lastRenderedPageBreak/>
        <w:t>perspective is critical in a market where buyer power is high and switching costs are low.</w:t>
      </w:r>
    </w:p>
    <w:p w14:paraId="03E71C62" w14:textId="77777777" w:rsidR="00F15724" w:rsidRPr="00F15724" w:rsidRDefault="00F15724" w:rsidP="009021AA">
      <w:pPr>
        <w:jc w:val="both"/>
        <w:rPr>
          <w:rFonts w:ascii="Arial" w:hAnsi="Arial" w:cs="Arial"/>
        </w:rPr>
      </w:pPr>
      <w:r w:rsidRPr="00F15724">
        <w:rPr>
          <w:rFonts w:ascii="Arial" w:hAnsi="Arial" w:cs="Arial"/>
        </w:rPr>
        <w:t>Key KPIs include brand awareness, customer satisfaction scores, Net Promoter Score (NPS), and customer retention or repeat visit rates. High brand awareness and positive customer perceptions indicate successful localisation and resonance of Starbucks’ experiential value proposition (Keller and Swaminathan, 2019). Customer retention is particularly important in reducing the impact of competitive rivalry and mitigating buyer power identified in the Five Forces analysis.</w:t>
      </w:r>
    </w:p>
    <w:p w14:paraId="54389FDC" w14:textId="77777777" w:rsidR="00F15724" w:rsidRPr="00F15724" w:rsidRDefault="00F15724" w:rsidP="009021AA">
      <w:pPr>
        <w:jc w:val="both"/>
        <w:rPr>
          <w:rFonts w:ascii="Arial" w:hAnsi="Arial" w:cs="Arial"/>
        </w:rPr>
      </w:pPr>
      <w:r w:rsidRPr="00F15724">
        <w:rPr>
          <w:rFonts w:ascii="Arial" w:hAnsi="Arial" w:cs="Arial"/>
        </w:rPr>
        <w:t>In India’s urban café market, customers are not only purchasing beverages but also social and professional experiences. Therefore, qualitative feedback related to store ambience, service quality, and menu relevance should complement quantitative customer metrics. This aligns with the service-profit chain concept, which highlights the link between customer satisfaction, loyalty, and long-term profitability (Heskett et al., 2008).</w:t>
      </w:r>
    </w:p>
    <w:p w14:paraId="1B59A6F9" w14:textId="77777777" w:rsidR="00F15724" w:rsidRPr="009021AA" w:rsidRDefault="00F15724" w:rsidP="009021AA">
      <w:pPr>
        <w:pStyle w:val="Heading2"/>
        <w:jc w:val="both"/>
        <w:rPr>
          <w:rFonts w:ascii="Arial" w:hAnsi="Arial" w:cs="Arial"/>
        </w:rPr>
      </w:pPr>
      <w:bookmarkStart w:id="14" w:name="_Toc217258913"/>
      <w:r w:rsidRPr="009021AA">
        <w:rPr>
          <w:rFonts w:ascii="Arial" w:hAnsi="Arial" w:cs="Arial"/>
        </w:rPr>
        <w:t>4.3 Internal Business Process Perspective</w:t>
      </w:r>
      <w:bookmarkEnd w:id="14"/>
    </w:p>
    <w:p w14:paraId="59674F16" w14:textId="77777777" w:rsidR="00F15724" w:rsidRPr="00F15724" w:rsidRDefault="00F15724" w:rsidP="009021AA">
      <w:pPr>
        <w:jc w:val="both"/>
        <w:rPr>
          <w:rFonts w:ascii="Arial" w:hAnsi="Arial" w:cs="Arial"/>
        </w:rPr>
      </w:pPr>
      <w:r w:rsidRPr="00F15724">
        <w:rPr>
          <w:rFonts w:ascii="Arial" w:hAnsi="Arial" w:cs="Arial"/>
        </w:rPr>
        <w:t>The internal business process perspective focuses on the efficiency and effectiveness of operational activities that enable Starbucks to deliver its differentiation strategy consistently.</w:t>
      </w:r>
    </w:p>
    <w:p w14:paraId="6B51D468" w14:textId="77777777" w:rsidR="00F15724" w:rsidRPr="00F15724" w:rsidRDefault="00F15724" w:rsidP="009021AA">
      <w:pPr>
        <w:jc w:val="both"/>
        <w:rPr>
          <w:rFonts w:ascii="Arial" w:hAnsi="Arial" w:cs="Arial"/>
        </w:rPr>
      </w:pPr>
      <w:r w:rsidRPr="00F15724">
        <w:rPr>
          <w:rFonts w:ascii="Arial" w:hAnsi="Arial" w:cs="Arial"/>
        </w:rPr>
        <w:t>Relevant KPIs include the speed and cost efficiency of store rollout, supply chain reliability, inventory turnover, and compliance with food safety and quality standards. In the Indian context, operational efficiency is particularly important due to high real estate costs and regulatory complexity across states (OECD, 2017). Starbucks’ joint venture with Tata Group plays a critical role in enhancing internal processes by providing access to local supply chain infrastructure, procurement expertise, and real estate networks (Tata Consumer Products, 2024).</w:t>
      </w:r>
    </w:p>
    <w:p w14:paraId="3D4E9CAE" w14:textId="77777777" w:rsidR="00F15724" w:rsidRPr="00F15724" w:rsidRDefault="00F15724" w:rsidP="009021AA">
      <w:pPr>
        <w:jc w:val="both"/>
        <w:rPr>
          <w:rFonts w:ascii="Arial" w:hAnsi="Arial" w:cs="Arial"/>
        </w:rPr>
      </w:pPr>
      <w:r w:rsidRPr="00F15724">
        <w:rPr>
          <w:rFonts w:ascii="Arial" w:hAnsi="Arial" w:cs="Arial"/>
        </w:rPr>
        <w:t>Process-level indicators also allow Starbucks to assess how effectively sustainability initiatives are embedded in operations, such as waste reduction, ethical sourcing ratios, and water usage efficiency. These measures support both operational performance and corporate responsibility objectives, reinforcing brand legitimacy in the Indian market (Starbucks, 2023).</w:t>
      </w:r>
    </w:p>
    <w:p w14:paraId="0BDDA5A4" w14:textId="77777777" w:rsidR="00F15724" w:rsidRPr="009021AA" w:rsidRDefault="00F15724" w:rsidP="009021AA">
      <w:pPr>
        <w:pStyle w:val="Heading2"/>
        <w:jc w:val="both"/>
        <w:rPr>
          <w:rFonts w:ascii="Arial" w:hAnsi="Arial" w:cs="Arial"/>
        </w:rPr>
      </w:pPr>
      <w:bookmarkStart w:id="15" w:name="_Toc217258914"/>
      <w:r w:rsidRPr="009021AA">
        <w:rPr>
          <w:rFonts w:ascii="Arial" w:hAnsi="Arial" w:cs="Arial"/>
        </w:rPr>
        <w:t>4.4 Learning and Growth Perspective</w:t>
      </w:r>
      <w:bookmarkEnd w:id="15"/>
    </w:p>
    <w:p w14:paraId="512843AB" w14:textId="77777777" w:rsidR="00F15724" w:rsidRPr="00F15724" w:rsidRDefault="00F15724" w:rsidP="009021AA">
      <w:pPr>
        <w:jc w:val="both"/>
        <w:rPr>
          <w:rFonts w:ascii="Arial" w:hAnsi="Arial" w:cs="Arial"/>
        </w:rPr>
      </w:pPr>
      <w:r w:rsidRPr="00F15724">
        <w:rPr>
          <w:rFonts w:ascii="Arial" w:hAnsi="Arial" w:cs="Arial"/>
        </w:rPr>
        <w:t>The learning and growth perspective assesses Starbucks’ ability to develop long-term capabilities and adapt to a dynamic and competitive environment. This perspective underpins the other three dimensions of the Balanced Scorecard and is particularly important in service-intensive industries.</w:t>
      </w:r>
    </w:p>
    <w:p w14:paraId="10B8CEB7" w14:textId="77777777" w:rsidR="00F15724" w:rsidRPr="00F15724" w:rsidRDefault="00F15724" w:rsidP="009021AA">
      <w:pPr>
        <w:jc w:val="both"/>
        <w:rPr>
          <w:rFonts w:ascii="Arial" w:hAnsi="Arial" w:cs="Arial"/>
        </w:rPr>
      </w:pPr>
      <w:r w:rsidRPr="00F15724">
        <w:rPr>
          <w:rFonts w:ascii="Arial" w:hAnsi="Arial" w:cs="Arial"/>
        </w:rPr>
        <w:t xml:space="preserve">Key KPIs include employee training hours, staff turnover rates, internal promotion ratios, and digital platform adoption rates. Investment in employee development supports service quality and customer experience, which are central to Starbucks’ differentiation strategy (Heskett et al., 2008). Monitoring staff turnover is especially </w:t>
      </w:r>
      <w:r w:rsidRPr="00F15724">
        <w:rPr>
          <w:rFonts w:ascii="Arial" w:hAnsi="Arial" w:cs="Arial"/>
        </w:rPr>
        <w:lastRenderedPageBreak/>
        <w:t>relevant in India’s hospitality sector, where employee retention is a persistent challenge.</w:t>
      </w:r>
    </w:p>
    <w:p w14:paraId="1CDF02EC" w14:textId="77777777" w:rsidR="00F15724" w:rsidRPr="00F15724" w:rsidRDefault="00F15724" w:rsidP="009021AA">
      <w:pPr>
        <w:jc w:val="both"/>
        <w:rPr>
          <w:rFonts w:ascii="Arial" w:hAnsi="Arial" w:cs="Arial"/>
        </w:rPr>
      </w:pPr>
      <w:r w:rsidRPr="00F15724">
        <w:rPr>
          <w:rFonts w:ascii="Arial" w:hAnsi="Arial" w:cs="Arial"/>
        </w:rPr>
        <w:t>Digital capability development, including the adoption of loyalty programmes and mobile ordering platforms, should also be evaluated within this perspective. While digital tools alone do not provide sustained competitive advantage, their effective integration enhances customer engagement and operational efficiency in urban markets (Statista, 2024).</w:t>
      </w:r>
    </w:p>
    <w:p w14:paraId="327FD34E" w14:textId="77777777" w:rsidR="00F15724" w:rsidRPr="009021AA" w:rsidRDefault="00F15724" w:rsidP="009021AA">
      <w:pPr>
        <w:pStyle w:val="Heading2"/>
        <w:jc w:val="both"/>
        <w:rPr>
          <w:rFonts w:ascii="Arial" w:hAnsi="Arial" w:cs="Arial"/>
        </w:rPr>
      </w:pPr>
      <w:bookmarkStart w:id="16" w:name="_Toc217258915"/>
      <w:r w:rsidRPr="009021AA">
        <w:rPr>
          <w:rFonts w:ascii="Arial" w:hAnsi="Arial" w:cs="Arial"/>
        </w:rPr>
        <w:t>4.5 Strategic Alignment and Sustainability Considerations</w:t>
      </w:r>
      <w:bookmarkEnd w:id="16"/>
    </w:p>
    <w:p w14:paraId="6CDA1A52" w14:textId="77777777" w:rsidR="00F15724" w:rsidRPr="00F15724" w:rsidRDefault="00F15724" w:rsidP="009021AA">
      <w:pPr>
        <w:jc w:val="both"/>
        <w:rPr>
          <w:rFonts w:ascii="Arial" w:hAnsi="Arial" w:cs="Arial"/>
        </w:rPr>
      </w:pPr>
      <w:r w:rsidRPr="00F15724">
        <w:rPr>
          <w:rFonts w:ascii="Arial" w:hAnsi="Arial" w:cs="Arial"/>
        </w:rPr>
        <w:t>Although sustainability indicators can be embedded across all four perspectives, Starbucks’ Indian expansion strategy should also be evaluated in relation to broader environmental and social objectives. Metrics related to ethical sourcing, community engagement, and waste reduction reinforce alignment between corporate values and local stakeholder expectations (UNEP, 2023). This is particularly important in emerging markets, where multinational enterprises face heightened scrutiny regarding social and environmental impact.</w:t>
      </w:r>
    </w:p>
    <w:p w14:paraId="0630A478" w14:textId="77777777" w:rsidR="00F15724" w:rsidRPr="009021AA" w:rsidRDefault="00F15724" w:rsidP="009021AA">
      <w:pPr>
        <w:pStyle w:val="Heading2"/>
        <w:jc w:val="both"/>
        <w:rPr>
          <w:rFonts w:ascii="Arial" w:hAnsi="Arial" w:cs="Arial"/>
        </w:rPr>
      </w:pPr>
      <w:bookmarkStart w:id="17" w:name="_Toc217258916"/>
      <w:r w:rsidRPr="009021AA">
        <w:rPr>
          <w:rFonts w:ascii="Arial" w:hAnsi="Arial" w:cs="Arial"/>
        </w:rPr>
        <w:t>4.6 Critical Evaluation of the Balanced Scorecard</w:t>
      </w:r>
      <w:bookmarkEnd w:id="17"/>
    </w:p>
    <w:p w14:paraId="132239A2" w14:textId="77777777" w:rsidR="00F15724" w:rsidRPr="00F15724" w:rsidRDefault="00F15724" w:rsidP="009021AA">
      <w:pPr>
        <w:jc w:val="both"/>
        <w:rPr>
          <w:rFonts w:ascii="Arial" w:hAnsi="Arial" w:cs="Arial"/>
        </w:rPr>
      </w:pPr>
      <w:r w:rsidRPr="00F15724">
        <w:rPr>
          <w:rFonts w:ascii="Arial" w:hAnsi="Arial" w:cs="Arial"/>
        </w:rPr>
        <w:t>While the Balanced Scorecard provides a comprehensive framework for strategy execution and monitoring, it is not without limitations. The framework relies heavily on the selection of appropriate KPIs, and poor metric design can lead to misalignment between strategic intent and operational behaviour (Kaplan and Norton, 1996). In addition, data collection and consistency may be challenging in a geographically dispersed and diverse market such as India.</w:t>
      </w:r>
    </w:p>
    <w:p w14:paraId="2309AB82" w14:textId="77777777" w:rsidR="00F15724" w:rsidRPr="00F15724" w:rsidRDefault="00F15724" w:rsidP="009021AA">
      <w:pPr>
        <w:jc w:val="both"/>
        <w:rPr>
          <w:rFonts w:ascii="Arial" w:hAnsi="Arial" w:cs="Arial"/>
        </w:rPr>
      </w:pPr>
      <w:r w:rsidRPr="00F15724">
        <w:rPr>
          <w:rFonts w:ascii="Arial" w:hAnsi="Arial" w:cs="Arial"/>
        </w:rPr>
        <w:t>Furthermore, the Balanced Scorecard does not explicitly account for external shocks, such as regulatory changes or macroeconomic volatility. As a result, it should be used as a dynamic management tool, reviewed regularly and supplemented with qualitative strategic analysis to ensure ongoing strategic relevance.</w:t>
      </w:r>
    </w:p>
    <w:p w14:paraId="2C33873A" w14:textId="77777777" w:rsidR="00D91913" w:rsidRDefault="00D91913" w:rsidP="009021AA">
      <w:pPr>
        <w:pStyle w:val="Heading1"/>
        <w:jc w:val="both"/>
        <w:rPr>
          <w:rFonts w:ascii="Arial" w:hAnsi="Arial" w:cs="Arial"/>
        </w:rPr>
      </w:pPr>
    </w:p>
    <w:p w14:paraId="670BD7A1" w14:textId="207A4C00" w:rsidR="00F15724" w:rsidRDefault="00F15724" w:rsidP="00D91913">
      <w:pPr>
        <w:pStyle w:val="Heading1"/>
        <w:tabs>
          <w:tab w:val="left" w:pos="2880"/>
        </w:tabs>
        <w:jc w:val="both"/>
        <w:rPr>
          <w:rFonts w:ascii="Arial" w:hAnsi="Arial" w:cs="Arial"/>
        </w:rPr>
      </w:pPr>
    </w:p>
    <w:p w14:paraId="51CB71D5" w14:textId="77777777" w:rsidR="00D91913" w:rsidRDefault="00D91913" w:rsidP="00D91913"/>
    <w:p w14:paraId="5C37E390" w14:textId="77777777" w:rsidR="00D91913" w:rsidRPr="00D91913" w:rsidRDefault="00D91913" w:rsidP="00D91913"/>
    <w:p w14:paraId="28C285FD" w14:textId="77777777" w:rsidR="00D91913" w:rsidRDefault="00D91913" w:rsidP="009021AA">
      <w:pPr>
        <w:jc w:val="both"/>
        <w:rPr>
          <w:rFonts w:ascii="Arial" w:hAnsi="Arial" w:cs="Arial"/>
        </w:rPr>
      </w:pPr>
    </w:p>
    <w:p w14:paraId="5AC03AB8" w14:textId="77777777" w:rsidR="00D91913" w:rsidRDefault="00D91913" w:rsidP="009021AA">
      <w:pPr>
        <w:jc w:val="both"/>
        <w:rPr>
          <w:rFonts w:ascii="Arial" w:hAnsi="Arial" w:cs="Arial"/>
        </w:rPr>
      </w:pPr>
    </w:p>
    <w:p w14:paraId="6A86D247" w14:textId="1FD948FD" w:rsidR="00D91913" w:rsidRPr="00D91913" w:rsidRDefault="00D91913" w:rsidP="00D91913">
      <w:pPr>
        <w:pStyle w:val="Heading1"/>
      </w:pPr>
      <w:bookmarkStart w:id="18" w:name="_Toc217258917"/>
      <w:r w:rsidRPr="00D91913">
        <w:lastRenderedPageBreak/>
        <w:t>Conclusion</w:t>
      </w:r>
      <w:bookmarkEnd w:id="18"/>
    </w:p>
    <w:p w14:paraId="4C5C3519" w14:textId="1B997E16" w:rsidR="00F15724" w:rsidRPr="00F15724" w:rsidRDefault="00F15724" w:rsidP="009021AA">
      <w:pPr>
        <w:jc w:val="both"/>
        <w:rPr>
          <w:rFonts w:ascii="Arial" w:hAnsi="Arial" w:cs="Arial"/>
        </w:rPr>
      </w:pPr>
      <w:r w:rsidRPr="00F15724">
        <w:rPr>
          <w:rFonts w:ascii="Arial" w:hAnsi="Arial" w:cs="Arial"/>
        </w:rPr>
        <w:t xml:space="preserve">This report has critically evaluated the international expansion strategy of </w:t>
      </w:r>
      <w:r w:rsidRPr="00F15724">
        <w:rPr>
          <w:rFonts w:ascii="Arial" w:hAnsi="Arial" w:cs="Arial"/>
          <w:b/>
          <w:bCs/>
        </w:rPr>
        <w:t>Starbucks</w:t>
      </w:r>
      <w:r w:rsidRPr="00F15724">
        <w:rPr>
          <w:rFonts w:ascii="Arial" w:hAnsi="Arial" w:cs="Arial"/>
        </w:rPr>
        <w:t xml:space="preserve"> within the Indian market by applying established strategic management frameworks to a complex emerging economy context. The analysis demonstrates that India offers substantial long-term growth potential due to favourable demographic trends, rapid urbanisation, and the expansion of a middle-income consumer segment. However, these opportunities are accompanied by significant strategic challenges, including high price sensitivity, deeply embedded tea consumption habits, and intense competitive rivalry within the café and beverage industry (Euromonitor, 2023; World Bank, 2024).</w:t>
      </w:r>
    </w:p>
    <w:p w14:paraId="086DD25B" w14:textId="77777777" w:rsidR="00F15724" w:rsidRPr="00F15724" w:rsidRDefault="00F15724" w:rsidP="009021AA">
      <w:pPr>
        <w:jc w:val="both"/>
        <w:rPr>
          <w:rFonts w:ascii="Arial" w:hAnsi="Arial" w:cs="Arial"/>
        </w:rPr>
      </w:pPr>
      <w:r w:rsidRPr="00F15724">
        <w:rPr>
          <w:rFonts w:ascii="Arial" w:hAnsi="Arial" w:cs="Arial"/>
        </w:rPr>
        <w:t>The macro-environmental analysis highlighted that while India’s political and economic environment is broadly supportive of foreign investment, regulatory complexity and regional variation require careful strategic adaptation. Industry analysis using Porter’s Five Forces revealed strong buyer power and high threat of substitutes, limiting the viability of cost-based competition and reinforcing the importance of differentiation (Porter, 2008). Internal analysis through the VRIO framework identified Starbucks’ global brand equity and its strategic partnership with Tata Group as the firm’s most significant sources of sustained competitive advantage, while also recognising that capabilities such as digital platforms and service culture offer only temporary or parity-based advantages (Barney, 1991; Starbucks, 2023).</w:t>
      </w:r>
    </w:p>
    <w:p w14:paraId="782BB177" w14:textId="77777777" w:rsidR="00F15724" w:rsidRPr="00F15724" w:rsidRDefault="00F15724" w:rsidP="009021AA">
      <w:pPr>
        <w:jc w:val="both"/>
        <w:rPr>
          <w:rFonts w:ascii="Arial" w:hAnsi="Arial" w:cs="Arial"/>
        </w:rPr>
      </w:pPr>
      <w:r w:rsidRPr="00F15724">
        <w:rPr>
          <w:rFonts w:ascii="Arial" w:hAnsi="Arial" w:cs="Arial"/>
        </w:rPr>
        <w:t>Building on these insights, the report proposed a differentiation-based strategy supported by local responsiveness, selective urban expansion, and the continued use of a joint venture entry mode. This approach aligns with international strategy theory that emphasises balancing global integration with local adaptation when operating in culturally and institutionally diverse markets (Bartlett and Ghoshal, 1989; Hill and Hult, 2020). Rather than pursuing rapid nationwide expansion, Starbucks’ focus on Tier-1 cities and clearly defined customer segments reduces strategic risk while strengthening brand positioning and operational efficiency.</w:t>
      </w:r>
    </w:p>
    <w:p w14:paraId="3F441C37" w14:textId="77777777" w:rsidR="00F15724" w:rsidRPr="00F15724" w:rsidRDefault="00F15724" w:rsidP="009021AA">
      <w:pPr>
        <w:jc w:val="both"/>
        <w:rPr>
          <w:rFonts w:ascii="Arial" w:hAnsi="Arial" w:cs="Arial"/>
        </w:rPr>
      </w:pPr>
      <w:r w:rsidRPr="00F15724">
        <w:rPr>
          <w:rFonts w:ascii="Arial" w:hAnsi="Arial" w:cs="Arial"/>
        </w:rPr>
        <w:t>The adoption of a Balanced Scorecard as the performance evaluation framework enables Starbucks to translate strategic objectives into measurable outcomes across financial, customer, internal process, and learning dimensions. This holistic approach supports continuous monitoring and strategic adjustment in a dynamic market environment, while also reinforcing sustainability and stakeholder alignment (Kaplan and Norton, 1996; UNEP, 2023).</w:t>
      </w:r>
    </w:p>
    <w:p w14:paraId="341A8789" w14:textId="77777777" w:rsidR="00D91913" w:rsidRDefault="00F15724" w:rsidP="009021AA">
      <w:pPr>
        <w:jc w:val="both"/>
        <w:rPr>
          <w:rFonts w:ascii="Arial" w:hAnsi="Arial" w:cs="Arial"/>
        </w:rPr>
      </w:pPr>
      <w:r w:rsidRPr="00F15724">
        <w:rPr>
          <w:rFonts w:ascii="Arial" w:hAnsi="Arial" w:cs="Arial"/>
        </w:rPr>
        <w:t>In conclusion, Starbucks’ expansion in India represents a strategically viable but inherently complex undertaking. Long-term success will depend on disciplined execution, sustained investment in local capabilities, and the firm’s ability to continuously adapt its strategy in response to competitive and environmental change.</w:t>
      </w:r>
    </w:p>
    <w:p w14:paraId="07D0CAC2" w14:textId="78CE5D2C" w:rsidR="00D91913" w:rsidRPr="00D91913" w:rsidRDefault="00F15724" w:rsidP="00D91913">
      <w:pPr>
        <w:jc w:val="both"/>
        <w:rPr>
          <w:rFonts w:ascii="Arial" w:hAnsi="Arial" w:cs="Arial"/>
        </w:rPr>
      </w:pPr>
      <w:r w:rsidRPr="00F15724">
        <w:rPr>
          <w:rFonts w:ascii="Arial" w:hAnsi="Arial" w:cs="Arial"/>
        </w:rPr>
        <w:t>The analysis underscores the importance of critically applying strategic frameworks to inform evidence-based decision-making in emerging markets.</w:t>
      </w:r>
    </w:p>
    <w:p w14:paraId="1AB5E806" w14:textId="41435DA2" w:rsidR="009021AA" w:rsidRPr="00F15724" w:rsidRDefault="009021AA" w:rsidP="009021AA">
      <w:pPr>
        <w:pStyle w:val="Heading1"/>
      </w:pPr>
      <w:bookmarkStart w:id="19" w:name="_Toc217258918"/>
      <w:r>
        <w:lastRenderedPageBreak/>
        <w:t>References</w:t>
      </w:r>
      <w:bookmarkEnd w:id="19"/>
      <w:r>
        <w:t xml:space="preserve"> </w:t>
      </w:r>
    </w:p>
    <w:p w14:paraId="354E2EBF" w14:textId="7244207E" w:rsidR="009021AA" w:rsidRDefault="009021AA" w:rsidP="009021AA">
      <w:r>
        <w:t xml:space="preserve"> Ansoff, H.I. (1957) ‘Strategies for diversification’, Harvard Business Review, 35(5), pp. 113–124. Available at: </w:t>
      </w:r>
      <w:hyperlink r:id="rId8" w:history="1">
        <w:r w:rsidRPr="003324E0">
          <w:rPr>
            <w:rStyle w:val="Hyperlink"/>
          </w:rPr>
          <w:t>https://www.casrilanka.com/casl/images/stories/2017/2017_pdfs/sab_portal/course_material/strategies_for_diversification.pdf</w:t>
        </w:r>
      </w:hyperlink>
      <w:r>
        <w:t xml:space="preserve">  (Accessed: 22 December 2025).</w:t>
      </w:r>
    </w:p>
    <w:p w14:paraId="13642F27" w14:textId="77777777" w:rsidR="009021AA" w:rsidRDefault="009021AA" w:rsidP="009021AA"/>
    <w:p w14:paraId="0571B5E0" w14:textId="2D48034F" w:rsidR="009021AA" w:rsidRDefault="009021AA" w:rsidP="009021AA">
      <w:r>
        <w:t xml:space="preserve">Barney, J.B. (1991) ‘Firm resources and sustained competitive advantage’, Journal of Management, 17(1), pp. 99–120. Available at: </w:t>
      </w:r>
      <w:hyperlink r:id="rId9" w:history="1">
        <w:r w:rsidRPr="003324E0">
          <w:rPr>
            <w:rStyle w:val="Hyperlink"/>
          </w:rPr>
          <w:t>https://journals.sagepub.com/doi/10.1177/014920639101700108</w:t>
        </w:r>
      </w:hyperlink>
      <w:r>
        <w:t xml:space="preserve">  (Accessed: 22 December 2025).</w:t>
      </w:r>
    </w:p>
    <w:p w14:paraId="765B0985" w14:textId="77777777" w:rsidR="009021AA" w:rsidRDefault="009021AA" w:rsidP="009021AA"/>
    <w:p w14:paraId="1D892788" w14:textId="134A9E06" w:rsidR="009021AA" w:rsidRDefault="009021AA" w:rsidP="009021AA">
      <w:r>
        <w:t xml:space="preserve">Bartlett, C.A. and Ghoshal, S. (1989) Managing Across Borders: The Transnational Solution. Boston, MA: Harvard Business School Press. Available at: </w:t>
      </w:r>
      <w:hyperlink r:id="rId10" w:history="1">
        <w:r w:rsidRPr="003324E0">
          <w:rPr>
            <w:rStyle w:val="Hyperlink"/>
          </w:rPr>
          <w:t>https://www.hbs.edu/faculty/Pages/item.aspx?num=32</w:t>
        </w:r>
      </w:hyperlink>
      <w:r>
        <w:t xml:space="preserve"> (Accessed: 22 December 2025).</w:t>
      </w:r>
    </w:p>
    <w:p w14:paraId="31BE5BC2" w14:textId="77777777" w:rsidR="009021AA" w:rsidRDefault="009021AA" w:rsidP="009021AA"/>
    <w:p w14:paraId="6ED2E2A9" w14:textId="093C59B9" w:rsidR="009021AA" w:rsidRDefault="009021AA" w:rsidP="009021AA">
      <w:proofErr w:type="spellStart"/>
      <w:r>
        <w:t>Cavusgil</w:t>
      </w:r>
      <w:proofErr w:type="spellEnd"/>
      <w:r>
        <w:t xml:space="preserve">, S.T., Knight, G. and Riesenberger, J.R. (2019) International Business: The New Realities. 5th </w:t>
      </w:r>
      <w:proofErr w:type="spellStart"/>
      <w:r>
        <w:t>edn</w:t>
      </w:r>
      <w:proofErr w:type="spellEnd"/>
      <w:r>
        <w:t xml:space="preserve"> (Global Edition). Harlow: Pearson. Available at: </w:t>
      </w:r>
      <w:hyperlink r:id="rId11" w:history="1">
        <w:r w:rsidRPr="003324E0">
          <w:rPr>
            <w:rStyle w:val="Hyperlink"/>
          </w:rPr>
          <w:t>https://www.pearson.com/en-gb/subject-catalog/p/international-business-the-new-realities-global-edition/P200000003907/9781292303307</w:t>
        </w:r>
      </w:hyperlink>
      <w:r>
        <w:t xml:space="preserve">  (Accessed: 22 December 2025).</w:t>
      </w:r>
    </w:p>
    <w:p w14:paraId="2B4E6EA6" w14:textId="77777777" w:rsidR="009021AA" w:rsidRDefault="009021AA" w:rsidP="009021AA"/>
    <w:p w14:paraId="7AF79684" w14:textId="009E8C62" w:rsidR="009021AA" w:rsidRDefault="009021AA" w:rsidP="009021AA">
      <w:r>
        <w:t xml:space="preserve">Department for Promotion of Industry and Internal Trade (DPIIT) (2024) Annual Report 2024–25 (PDF). Government of India. Available at: </w:t>
      </w:r>
      <w:hyperlink r:id="rId12" w:history="1">
        <w:r w:rsidRPr="003324E0">
          <w:rPr>
            <w:rStyle w:val="Hyperlink"/>
          </w:rPr>
          <w:t>https://www.dpiit.gov.in/static/uploads/2025/06/3d9c9c2daeefb97bb9ce964370938b71.pd</w:t>
        </w:r>
      </w:hyperlink>
      <w:r>
        <w:t xml:space="preserve"> f (Accessed: 22 December 2025).</w:t>
      </w:r>
    </w:p>
    <w:p w14:paraId="07563959" w14:textId="77777777" w:rsidR="009021AA" w:rsidRDefault="009021AA" w:rsidP="009021AA"/>
    <w:p w14:paraId="11E2B452" w14:textId="5AAB1EC6" w:rsidR="009021AA" w:rsidRDefault="009021AA" w:rsidP="009021AA">
      <w:r>
        <w:t xml:space="preserve">Euromonitor International (2023) Coffee in India (market report page). Available at: </w:t>
      </w:r>
      <w:hyperlink r:id="rId13" w:history="1">
        <w:r w:rsidRPr="003324E0">
          <w:rPr>
            <w:rStyle w:val="Hyperlink"/>
          </w:rPr>
          <w:t>https://www.euromonitor.com/coffee-in-india/report</w:t>
        </w:r>
      </w:hyperlink>
      <w:r>
        <w:t xml:space="preserve"> (Accessed: 22 December 2025).</w:t>
      </w:r>
    </w:p>
    <w:p w14:paraId="412C6EFA" w14:textId="77777777" w:rsidR="009021AA" w:rsidRDefault="009021AA" w:rsidP="009021AA"/>
    <w:p w14:paraId="60AA47B5" w14:textId="029C740B" w:rsidR="009021AA" w:rsidRDefault="009021AA" w:rsidP="009021AA">
      <w:r>
        <w:t xml:space="preserve">Heskett, J.L., Jones, T.O., Loveman, G.W., Sasser, W.E. and Schlesinger, L.A. (2008) ‘Putting the service-profit chain to work’, Harvard Business Review, 86(7/8). Available at: </w:t>
      </w:r>
      <w:hyperlink r:id="rId14" w:history="1">
        <w:r w:rsidRPr="003324E0">
          <w:rPr>
            <w:rStyle w:val="Hyperlink"/>
          </w:rPr>
          <w:t>https://hbr.org/2008/07/putting-the-service-profit-chain-to-work</w:t>
        </w:r>
      </w:hyperlink>
      <w:r>
        <w:t xml:space="preserve"> (Accessed: 22 December 2025).</w:t>
      </w:r>
    </w:p>
    <w:p w14:paraId="7F8DD141" w14:textId="77777777" w:rsidR="009021AA" w:rsidRDefault="009021AA" w:rsidP="009021AA"/>
    <w:p w14:paraId="7EA19708" w14:textId="6962A6CF" w:rsidR="009021AA" w:rsidRDefault="009021AA" w:rsidP="009021AA">
      <w:r>
        <w:t xml:space="preserve">Hill, C.W.L. and Hult, G.T.M. (2020) International Business: Competing in the Global Marketplace. 13th </w:t>
      </w:r>
      <w:proofErr w:type="spellStart"/>
      <w:r>
        <w:t>edn</w:t>
      </w:r>
      <w:proofErr w:type="spellEnd"/>
      <w:r>
        <w:t xml:space="preserve">. New York, NY: McGraw-Hill Education. Available at: </w:t>
      </w:r>
      <w:hyperlink r:id="rId15" w:history="1">
        <w:r w:rsidRPr="003324E0">
          <w:rPr>
            <w:rStyle w:val="Hyperlink"/>
          </w:rPr>
          <w:t>https://www.mheducation.com/highered/product/international-business-competing-global-marketplace-hill-hult/M9781260262584.html</w:t>
        </w:r>
      </w:hyperlink>
      <w:r>
        <w:t xml:space="preserve">  (Accessed: 22 December 2025).</w:t>
      </w:r>
    </w:p>
    <w:p w14:paraId="182C07D1" w14:textId="77777777" w:rsidR="009021AA" w:rsidRDefault="009021AA" w:rsidP="009021AA"/>
    <w:p w14:paraId="6C34A4C8" w14:textId="3F9A7182" w:rsidR="009021AA" w:rsidRDefault="009021AA" w:rsidP="009021AA">
      <w:r>
        <w:t xml:space="preserve">IBISWorld (2023) Industry research reports (subscription database). Available at: </w:t>
      </w:r>
      <w:hyperlink r:id="rId16" w:history="1">
        <w:r w:rsidRPr="003324E0">
          <w:rPr>
            <w:rStyle w:val="Hyperlink"/>
          </w:rPr>
          <w:t>https://www.ibisworld.com/</w:t>
        </w:r>
      </w:hyperlink>
      <w:r>
        <w:t xml:space="preserve">   (Accessed: 22 December 2025).</w:t>
      </w:r>
    </w:p>
    <w:p w14:paraId="3AA26DEA" w14:textId="77777777" w:rsidR="009021AA" w:rsidRDefault="009021AA" w:rsidP="009021AA"/>
    <w:p w14:paraId="045F7B29" w14:textId="556B3C81" w:rsidR="009021AA" w:rsidRDefault="009021AA" w:rsidP="009021AA">
      <w:r>
        <w:t xml:space="preserve">Johnson, G., Whittington, R., Angwin, D., </w:t>
      </w:r>
      <w:proofErr w:type="spellStart"/>
      <w:r>
        <w:t>Regnér</w:t>
      </w:r>
      <w:proofErr w:type="spellEnd"/>
      <w:r>
        <w:t xml:space="preserve">, P. and Scholes, K. (2020) Exploring Strategy: Text and Cases. 12th </w:t>
      </w:r>
      <w:proofErr w:type="spellStart"/>
      <w:r>
        <w:t>edn</w:t>
      </w:r>
      <w:proofErr w:type="spellEnd"/>
      <w:r>
        <w:t xml:space="preserve">. Harlow: Pearson. Available at: </w:t>
      </w:r>
      <w:hyperlink r:id="rId17" w:history="1">
        <w:r w:rsidRPr="003324E0">
          <w:rPr>
            <w:rStyle w:val="Hyperlink"/>
          </w:rPr>
          <w:t>https://www.pearson.com/en-gb/subject-catalog/p/exploring-strategy-text-and-cases/P200000004559/9781292282503</w:t>
        </w:r>
      </w:hyperlink>
      <w:r>
        <w:t xml:space="preserve">  (Accessed: 22 December 2025).</w:t>
      </w:r>
    </w:p>
    <w:p w14:paraId="5E047C81" w14:textId="77777777" w:rsidR="009021AA" w:rsidRDefault="009021AA" w:rsidP="009021AA"/>
    <w:p w14:paraId="6D294BEF" w14:textId="2D852967" w:rsidR="009021AA" w:rsidRDefault="009021AA" w:rsidP="009021AA">
      <w:r>
        <w:t xml:space="preserve">Kaplan, R.S. and Norton, D.P. (1996) The Balanced Scorecard: Translating Strategy into Action. Boston, MA: Harvard Business School Press. Available at: </w:t>
      </w:r>
      <w:hyperlink r:id="rId18" w:history="1">
        <w:r w:rsidRPr="003324E0">
          <w:rPr>
            <w:rStyle w:val="Hyperlink"/>
          </w:rPr>
          <w:t>https://www.hbs.edu/faculty/Pages/item.aspx?num=8800</w:t>
        </w:r>
      </w:hyperlink>
      <w:r>
        <w:t xml:space="preserve">  (Accessed: 22 December 2025).</w:t>
      </w:r>
    </w:p>
    <w:p w14:paraId="6452FF51" w14:textId="77777777" w:rsidR="009021AA" w:rsidRDefault="009021AA" w:rsidP="009021AA"/>
    <w:p w14:paraId="5F19AB0E" w14:textId="1CC4736B" w:rsidR="009021AA" w:rsidRDefault="009021AA" w:rsidP="009021AA">
      <w:r>
        <w:t xml:space="preserve">Keller, K.L. and Swaminathan, V. (2019) Strategic Brand Management: Building, Measuring, and Managing Brand Equity. 5th </w:t>
      </w:r>
      <w:proofErr w:type="spellStart"/>
      <w:r>
        <w:t>edn</w:t>
      </w:r>
      <w:proofErr w:type="spellEnd"/>
      <w:r>
        <w:t xml:space="preserve"> (Global Edition). Harlow: Pearson. Available at: </w:t>
      </w:r>
      <w:hyperlink r:id="rId19" w:history="1">
        <w:r w:rsidRPr="003324E0">
          <w:rPr>
            <w:rStyle w:val="Hyperlink"/>
          </w:rPr>
          <w:t>https://www.pearson.com/en-gb/subject-catalog/p/strategic-brand-management-global-edition/P200000004372/9781292314877</w:t>
        </w:r>
      </w:hyperlink>
      <w:r>
        <w:t xml:space="preserve">  (Accessed: 22 December 2025).</w:t>
      </w:r>
    </w:p>
    <w:p w14:paraId="76C40FC0" w14:textId="77777777" w:rsidR="009021AA" w:rsidRDefault="009021AA" w:rsidP="009021AA"/>
    <w:p w14:paraId="5A9D2685" w14:textId="02D5BA81" w:rsidR="009021AA" w:rsidRDefault="009021AA" w:rsidP="009021AA">
      <w:r>
        <w:t xml:space="preserve">OECD (2017) Regulatory Policy in India. Paris: OECD Publishing. Available at: </w:t>
      </w:r>
      <w:hyperlink r:id="rId20" w:history="1">
        <w:r w:rsidRPr="003324E0">
          <w:rPr>
            <w:rStyle w:val="Hyperlink"/>
          </w:rPr>
          <w:t>https://www.oecd.org/en/publications/regulatory-policy-in-india_9789264277015-en.html</w:t>
        </w:r>
      </w:hyperlink>
      <w:r>
        <w:t xml:space="preserve"> (Accessed: 22 December 2025).</w:t>
      </w:r>
    </w:p>
    <w:p w14:paraId="59DB9A33" w14:textId="77777777" w:rsidR="009021AA" w:rsidRDefault="009021AA" w:rsidP="009021AA"/>
    <w:p w14:paraId="58B78738" w14:textId="04B5D45C" w:rsidR="009021AA" w:rsidRDefault="009021AA" w:rsidP="009021AA">
      <w:r>
        <w:t xml:space="preserve">Porter, M.E. (2008) ‘The five competitive forces that shape strategy’, Harvard Business Review, 86(1), pp. 78–93. Available at: </w:t>
      </w:r>
      <w:hyperlink r:id="rId21" w:history="1">
        <w:r w:rsidRPr="003324E0">
          <w:rPr>
            <w:rStyle w:val="Hyperlink"/>
          </w:rPr>
          <w:t>https://hbr.org/2008/01/the-five-competitive-forces-that-shape-strategy</w:t>
        </w:r>
      </w:hyperlink>
      <w:r>
        <w:t xml:space="preserve">  (Accessed: 22 December 2025).</w:t>
      </w:r>
    </w:p>
    <w:p w14:paraId="13CB5061" w14:textId="77777777" w:rsidR="009021AA" w:rsidRDefault="009021AA" w:rsidP="009021AA"/>
    <w:p w14:paraId="79D75554" w14:textId="08AEA8E0" w:rsidR="009021AA" w:rsidRDefault="009021AA" w:rsidP="009021AA">
      <w:r>
        <w:lastRenderedPageBreak/>
        <w:t xml:space="preserve">Starbucks Coffee Company (2023) Fiscal 2023 Annual Report (PDF). Available at: </w:t>
      </w:r>
      <w:hyperlink r:id="rId22" w:history="1">
        <w:r w:rsidRPr="003324E0">
          <w:rPr>
            <w:rStyle w:val="Hyperlink"/>
          </w:rPr>
          <w:t>https://s203.q4cdn.com/326826266/files/doc_financials/2024/ar/fy23-annual-report.pdf</w:t>
        </w:r>
      </w:hyperlink>
      <w:r>
        <w:t xml:space="preserve"> (Accessed: 22 December 2025).</w:t>
      </w:r>
    </w:p>
    <w:p w14:paraId="54F16B47" w14:textId="77777777" w:rsidR="009021AA" w:rsidRDefault="009021AA" w:rsidP="009021AA"/>
    <w:p w14:paraId="4CAD750F" w14:textId="33E933F5" w:rsidR="009021AA" w:rsidRDefault="009021AA" w:rsidP="009021AA">
      <w:r>
        <w:t xml:space="preserve">Tata Consumer Products Limited (2024) Integrated Annual Report 2023–24 (download page). Available at: </w:t>
      </w:r>
      <w:hyperlink r:id="rId23" w:history="1">
        <w:r w:rsidRPr="003324E0">
          <w:rPr>
            <w:rStyle w:val="Hyperlink"/>
          </w:rPr>
          <w:t>https://www.tataconsumer.com/iar-2023-24/Downloadpdf.html</w:t>
        </w:r>
      </w:hyperlink>
      <w:r>
        <w:t xml:space="preserve"> (Accessed: 22 December 2025).</w:t>
      </w:r>
    </w:p>
    <w:p w14:paraId="35709A5D" w14:textId="77777777" w:rsidR="009021AA" w:rsidRDefault="009021AA" w:rsidP="009021AA"/>
    <w:p w14:paraId="3BDEBA6D" w14:textId="6C0F64FB" w:rsidR="009021AA" w:rsidRDefault="009021AA" w:rsidP="009021AA">
      <w:r>
        <w:t xml:space="preserve">UNEP (2023) Turning off the Tap: How the world can end plastic pollution and create a circular economy. United Nations Environment Programme. Available at: </w:t>
      </w:r>
      <w:hyperlink r:id="rId24" w:history="1">
        <w:r w:rsidRPr="003324E0">
          <w:rPr>
            <w:rStyle w:val="Hyperlink"/>
          </w:rPr>
          <w:t>https://www.unep.org/resources/turning-off-tap-end-plastic-pollution-create-circular-economy</w:t>
        </w:r>
      </w:hyperlink>
      <w:r>
        <w:t xml:space="preserve">  (Accessed: 22 December 2025).</w:t>
      </w:r>
    </w:p>
    <w:p w14:paraId="6AA2BCDD" w14:textId="77777777" w:rsidR="009021AA" w:rsidRDefault="009021AA" w:rsidP="009021AA"/>
    <w:p w14:paraId="00345F41" w14:textId="6A1D35D0" w:rsidR="009021AA" w:rsidRDefault="009021AA" w:rsidP="009021AA">
      <w:r>
        <w:t xml:space="preserve">Williamson, O.E. (1985) The Economic Institutions of Capitalism: Firms, Markets, Relational Contracting. New York, NY: Free Press. Available at: </w:t>
      </w:r>
      <w:hyperlink r:id="rId25" w:history="1">
        <w:r w:rsidRPr="003324E0">
          <w:rPr>
            <w:rStyle w:val="Hyperlink"/>
          </w:rPr>
          <w:t>https://search.worldcat.org/title/12216444</w:t>
        </w:r>
      </w:hyperlink>
      <w:r>
        <w:t xml:space="preserve">   (Accessed: 22 December 2025).</w:t>
      </w:r>
    </w:p>
    <w:p w14:paraId="7436E27A" w14:textId="77777777" w:rsidR="009021AA" w:rsidRDefault="009021AA" w:rsidP="009021AA"/>
    <w:p w14:paraId="6086CA91" w14:textId="31D185B3" w:rsidR="00F15724" w:rsidRDefault="009021AA" w:rsidP="009021AA">
      <w:r>
        <w:t xml:space="preserve">World Bank (2024) India’s economy to remain strong despite subdued global growth (press release, 3 September). Available at: </w:t>
      </w:r>
      <w:hyperlink r:id="rId26" w:history="1">
        <w:r w:rsidRPr="003324E0">
          <w:rPr>
            <w:rStyle w:val="Hyperlink"/>
          </w:rPr>
          <w:t>https://www.worldbank.org/en/news/press-release/2024/09/03/india-s-economy-to-remain-strong-despite-subdued-global-growth</w:t>
        </w:r>
      </w:hyperlink>
      <w:r>
        <w:t xml:space="preserve">  (Accessed: 22 December 2025).</w:t>
      </w:r>
    </w:p>
    <w:p w14:paraId="60195F4A" w14:textId="6BC88648" w:rsidR="00EA4076" w:rsidRPr="00F15724" w:rsidRDefault="00EA4076" w:rsidP="009021AA">
      <w:r w:rsidRPr="00EA4076">
        <w:t xml:space="preserve">Statista (2024) </w:t>
      </w:r>
      <w:r w:rsidRPr="00EA4076">
        <w:rPr>
          <w:i/>
          <w:iCs/>
        </w:rPr>
        <w:t>Number of Starbucks Stores Worldwide from 2003 to 2024</w:t>
      </w:r>
      <w:r w:rsidRPr="00EA4076">
        <w:t>.</w:t>
      </w:r>
      <w:r w:rsidRPr="00EA4076">
        <w:br/>
        <w:t xml:space="preserve">Available at: </w:t>
      </w:r>
      <w:hyperlink r:id="rId27" w:tgtFrame="_new" w:history="1">
        <w:r w:rsidRPr="00EA4076">
          <w:rPr>
            <w:rStyle w:val="Hyperlink"/>
          </w:rPr>
          <w:t>https://www.statista.com/statistics/218366/number-of-international-and-us-starbucks-stores/</w:t>
        </w:r>
      </w:hyperlink>
      <w:r>
        <w:t xml:space="preserve"> </w:t>
      </w:r>
      <w:r>
        <w:t>(Accessed: 22 December 2025).</w:t>
      </w:r>
    </w:p>
    <w:p w14:paraId="79979DFC" w14:textId="77777777" w:rsidR="00F753F2" w:rsidRDefault="00F753F2" w:rsidP="00F753F2"/>
    <w:sectPr w:rsidR="00F753F2">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AAA50" w14:textId="77777777" w:rsidR="009D736C" w:rsidRDefault="009D736C" w:rsidP="009021AA">
      <w:pPr>
        <w:spacing w:after="0" w:line="240" w:lineRule="auto"/>
      </w:pPr>
      <w:r>
        <w:separator/>
      </w:r>
    </w:p>
  </w:endnote>
  <w:endnote w:type="continuationSeparator" w:id="0">
    <w:p w14:paraId="5B7D2609" w14:textId="77777777" w:rsidR="009D736C" w:rsidRDefault="009D736C" w:rsidP="009021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428269"/>
      <w:docPartObj>
        <w:docPartGallery w:val="Page Numbers (Bottom of Page)"/>
        <w:docPartUnique/>
      </w:docPartObj>
    </w:sdtPr>
    <w:sdtEndPr>
      <w:rPr>
        <w:noProof/>
      </w:rPr>
    </w:sdtEndPr>
    <w:sdtContent>
      <w:p w14:paraId="1657E99D" w14:textId="2F6FA2F1" w:rsidR="009021AA" w:rsidRDefault="009021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D49169" w14:textId="77777777" w:rsidR="009021AA" w:rsidRDefault="00902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EFCCA" w14:textId="77777777" w:rsidR="009D736C" w:rsidRDefault="009D736C" w:rsidP="009021AA">
      <w:pPr>
        <w:spacing w:after="0" w:line="240" w:lineRule="auto"/>
      </w:pPr>
      <w:r>
        <w:separator/>
      </w:r>
    </w:p>
  </w:footnote>
  <w:footnote w:type="continuationSeparator" w:id="0">
    <w:p w14:paraId="3F887211" w14:textId="77777777" w:rsidR="009D736C" w:rsidRDefault="009D736C" w:rsidP="009021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D2CDE"/>
    <w:multiLevelType w:val="multilevel"/>
    <w:tmpl w:val="E738C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A1901"/>
    <w:multiLevelType w:val="multilevel"/>
    <w:tmpl w:val="C7B86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CE2A86"/>
    <w:multiLevelType w:val="multilevel"/>
    <w:tmpl w:val="087A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EA526F"/>
    <w:multiLevelType w:val="multilevel"/>
    <w:tmpl w:val="703AB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9E4A0F"/>
    <w:multiLevelType w:val="multilevel"/>
    <w:tmpl w:val="E7E4A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43520E"/>
    <w:multiLevelType w:val="multilevel"/>
    <w:tmpl w:val="787CB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7727413">
    <w:abstractNumId w:val="5"/>
  </w:num>
  <w:num w:numId="2" w16cid:durableId="1716848578">
    <w:abstractNumId w:val="2"/>
  </w:num>
  <w:num w:numId="3" w16cid:durableId="517353440">
    <w:abstractNumId w:val="1"/>
  </w:num>
  <w:num w:numId="4" w16cid:durableId="1800566498">
    <w:abstractNumId w:val="3"/>
  </w:num>
  <w:num w:numId="5" w16cid:durableId="1245065108">
    <w:abstractNumId w:val="0"/>
  </w:num>
  <w:num w:numId="6" w16cid:durableId="63838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3F2"/>
    <w:rsid w:val="00240533"/>
    <w:rsid w:val="0040569D"/>
    <w:rsid w:val="004C29FB"/>
    <w:rsid w:val="005725B0"/>
    <w:rsid w:val="005853B4"/>
    <w:rsid w:val="0066312F"/>
    <w:rsid w:val="009021AA"/>
    <w:rsid w:val="009D736C"/>
    <w:rsid w:val="00AD2038"/>
    <w:rsid w:val="00D91913"/>
    <w:rsid w:val="00EA4076"/>
    <w:rsid w:val="00F15724"/>
    <w:rsid w:val="00F753F2"/>
    <w:rsid w:val="00FA1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14C10"/>
  <w15:chartTrackingRefBased/>
  <w15:docId w15:val="{DF5FCBAD-F2A8-402A-B0D6-AD2C1AFA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913"/>
  </w:style>
  <w:style w:type="paragraph" w:styleId="Heading1">
    <w:name w:val="heading 1"/>
    <w:basedOn w:val="Normal"/>
    <w:next w:val="Normal"/>
    <w:link w:val="Heading1Char"/>
    <w:uiPriority w:val="9"/>
    <w:qFormat/>
    <w:rsid w:val="00F753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53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53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53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53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53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3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3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3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3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53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53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53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53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53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3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3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3F2"/>
    <w:rPr>
      <w:rFonts w:eastAsiaTheme="majorEastAsia" w:cstheme="majorBidi"/>
      <w:color w:val="272727" w:themeColor="text1" w:themeTint="D8"/>
    </w:rPr>
  </w:style>
  <w:style w:type="paragraph" w:styleId="Title">
    <w:name w:val="Title"/>
    <w:basedOn w:val="Normal"/>
    <w:next w:val="Normal"/>
    <w:link w:val="TitleChar"/>
    <w:uiPriority w:val="10"/>
    <w:qFormat/>
    <w:rsid w:val="00F753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3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3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3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3F2"/>
    <w:pPr>
      <w:spacing w:before="160"/>
      <w:jc w:val="center"/>
    </w:pPr>
    <w:rPr>
      <w:i/>
      <w:iCs/>
      <w:color w:val="404040" w:themeColor="text1" w:themeTint="BF"/>
    </w:rPr>
  </w:style>
  <w:style w:type="character" w:customStyle="1" w:styleId="QuoteChar">
    <w:name w:val="Quote Char"/>
    <w:basedOn w:val="DefaultParagraphFont"/>
    <w:link w:val="Quote"/>
    <w:uiPriority w:val="29"/>
    <w:rsid w:val="00F753F2"/>
    <w:rPr>
      <w:i/>
      <w:iCs/>
      <w:color w:val="404040" w:themeColor="text1" w:themeTint="BF"/>
    </w:rPr>
  </w:style>
  <w:style w:type="paragraph" w:styleId="ListParagraph">
    <w:name w:val="List Paragraph"/>
    <w:basedOn w:val="Normal"/>
    <w:uiPriority w:val="34"/>
    <w:qFormat/>
    <w:rsid w:val="00F753F2"/>
    <w:pPr>
      <w:ind w:left="720"/>
      <w:contextualSpacing/>
    </w:pPr>
  </w:style>
  <w:style w:type="character" w:styleId="IntenseEmphasis">
    <w:name w:val="Intense Emphasis"/>
    <w:basedOn w:val="DefaultParagraphFont"/>
    <w:uiPriority w:val="21"/>
    <w:qFormat/>
    <w:rsid w:val="00F753F2"/>
    <w:rPr>
      <w:i/>
      <w:iCs/>
      <w:color w:val="0F4761" w:themeColor="accent1" w:themeShade="BF"/>
    </w:rPr>
  </w:style>
  <w:style w:type="paragraph" w:styleId="IntenseQuote">
    <w:name w:val="Intense Quote"/>
    <w:basedOn w:val="Normal"/>
    <w:next w:val="Normal"/>
    <w:link w:val="IntenseQuoteChar"/>
    <w:uiPriority w:val="30"/>
    <w:qFormat/>
    <w:rsid w:val="00F753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53F2"/>
    <w:rPr>
      <w:i/>
      <w:iCs/>
      <w:color w:val="0F4761" w:themeColor="accent1" w:themeShade="BF"/>
    </w:rPr>
  </w:style>
  <w:style w:type="character" w:styleId="IntenseReference">
    <w:name w:val="Intense Reference"/>
    <w:basedOn w:val="DefaultParagraphFont"/>
    <w:uiPriority w:val="32"/>
    <w:qFormat/>
    <w:rsid w:val="00F753F2"/>
    <w:rPr>
      <w:b/>
      <w:bCs/>
      <w:smallCaps/>
      <w:color w:val="0F4761" w:themeColor="accent1" w:themeShade="BF"/>
      <w:spacing w:val="5"/>
    </w:rPr>
  </w:style>
  <w:style w:type="character" w:styleId="Hyperlink">
    <w:name w:val="Hyperlink"/>
    <w:basedOn w:val="DefaultParagraphFont"/>
    <w:uiPriority w:val="99"/>
    <w:unhideWhenUsed/>
    <w:rsid w:val="009021AA"/>
    <w:rPr>
      <w:color w:val="467886" w:themeColor="hyperlink"/>
      <w:u w:val="single"/>
    </w:rPr>
  </w:style>
  <w:style w:type="character" w:styleId="UnresolvedMention">
    <w:name w:val="Unresolved Mention"/>
    <w:basedOn w:val="DefaultParagraphFont"/>
    <w:uiPriority w:val="99"/>
    <w:semiHidden/>
    <w:unhideWhenUsed/>
    <w:rsid w:val="009021AA"/>
    <w:rPr>
      <w:color w:val="605E5C"/>
      <w:shd w:val="clear" w:color="auto" w:fill="E1DFDD"/>
    </w:rPr>
  </w:style>
  <w:style w:type="paragraph" w:styleId="Header">
    <w:name w:val="header"/>
    <w:basedOn w:val="Normal"/>
    <w:link w:val="HeaderChar"/>
    <w:uiPriority w:val="99"/>
    <w:unhideWhenUsed/>
    <w:rsid w:val="00902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21AA"/>
  </w:style>
  <w:style w:type="paragraph" w:styleId="Footer">
    <w:name w:val="footer"/>
    <w:basedOn w:val="Normal"/>
    <w:link w:val="FooterChar"/>
    <w:uiPriority w:val="99"/>
    <w:unhideWhenUsed/>
    <w:rsid w:val="00902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21AA"/>
  </w:style>
  <w:style w:type="paragraph" w:styleId="TOCHeading">
    <w:name w:val="TOC Heading"/>
    <w:basedOn w:val="Heading1"/>
    <w:next w:val="Normal"/>
    <w:uiPriority w:val="39"/>
    <w:unhideWhenUsed/>
    <w:qFormat/>
    <w:rsid w:val="009021A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021AA"/>
    <w:pPr>
      <w:spacing w:after="100"/>
    </w:pPr>
  </w:style>
  <w:style w:type="paragraph" w:styleId="TOC2">
    <w:name w:val="toc 2"/>
    <w:basedOn w:val="Normal"/>
    <w:next w:val="Normal"/>
    <w:autoRedefine/>
    <w:uiPriority w:val="39"/>
    <w:unhideWhenUsed/>
    <w:rsid w:val="009021AA"/>
    <w:pPr>
      <w:spacing w:after="100"/>
      <w:ind w:left="240"/>
    </w:pPr>
  </w:style>
  <w:style w:type="table" w:styleId="TableGrid">
    <w:name w:val="Table Grid"/>
    <w:basedOn w:val="TableNormal"/>
    <w:uiPriority w:val="39"/>
    <w:rsid w:val="00D91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rilanka.com/casl/images/stories/2017/2017_pdfs/sab_portal/course_material/strategies_for_diversification.pdf" TargetMode="External"/><Relationship Id="rId13" Type="http://schemas.openxmlformats.org/officeDocument/2006/relationships/hyperlink" Target="https://www.euromonitor.com/coffee-in-india/report" TargetMode="External"/><Relationship Id="rId18" Type="http://schemas.openxmlformats.org/officeDocument/2006/relationships/hyperlink" Target="https://www.hbs.edu/faculty/Pages/item.aspx?num=8800" TargetMode="External"/><Relationship Id="rId26" Type="http://schemas.openxmlformats.org/officeDocument/2006/relationships/hyperlink" Target="https://www.worldbank.org/en/news/press-release/2024/09/03/india-s-economy-to-remain-strong-despite-subdued-global-growth" TargetMode="External"/><Relationship Id="rId3" Type="http://schemas.openxmlformats.org/officeDocument/2006/relationships/settings" Target="settings.xml"/><Relationship Id="rId21" Type="http://schemas.openxmlformats.org/officeDocument/2006/relationships/hyperlink" Target="https://hbr.org/2008/01/the-five-competitive-forces-that-shape-strategy" TargetMode="External"/><Relationship Id="rId7" Type="http://schemas.openxmlformats.org/officeDocument/2006/relationships/image" Target="media/image1.jpeg"/><Relationship Id="rId12" Type="http://schemas.openxmlformats.org/officeDocument/2006/relationships/hyperlink" Target="https://www.dpiit.gov.in/static/uploads/2025/06/3d9c9c2daeefb97bb9ce964370938b71.pd" TargetMode="External"/><Relationship Id="rId17" Type="http://schemas.openxmlformats.org/officeDocument/2006/relationships/hyperlink" Target="https://www.pearson.com/en-gb/subject-catalog/p/exploring-strategy-text-and-cases/P200000004559/9781292282503" TargetMode="External"/><Relationship Id="rId25" Type="http://schemas.openxmlformats.org/officeDocument/2006/relationships/hyperlink" Target="https://search.worldcat.org/title/12216444" TargetMode="External"/><Relationship Id="rId2" Type="http://schemas.openxmlformats.org/officeDocument/2006/relationships/styles" Target="styles.xml"/><Relationship Id="rId16" Type="http://schemas.openxmlformats.org/officeDocument/2006/relationships/hyperlink" Target="https://www.ibisworld.com/" TargetMode="External"/><Relationship Id="rId20" Type="http://schemas.openxmlformats.org/officeDocument/2006/relationships/hyperlink" Target="https://www.oecd.org/en/publications/regulatory-policy-in-india_9789264277015-en.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arson.com/en-gb/subject-catalog/p/international-business-the-new-realities-global-edition/P200000003907/9781292303307" TargetMode="External"/><Relationship Id="rId24" Type="http://schemas.openxmlformats.org/officeDocument/2006/relationships/hyperlink" Target="https://www.unep.org/resources/turning-off-tap-end-plastic-pollution-create-circular-economy" TargetMode="External"/><Relationship Id="rId5" Type="http://schemas.openxmlformats.org/officeDocument/2006/relationships/footnotes" Target="footnotes.xml"/><Relationship Id="rId15" Type="http://schemas.openxmlformats.org/officeDocument/2006/relationships/hyperlink" Target="https://www.mheducation.com/highered/product/international-business-competing-global-marketplace-hill-hult/M9781260262584.html" TargetMode="External"/><Relationship Id="rId23" Type="http://schemas.openxmlformats.org/officeDocument/2006/relationships/hyperlink" Target="https://www.tataconsumer.com/iar-2023-24/Downloadpdf.html" TargetMode="External"/><Relationship Id="rId28" Type="http://schemas.openxmlformats.org/officeDocument/2006/relationships/footer" Target="footer1.xml"/><Relationship Id="rId10" Type="http://schemas.openxmlformats.org/officeDocument/2006/relationships/hyperlink" Target="https://www.hbs.edu/faculty/Pages/item.aspx?num=32" TargetMode="External"/><Relationship Id="rId19" Type="http://schemas.openxmlformats.org/officeDocument/2006/relationships/hyperlink" Target="https://www.pearson.com/en-gb/subject-catalog/p/strategic-brand-management-global-edition/P200000004372/9781292314877" TargetMode="External"/><Relationship Id="rId4" Type="http://schemas.openxmlformats.org/officeDocument/2006/relationships/webSettings" Target="webSettings.xml"/><Relationship Id="rId9" Type="http://schemas.openxmlformats.org/officeDocument/2006/relationships/hyperlink" Target="https://journals.sagepub.com/doi/10.1177/014920639101700108" TargetMode="External"/><Relationship Id="rId14" Type="http://schemas.openxmlformats.org/officeDocument/2006/relationships/hyperlink" Target="https://hbr.org/2008/07/putting-the-service-profit-chain-to-work" TargetMode="External"/><Relationship Id="rId22" Type="http://schemas.openxmlformats.org/officeDocument/2006/relationships/hyperlink" Target="https://s203.q4cdn.com/326826266/files/doc_financials/2024/ar/fy23-annual-report.pdf" TargetMode="External"/><Relationship Id="rId27" Type="http://schemas.openxmlformats.org/officeDocument/2006/relationships/hyperlink" Target="https://www.statista.com/statistics/218366/number-of-international-and-us-starbucks-stor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6694</Words>
  <Characters>38156</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Kushal Panchal</cp:lastModifiedBy>
  <cp:revision>3</cp:revision>
  <dcterms:created xsi:type="dcterms:W3CDTF">2025-12-22T01:28:00Z</dcterms:created>
  <dcterms:modified xsi:type="dcterms:W3CDTF">2025-12-22T01:48:00Z</dcterms:modified>
</cp:coreProperties>
</file>