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C2A" w:rsidRPr="00AE6D33" w:rsidRDefault="00D73D2F" w:rsidP="00AE6D33">
      <w:pPr>
        <w:spacing w:line="480" w:lineRule="auto"/>
        <w:rPr>
          <w:b/>
          <w:u w:val="single"/>
        </w:rPr>
      </w:pPr>
      <w:r w:rsidRPr="00AE6D33">
        <w:rPr>
          <w:b/>
          <w:u w:val="single"/>
        </w:rPr>
        <w:t xml:space="preserve">Discussion of plans. </w:t>
      </w:r>
    </w:p>
    <w:p w:rsidR="00D73D2F" w:rsidRDefault="00D73D2F" w:rsidP="00AE6D33">
      <w:pPr>
        <w:spacing w:line="480" w:lineRule="auto"/>
      </w:pPr>
    </w:p>
    <w:p w:rsidR="00D73D2F" w:rsidRDefault="00D73D2F" w:rsidP="00AE6D33">
      <w:pPr>
        <w:spacing w:line="480" w:lineRule="auto"/>
      </w:pPr>
      <w:r>
        <w:t xml:space="preserve">In this module I played two characters who played exceptionally different roles: Harpalos, a cowardly thief, and Leonnatus, a noble </w:t>
      </w:r>
      <w:proofErr w:type="spellStart"/>
      <w:r>
        <w:t>somaphylake</w:t>
      </w:r>
      <w:proofErr w:type="spellEnd"/>
      <w:r>
        <w:t xml:space="preserve"> of Alexander who becomes gradually more influenced by Persian culture.</w:t>
      </w:r>
      <w:r w:rsidR="007262CE">
        <w:rPr>
          <w:rStyle w:val="FootnoteReference"/>
        </w:rPr>
        <w:footnoteReference w:id="1"/>
      </w:r>
      <w:r>
        <w:t xml:space="preserve"> Roleplaying as these two characters allowed me to explore two very different worlds after Alexander’s death, both being plunged into chaos by a constant struggle to attain or retain power.</w:t>
      </w:r>
      <w:r w:rsidR="007262CE">
        <w:rPr>
          <w:rStyle w:val="FootnoteReference"/>
        </w:rPr>
        <w:footnoteReference w:id="2"/>
      </w:r>
      <w:r w:rsidR="00A8128C">
        <w:t xml:space="preserve"> </w:t>
      </w:r>
    </w:p>
    <w:p w:rsidR="00E12B77" w:rsidRDefault="00E12B77" w:rsidP="00AE6D33">
      <w:pPr>
        <w:spacing w:line="480" w:lineRule="auto"/>
      </w:pPr>
      <w:r>
        <w:t>As Harpalos</w:t>
      </w:r>
      <w:r w:rsidR="004769C3">
        <w:t>, I learned about the anti-Macedonian sentiments in Greece at the time, and the separation between Europe and Asia, as Antipater and Krateros find themselves in rapid need of a secure hold on the land to maintain order.</w:t>
      </w:r>
      <w:r w:rsidR="007262CE">
        <w:rPr>
          <w:rStyle w:val="FootnoteReference"/>
        </w:rPr>
        <w:footnoteReference w:id="3"/>
      </w:r>
      <w:r w:rsidR="004769C3">
        <w:t xml:space="preserve"> After the death of Alexander, it became clear that the main powers mainly disregarded Greece and Macedon, as Babylon had become the primary focus, although the Argeads and the ancestral home of Alexander were still important political tools that could be bargained for.</w:t>
      </w:r>
      <w:r w:rsidR="00573779">
        <w:rPr>
          <w:rStyle w:val="FootnoteReference"/>
        </w:rPr>
        <w:footnoteReference w:id="4"/>
      </w:r>
      <w:r w:rsidR="004769C3">
        <w:t xml:space="preserve"> </w:t>
      </w:r>
      <w:r w:rsidR="00DC3814">
        <w:t>Being Harpalos, a strong focus was placed upon money and ways in which it was possible to obtain a fast income, like sacking Delphi, and controlling the grain trade from the Black Sea.</w:t>
      </w:r>
      <w:r w:rsidR="00573779">
        <w:rPr>
          <w:rStyle w:val="FootnoteReference"/>
        </w:rPr>
        <w:footnoteReference w:id="5"/>
      </w:r>
      <w:r w:rsidR="00DC3814">
        <w:t xml:space="preserve"> </w:t>
      </w:r>
      <w:r w:rsidR="002E7A57">
        <w:t xml:space="preserve">Harpalos died due to his scheming and selfish nature, which is </w:t>
      </w:r>
      <w:r w:rsidR="00573779">
        <w:t xml:space="preserve">also </w:t>
      </w:r>
      <w:r w:rsidR="002E7A57">
        <w:t>what historically happened.</w:t>
      </w:r>
      <w:r w:rsidR="00573779">
        <w:rPr>
          <w:rStyle w:val="FootnoteReference"/>
        </w:rPr>
        <w:footnoteReference w:id="6"/>
      </w:r>
    </w:p>
    <w:p w:rsidR="008836C7" w:rsidRDefault="002E7A57" w:rsidP="00AE6D33">
      <w:pPr>
        <w:spacing w:line="480" w:lineRule="auto"/>
      </w:pPr>
      <w:r>
        <w:t>To explore different themes as Leonnatus, I tried to act as honourably as possible, being loyal to both the king and the people.</w:t>
      </w:r>
      <w:r w:rsidR="00567D67">
        <w:t xml:space="preserve"> However, realising the state of constant revolts and bids for independence, I had to alter my plans significantly, to looking almost exclusively inwards to my satrapies, and investing a lot of money in maintaining loyalty. </w:t>
      </w:r>
      <w:r w:rsidR="00687E85">
        <w:t xml:space="preserve">However, in a court system, it is immediately clear that in this period there was a need for ruthlessness when it comes to dealing </w:t>
      </w:r>
      <w:r w:rsidR="00687E85">
        <w:lastRenderedPageBreak/>
        <w:t>with other characters, as assassination attempts, and rebellions were happening everywhere</w:t>
      </w:r>
      <w:r w:rsidR="000D769D">
        <w:t xml:space="preserve"> in the wake of Alexander’s death</w:t>
      </w:r>
      <w:r w:rsidR="00687E85">
        <w:t>.</w:t>
      </w:r>
      <w:r w:rsidR="000D769D">
        <w:rPr>
          <w:rStyle w:val="FootnoteReference"/>
        </w:rPr>
        <w:footnoteReference w:id="7"/>
      </w:r>
      <w:r w:rsidR="00687E85">
        <w:t xml:space="preserve"> It was apparent that those with the money were almost exclusively in charge, and they were able to do almost anything they wanted, but also were the biggest targets for assassinations.</w:t>
      </w:r>
      <w:r w:rsidR="00D25530">
        <w:t xml:space="preserve"> During the main battle that Leonnatus fought, I learned the importance of troop quality, and numbers on a battlefield</w:t>
      </w:r>
      <w:r w:rsidR="000D769D">
        <w:t>, as with Alexander’s battles</w:t>
      </w:r>
      <w:r w:rsidR="00D25530">
        <w:t>.</w:t>
      </w:r>
      <w:r w:rsidR="00BB71B1">
        <w:rPr>
          <w:rStyle w:val="FootnoteReference"/>
        </w:rPr>
        <w:footnoteReference w:id="8"/>
      </w:r>
      <w:r w:rsidR="00D25530">
        <w:t xml:space="preserve"> The nature of moving armies and planning journeys has also added a great deal of scale to my understanding of the ancient world, and the importance of journey distances playing an important role in decisions, and court intrigue. The boundaries of Alexander’s conquests also, were far less secure than I had thought, as the Steppes, Armenians, Arabians, and Indians all presented their own unique troubles in dealing with them.</w:t>
      </w:r>
      <w:r w:rsidR="00BB71B1">
        <w:rPr>
          <w:rStyle w:val="FootnoteReference"/>
        </w:rPr>
        <w:footnoteReference w:id="9"/>
      </w:r>
      <w:r w:rsidR="00D25530">
        <w:t xml:space="preserve"> </w:t>
      </w:r>
    </w:p>
    <w:p w:rsidR="00D25530" w:rsidRDefault="00D25530" w:rsidP="00AE6D33">
      <w:pPr>
        <w:spacing w:line="480" w:lineRule="auto"/>
      </w:pPr>
      <w:r>
        <w:t xml:space="preserve">The most successful plan I believe was the conspiracy to kill the king, which only went awry because </w:t>
      </w:r>
      <w:r w:rsidR="008836C7">
        <w:t xml:space="preserve">of random events that I was unable to control. The worst plans were my initial attempts to control Europe, as it was an increasingly unimportant location with very few resources to utilise. In this period, with so many characters and random events, it was extremely difficult to put many plans into place effectively, as often most movements seemed to be responses rather than instigating </w:t>
      </w:r>
      <w:r w:rsidR="00264C9D">
        <w:t xml:space="preserve">actions. Overall, I have learned that individuals’ natural lusts for power—especially in the wake of the death of Alexander where his conquests were left without an </w:t>
      </w:r>
      <w:r w:rsidR="00D33300">
        <w:t xml:space="preserve">obvious </w:t>
      </w:r>
      <w:r w:rsidR="00264C9D">
        <w:t>heir—</w:t>
      </w:r>
      <w:r w:rsidR="002119C0">
        <w:t xml:space="preserve">can </w:t>
      </w:r>
      <w:r w:rsidR="00264C9D">
        <w:t xml:space="preserve">create a constant struggle to maintain control, and that closely </w:t>
      </w:r>
      <w:r w:rsidR="002119C0">
        <w:t>and carefully constructed politi</w:t>
      </w:r>
      <w:r w:rsidR="00264C9D">
        <w:t>cal systems in such an environment are more fragile than they may appear.</w:t>
      </w:r>
      <w:r w:rsidR="00D33300">
        <w:rPr>
          <w:rStyle w:val="FootnoteReference"/>
        </w:rPr>
        <w:footnoteReference w:id="10"/>
      </w:r>
      <w:r w:rsidR="00264C9D">
        <w:t xml:space="preserve"> </w:t>
      </w:r>
      <w:r w:rsidR="002119C0">
        <w:t>I have also learned not to accept gifts of duck.</w:t>
      </w:r>
    </w:p>
    <w:p w:rsidR="007C02D6" w:rsidRDefault="007C02D6" w:rsidP="00AE6D33">
      <w:pPr>
        <w:spacing w:line="480" w:lineRule="auto"/>
      </w:pPr>
    </w:p>
    <w:p w:rsidR="007C02D6" w:rsidRDefault="007C02D6" w:rsidP="00AE6D33">
      <w:pPr>
        <w:spacing w:line="480" w:lineRule="auto"/>
      </w:pPr>
    </w:p>
    <w:p w:rsidR="00AE6D33" w:rsidRDefault="00AE6D33" w:rsidP="00AE6D33">
      <w:pPr>
        <w:spacing w:line="480" w:lineRule="auto"/>
      </w:pPr>
    </w:p>
    <w:p w:rsidR="00D33300" w:rsidRDefault="00D33300" w:rsidP="00AE6D33">
      <w:pPr>
        <w:spacing w:line="480" w:lineRule="auto"/>
        <w:rPr>
          <w:u w:val="single"/>
        </w:rPr>
      </w:pPr>
      <w:r w:rsidRPr="00D33300">
        <w:rPr>
          <w:u w:val="single"/>
        </w:rPr>
        <w:lastRenderedPageBreak/>
        <w:t>Bibliography</w:t>
      </w:r>
    </w:p>
    <w:p w:rsidR="00D33300" w:rsidRDefault="00D33300" w:rsidP="00AE6D33">
      <w:pPr>
        <w:spacing w:line="480" w:lineRule="auto"/>
        <w:rPr>
          <w:u w:val="single"/>
        </w:rPr>
      </w:pPr>
      <w:r>
        <w:rPr>
          <w:u w:val="single"/>
        </w:rPr>
        <w:t>Ancient Sources</w:t>
      </w:r>
      <w:bookmarkStart w:id="0" w:name="_GoBack"/>
      <w:bookmarkEnd w:id="0"/>
    </w:p>
    <w:p w:rsidR="00D33300" w:rsidRPr="00D33300" w:rsidRDefault="00D33300" w:rsidP="00AE6D33">
      <w:pPr>
        <w:spacing w:line="480" w:lineRule="auto"/>
      </w:pPr>
      <w:proofErr w:type="spellStart"/>
      <w:r>
        <w:t>Arrian</w:t>
      </w:r>
      <w:proofErr w:type="spellEnd"/>
      <w:r>
        <w:t xml:space="preserve">, </w:t>
      </w:r>
      <w:r w:rsidRPr="00D33300">
        <w:rPr>
          <w:i/>
        </w:rPr>
        <w:t>Anabasis</w:t>
      </w:r>
      <w:r>
        <w:t xml:space="preserve">. E.J. </w:t>
      </w:r>
      <w:proofErr w:type="spellStart"/>
      <w:r>
        <w:t>Chinnock</w:t>
      </w:r>
      <w:proofErr w:type="spellEnd"/>
      <w:r>
        <w:t xml:space="preserve"> (</w:t>
      </w:r>
      <w:proofErr w:type="gramStart"/>
      <w:r>
        <w:t>trans</w:t>
      </w:r>
      <w:proofErr w:type="gramEnd"/>
      <w:r>
        <w:t>.). 1884. London: Butler and Tanner.</w:t>
      </w:r>
    </w:p>
    <w:p w:rsidR="00D33300" w:rsidRDefault="00D33300" w:rsidP="00AE6D33">
      <w:pPr>
        <w:spacing w:line="480" w:lineRule="auto"/>
      </w:pPr>
      <w:proofErr w:type="spellStart"/>
      <w:r w:rsidRPr="00D33300">
        <w:t>Diodorus</w:t>
      </w:r>
      <w:proofErr w:type="spellEnd"/>
      <w:r w:rsidRPr="00D33300">
        <w:t xml:space="preserve"> </w:t>
      </w:r>
      <w:proofErr w:type="spellStart"/>
      <w:r w:rsidRPr="00D33300">
        <w:t>Siculus</w:t>
      </w:r>
      <w:proofErr w:type="spellEnd"/>
      <w:r>
        <w:t xml:space="preserve">, </w:t>
      </w:r>
      <w:r w:rsidRPr="00D33300">
        <w:rPr>
          <w:i/>
        </w:rPr>
        <w:t>Library</w:t>
      </w:r>
      <w:r>
        <w:t xml:space="preserve">. C.H. </w:t>
      </w:r>
      <w:proofErr w:type="spellStart"/>
      <w:r>
        <w:t>Oldfather</w:t>
      </w:r>
      <w:proofErr w:type="spellEnd"/>
      <w:r>
        <w:t xml:space="preserve"> (</w:t>
      </w:r>
      <w:proofErr w:type="gramStart"/>
      <w:r>
        <w:t>trans</w:t>
      </w:r>
      <w:proofErr w:type="gramEnd"/>
      <w:r>
        <w:t xml:space="preserve">.). 1989. London: William Heinemann Ltd. </w:t>
      </w:r>
    </w:p>
    <w:p w:rsidR="007C02D6" w:rsidRPr="007C02D6" w:rsidRDefault="007C02D6" w:rsidP="00AE6D33">
      <w:pPr>
        <w:spacing w:line="480" w:lineRule="auto"/>
      </w:pPr>
      <w:r>
        <w:t xml:space="preserve">Pausanias, </w:t>
      </w:r>
      <w:r>
        <w:rPr>
          <w:i/>
        </w:rPr>
        <w:t>Description of Greece.</w:t>
      </w:r>
      <w:r>
        <w:t xml:space="preserve"> W.H.S Jones and H.A. </w:t>
      </w:r>
      <w:proofErr w:type="spellStart"/>
      <w:r>
        <w:t>Ormerod</w:t>
      </w:r>
      <w:proofErr w:type="spellEnd"/>
      <w:r>
        <w:t xml:space="preserve"> (</w:t>
      </w:r>
      <w:proofErr w:type="gramStart"/>
      <w:r>
        <w:t>trans</w:t>
      </w:r>
      <w:proofErr w:type="gramEnd"/>
      <w:r>
        <w:t>.). 1918. London: William Heinemann Ltd.</w:t>
      </w:r>
    </w:p>
    <w:p w:rsidR="00D33300" w:rsidRDefault="00D33300" w:rsidP="00AE6D33">
      <w:pPr>
        <w:spacing w:line="480" w:lineRule="auto"/>
      </w:pPr>
      <w:r>
        <w:t xml:space="preserve">Plutarch, </w:t>
      </w:r>
      <w:r w:rsidRPr="00D33300">
        <w:rPr>
          <w:i/>
        </w:rPr>
        <w:t>Alexander.</w:t>
      </w:r>
      <w:r>
        <w:rPr>
          <w:i/>
        </w:rPr>
        <w:t xml:space="preserve"> </w:t>
      </w:r>
      <w:r>
        <w:t>B. Perrin (</w:t>
      </w:r>
      <w:proofErr w:type="gramStart"/>
      <w:r>
        <w:t>trans</w:t>
      </w:r>
      <w:proofErr w:type="gramEnd"/>
      <w:r>
        <w:t>.). 1919. London: William Heinemann Ltd.</w:t>
      </w:r>
    </w:p>
    <w:p w:rsidR="00D33300" w:rsidRDefault="00D33300" w:rsidP="00AE6D33">
      <w:pPr>
        <w:spacing w:line="480" w:lineRule="auto"/>
      </w:pPr>
      <w:r>
        <w:t xml:space="preserve">Strabo, </w:t>
      </w:r>
      <w:r w:rsidRPr="00D33300">
        <w:rPr>
          <w:i/>
        </w:rPr>
        <w:t>Geography.</w:t>
      </w:r>
      <w:r>
        <w:t xml:space="preserve"> H.C. Hamilton and W. Falconer (</w:t>
      </w:r>
      <w:proofErr w:type="gramStart"/>
      <w:r>
        <w:t>trans</w:t>
      </w:r>
      <w:proofErr w:type="gramEnd"/>
      <w:r>
        <w:t xml:space="preserve">.). 1903. London: George Bell &amp; Sons. </w:t>
      </w:r>
    </w:p>
    <w:p w:rsidR="007C02D6" w:rsidRPr="007C02D6" w:rsidRDefault="007C02D6" w:rsidP="00AE6D33">
      <w:pPr>
        <w:spacing w:line="480" w:lineRule="auto"/>
      </w:pPr>
      <w:r>
        <w:t xml:space="preserve">Xenophon, </w:t>
      </w:r>
      <w:r>
        <w:rPr>
          <w:i/>
        </w:rPr>
        <w:t xml:space="preserve">Hellenica. </w:t>
      </w:r>
      <w:r>
        <w:t xml:space="preserve">C.L. </w:t>
      </w:r>
      <w:proofErr w:type="spellStart"/>
      <w:r>
        <w:t>Brownson</w:t>
      </w:r>
      <w:proofErr w:type="spellEnd"/>
      <w:r>
        <w:t xml:space="preserve"> (trans.).1921. London: William Heinemann Ltd.</w:t>
      </w:r>
    </w:p>
    <w:p w:rsidR="00D33300" w:rsidRPr="00D33300" w:rsidRDefault="00D33300" w:rsidP="00AE6D33">
      <w:pPr>
        <w:spacing w:line="480" w:lineRule="auto"/>
        <w:rPr>
          <w:u w:val="single"/>
        </w:rPr>
      </w:pPr>
      <w:r>
        <w:rPr>
          <w:u w:val="single"/>
        </w:rPr>
        <w:t>Modern Scholarship</w:t>
      </w:r>
    </w:p>
    <w:p w:rsidR="00AE6D33" w:rsidRPr="00AE6D33" w:rsidRDefault="00AE6D33" w:rsidP="00AE6D33">
      <w:pPr>
        <w:spacing w:line="480" w:lineRule="auto"/>
      </w:pPr>
      <w:proofErr w:type="spellStart"/>
      <w:r w:rsidRPr="00AE6D33">
        <w:t>Alcock</w:t>
      </w:r>
      <w:proofErr w:type="spellEnd"/>
      <w:r w:rsidRPr="00AE6D33">
        <w:t xml:space="preserve">, S.E., Gates, J.E., and </w:t>
      </w:r>
      <w:proofErr w:type="spellStart"/>
      <w:r w:rsidRPr="00AE6D33">
        <w:t>Rempel</w:t>
      </w:r>
      <w:proofErr w:type="spellEnd"/>
      <w:r w:rsidRPr="00AE6D33">
        <w:t>, J.E. 2005. ‘Reading the Landscape: Survey Archaeology and the</w:t>
      </w:r>
    </w:p>
    <w:p w:rsidR="00AE6D33" w:rsidRPr="00AE6D33" w:rsidRDefault="00AE6D33" w:rsidP="00AE6D33">
      <w:pPr>
        <w:spacing w:line="480" w:lineRule="auto"/>
      </w:pPr>
      <w:r w:rsidRPr="00AE6D33">
        <w:t xml:space="preserve">Hellenistic </w:t>
      </w:r>
      <w:proofErr w:type="spellStart"/>
      <w:r w:rsidRPr="00AE6D33">
        <w:t>Oikoumene</w:t>
      </w:r>
      <w:proofErr w:type="spellEnd"/>
      <w:r w:rsidRPr="00AE6D33">
        <w:t xml:space="preserve">’, in A. </w:t>
      </w:r>
      <w:proofErr w:type="spellStart"/>
      <w:r w:rsidRPr="00AE6D33">
        <w:t>Erksine</w:t>
      </w:r>
      <w:proofErr w:type="spellEnd"/>
      <w:r w:rsidRPr="00AE6D33">
        <w:t xml:space="preserve"> (ed.), </w:t>
      </w:r>
      <w:proofErr w:type="gramStart"/>
      <w:r w:rsidRPr="00AE6D33">
        <w:t>A</w:t>
      </w:r>
      <w:proofErr w:type="gramEnd"/>
      <w:r w:rsidRPr="00AE6D33">
        <w:t xml:space="preserve"> Companion to the Hellenistic World. Oxford: Blackwell</w:t>
      </w:r>
    </w:p>
    <w:p w:rsidR="00AE6D33" w:rsidRDefault="00AE6D33" w:rsidP="00AE6D33">
      <w:pPr>
        <w:spacing w:line="480" w:lineRule="auto"/>
      </w:pPr>
      <w:r w:rsidRPr="00AE6D33">
        <w:t>Publishing Ltd. 354-372.</w:t>
      </w:r>
    </w:p>
    <w:p w:rsidR="00AE6D33" w:rsidRPr="00AE6D33" w:rsidRDefault="00AE6D33" w:rsidP="00AE6D33">
      <w:pPr>
        <w:spacing w:line="480" w:lineRule="auto"/>
      </w:pPr>
      <w:r w:rsidRPr="00AE6D33">
        <w:t>Worthington, I. 2003. Alexander the Great. London: Routledge.</w:t>
      </w:r>
    </w:p>
    <w:p w:rsidR="00D33300" w:rsidRDefault="00D33300"/>
    <w:sectPr w:rsidR="00D333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C9C" w:rsidRDefault="007A3C9C" w:rsidP="007262CE">
      <w:pPr>
        <w:spacing w:after="0" w:line="240" w:lineRule="auto"/>
      </w:pPr>
      <w:r>
        <w:separator/>
      </w:r>
    </w:p>
  </w:endnote>
  <w:endnote w:type="continuationSeparator" w:id="0">
    <w:p w:rsidR="007A3C9C" w:rsidRDefault="007A3C9C" w:rsidP="00726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C9C" w:rsidRDefault="007A3C9C" w:rsidP="007262CE">
      <w:pPr>
        <w:spacing w:after="0" w:line="240" w:lineRule="auto"/>
      </w:pPr>
      <w:r>
        <w:separator/>
      </w:r>
    </w:p>
  </w:footnote>
  <w:footnote w:type="continuationSeparator" w:id="0">
    <w:p w:rsidR="007A3C9C" w:rsidRDefault="007A3C9C" w:rsidP="007262CE">
      <w:pPr>
        <w:spacing w:after="0" w:line="240" w:lineRule="auto"/>
      </w:pPr>
      <w:r>
        <w:continuationSeparator/>
      </w:r>
    </w:p>
  </w:footnote>
  <w:footnote w:id="1">
    <w:p w:rsidR="007262CE" w:rsidRDefault="007262CE">
      <w:pPr>
        <w:pStyle w:val="FootnoteText"/>
      </w:pPr>
      <w:r>
        <w:rPr>
          <w:rStyle w:val="FootnoteReference"/>
        </w:rPr>
        <w:footnoteRef/>
      </w:r>
      <w:r>
        <w:t xml:space="preserve"> Arr. </w:t>
      </w:r>
      <w:r w:rsidRPr="00573779">
        <w:rPr>
          <w:i/>
        </w:rPr>
        <w:t>Anab</w:t>
      </w:r>
      <w:r>
        <w:t>. 3.6, 2.7; Worthington 2003: 194</w:t>
      </w:r>
    </w:p>
  </w:footnote>
  <w:footnote w:id="2">
    <w:p w:rsidR="007262CE" w:rsidRDefault="007262CE">
      <w:pPr>
        <w:pStyle w:val="FootnoteText"/>
      </w:pPr>
      <w:r>
        <w:rPr>
          <w:rStyle w:val="FootnoteReference"/>
        </w:rPr>
        <w:footnoteRef/>
      </w:r>
      <w:r>
        <w:t xml:space="preserve"> </w:t>
      </w:r>
      <w:proofErr w:type="spellStart"/>
      <w:r>
        <w:t>Diod</w:t>
      </w:r>
      <w:proofErr w:type="spellEnd"/>
      <w:r>
        <w:t>. 17.117</w:t>
      </w:r>
    </w:p>
  </w:footnote>
  <w:footnote w:id="3">
    <w:p w:rsidR="007262CE" w:rsidRDefault="007262CE">
      <w:pPr>
        <w:pStyle w:val="FootnoteText"/>
      </w:pPr>
      <w:r>
        <w:rPr>
          <w:rStyle w:val="FootnoteReference"/>
        </w:rPr>
        <w:footnoteRef/>
      </w:r>
      <w:r>
        <w:t xml:space="preserve"> </w:t>
      </w:r>
      <w:proofErr w:type="spellStart"/>
      <w:r>
        <w:t>Diod</w:t>
      </w:r>
      <w:proofErr w:type="spellEnd"/>
      <w:r>
        <w:t>. 18.9-10</w:t>
      </w:r>
    </w:p>
  </w:footnote>
  <w:footnote w:id="4">
    <w:p w:rsidR="00573779" w:rsidRDefault="00573779">
      <w:pPr>
        <w:pStyle w:val="FootnoteText"/>
      </w:pPr>
      <w:r>
        <w:rPr>
          <w:rStyle w:val="FootnoteReference"/>
        </w:rPr>
        <w:footnoteRef/>
      </w:r>
      <w:r>
        <w:t xml:space="preserve"> </w:t>
      </w:r>
      <w:proofErr w:type="spellStart"/>
      <w:r>
        <w:t>Diod</w:t>
      </w:r>
      <w:proofErr w:type="spellEnd"/>
      <w:r>
        <w:t>. 18.2</w:t>
      </w:r>
    </w:p>
  </w:footnote>
  <w:footnote w:id="5">
    <w:p w:rsidR="00573779" w:rsidRDefault="00573779">
      <w:pPr>
        <w:pStyle w:val="FootnoteText"/>
      </w:pPr>
      <w:r>
        <w:rPr>
          <w:rStyle w:val="FootnoteReference"/>
        </w:rPr>
        <w:footnoteRef/>
      </w:r>
      <w:r>
        <w:t xml:space="preserve"> Paus. 8.27.9; </w:t>
      </w:r>
      <w:proofErr w:type="spellStart"/>
      <w:r>
        <w:t>Diod</w:t>
      </w:r>
      <w:proofErr w:type="spellEnd"/>
      <w:r>
        <w:t xml:space="preserve">. 16:24; Xen. </w:t>
      </w:r>
      <w:r w:rsidRPr="00573779">
        <w:rPr>
          <w:i/>
        </w:rPr>
        <w:t>Hell</w:t>
      </w:r>
      <w:r>
        <w:t xml:space="preserve">. 4.8.27; </w:t>
      </w:r>
      <w:proofErr w:type="spellStart"/>
      <w:r>
        <w:t>Alcock</w:t>
      </w:r>
      <w:proofErr w:type="spellEnd"/>
      <w:r>
        <w:t xml:space="preserve">, Gates, and </w:t>
      </w:r>
      <w:proofErr w:type="spellStart"/>
      <w:r>
        <w:t>Rempel</w:t>
      </w:r>
      <w:proofErr w:type="spellEnd"/>
      <w:r>
        <w:t xml:space="preserve"> 2005: 356</w:t>
      </w:r>
    </w:p>
  </w:footnote>
  <w:footnote w:id="6">
    <w:p w:rsidR="00573779" w:rsidRDefault="00573779">
      <w:pPr>
        <w:pStyle w:val="FootnoteText"/>
      </w:pPr>
      <w:r>
        <w:rPr>
          <w:rStyle w:val="FootnoteReference"/>
        </w:rPr>
        <w:footnoteRef/>
      </w:r>
      <w:r>
        <w:t xml:space="preserve"> </w:t>
      </w:r>
      <w:proofErr w:type="spellStart"/>
      <w:r>
        <w:t>Diod</w:t>
      </w:r>
      <w:proofErr w:type="spellEnd"/>
      <w:r>
        <w:t>. 17.108</w:t>
      </w:r>
    </w:p>
  </w:footnote>
  <w:footnote w:id="7">
    <w:p w:rsidR="000D769D" w:rsidRDefault="000D769D">
      <w:pPr>
        <w:pStyle w:val="FootnoteText"/>
      </w:pPr>
      <w:r>
        <w:rPr>
          <w:rStyle w:val="FootnoteReference"/>
        </w:rPr>
        <w:footnoteRef/>
      </w:r>
      <w:r>
        <w:t xml:space="preserve"> </w:t>
      </w:r>
      <w:proofErr w:type="spellStart"/>
      <w:r>
        <w:t>Diod</w:t>
      </w:r>
      <w:proofErr w:type="spellEnd"/>
      <w:r>
        <w:t>. 17.117</w:t>
      </w:r>
    </w:p>
  </w:footnote>
  <w:footnote w:id="8">
    <w:p w:rsidR="00BB71B1" w:rsidRDefault="00BB71B1">
      <w:pPr>
        <w:pStyle w:val="FootnoteText"/>
      </w:pPr>
      <w:r>
        <w:rPr>
          <w:rStyle w:val="FootnoteReference"/>
        </w:rPr>
        <w:footnoteRef/>
      </w:r>
      <w:r>
        <w:t xml:space="preserve"> </w:t>
      </w:r>
      <w:proofErr w:type="spellStart"/>
      <w:r>
        <w:t>Diod</w:t>
      </w:r>
      <w:proofErr w:type="spellEnd"/>
      <w:r>
        <w:t>. 17.53-57</w:t>
      </w:r>
    </w:p>
  </w:footnote>
  <w:footnote w:id="9">
    <w:p w:rsidR="00BB71B1" w:rsidRDefault="00BB71B1">
      <w:pPr>
        <w:pStyle w:val="FootnoteText"/>
      </w:pPr>
      <w:r>
        <w:rPr>
          <w:rStyle w:val="FootnoteReference"/>
        </w:rPr>
        <w:footnoteRef/>
      </w:r>
      <w:r>
        <w:t xml:space="preserve"> Arr. </w:t>
      </w:r>
      <w:proofErr w:type="spellStart"/>
      <w:r w:rsidRPr="00BB71B1">
        <w:rPr>
          <w:i/>
        </w:rPr>
        <w:t>Anab</w:t>
      </w:r>
      <w:proofErr w:type="spellEnd"/>
      <w:r w:rsidRPr="00BB71B1">
        <w:rPr>
          <w:i/>
        </w:rPr>
        <w:t>.</w:t>
      </w:r>
      <w:r>
        <w:t xml:space="preserve"> 7.19; </w:t>
      </w:r>
      <w:proofErr w:type="spellStart"/>
      <w:r>
        <w:t>Strab</w:t>
      </w:r>
      <w:proofErr w:type="spellEnd"/>
      <w:r>
        <w:t xml:space="preserve">. </w:t>
      </w:r>
      <w:r w:rsidRPr="00BB71B1">
        <w:rPr>
          <w:i/>
        </w:rPr>
        <w:t>Geo</w:t>
      </w:r>
      <w:r>
        <w:t>. 15.1</w:t>
      </w:r>
    </w:p>
  </w:footnote>
  <w:footnote w:id="10">
    <w:p w:rsidR="00D33300" w:rsidRDefault="00D33300">
      <w:pPr>
        <w:pStyle w:val="FootnoteText"/>
      </w:pPr>
      <w:r>
        <w:rPr>
          <w:rStyle w:val="FootnoteReference"/>
        </w:rPr>
        <w:footnoteRef/>
      </w:r>
      <w:r>
        <w:t xml:space="preserve"> </w:t>
      </w:r>
      <w:proofErr w:type="spellStart"/>
      <w:r>
        <w:t>Plut</w:t>
      </w:r>
      <w:proofErr w:type="spellEnd"/>
      <w:r>
        <w:t xml:space="preserve">. </w:t>
      </w:r>
      <w:r w:rsidRPr="00D33300">
        <w:rPr>
          <w:i/>
        </w:rPr>
        <w:t>Alex.</w:t>
      </w:r>
      <w:r>
        <w:t xml:space="preserve"> 76.4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D2F"/>
    <w:rsid w:val="000D769D"/>
    <w:rsid w:val="00142234"/>
    <w:rsid w:val="001F1B01"/>
    <w:rsid w:val="002119C0"/>
    <w:rsid w:val="00264C9D"/>
    <w:rsid w:val="002E7A57"/>
    <w:rsid w:val="004769C3"/>
    <w:rsid w:val="00567D67"/>
    <w:rsid w:val="00573779"/>
    <w:rsid w:val="00635C2A"/>
    <w:rsid w:val="00687E85"/>
    <w:rsid w:val="007262CE"/>
    <w:rsid w:val="007A3C9C"/>
    <w:rsid w:val="007C02D6"/>
    <w:rsid w:val="008836C7"/>
    <w:rsid w:val="00901140"/>
    <w:rsid w:val="00A8128C"/>
    <w:rsid w:val="00AE6D33"/>
    <w:rsid w:val="00B36451"/>
    <w:rsid w:val="00BB71B1"/>
    <w:rsid w:val="00D25530"/>
    <w:rsid w:val="00D33300"/>
    <w:rsid w:val="00D73D2F"/>
    <w:rsid w:val="00DC3814"/>
    <w:rsid w:val="00E06AF0"/>
    <w:rsid w:val="00E12B77"/>
    <w:rsid w:val="00E14290"/>
    <w:rsid w:val="00F22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082D4"/>
  <w15:chartTrackingRefBased/>
  <w15:docId w15:val="{C7DBFBDA-4F5E-4147-955E-1BEA0EA9C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262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62CE"/>
    <w:rPr>
      <w:sz w:val="20"/>
      <w:szCs w:val="20"/>
    </w:rPr>
  </w:style>
  <w:style w:type="character" w:styleId="FootnoteReference">
    <w:name w:val="footnote reference"/>
    <w:basedOn w:val="DefaultParagraphFont"/>
    <w:uiPriority w:val="99"/>
    <w:semiHidden/>
    <w:unhideWhenUsed/>
    <w:rsid w:val="007262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BB23A-7979-4B30-BC61-1C2E187DC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3</Pages>
  <Words>649</Words>
  <Characters>3701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Childs</dc:creator>
  <cp:keywords/>
  <dc:description/>
  <cp:lastModifiedBy>Callum Childs (1601053)</cp:lastModifiedBy>
  <cp:revision>4</cp:revision>
  <dcterms:created xsi:type="dcterms:W3CDTF">2018-11-15T15:39:00Z</dcterms:created>
  <dcterms:modified xsi:type="dcterms:W3CDTF">2018-11-16T23:16:00Z</dcterms:modified>
</cp:coreProperties>
</file>