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ADCA8" w14:textId="77777777" w:rsidR="005A4F1D" w:rsidRDefault="005A4F1D" w:rsidP="005A4F1D">
      <w:pPr>
        <w:jc w:val="center"/>
        <w:rPr>
          <w:rFonts w:ascii="Times New Roman" w:eastAsia="Times New Roman" w:hAnsi="Times New Roman" w:cs="Times New Roman"/>
          <w:b/>
          <w:sz w:val="32"/>
          <w:szCs w:val="32"/>
        </w:rPr>
      </w:pPr>
    </w:p>
    <w:p w14:paraId="57B01A22" w14:textId="77777777" w:rsidR="005A4F1D" w:rsidRDefault="005A4F1D" w:rsidP="005A4F1D">
      <w:pPr>
        <w:jc w:val="center"/>
        <w:rPr>
          <w:rFonts w:ascii="Times New Roman" w:eastAsia="Times New Roman" w:hAnsi="Times New Roman" w:cs="Times New Roman"/>
          <w:b/>
          <w:sz w:val="32"/>
          <w:szCs w:val="32"/>
        </w:rPr>
      </w:pPr>
    </w:p>
    <w:p w14:paraId="19E762FF" w14:textId="77777777" w:rsidR="005A4F1D" w:rsidRDefault="005A4F1D" w:rsidP="005A4F1D">
      <w:pPr>
        <w:jc w:val="center"/>
        <w:rPr>
          <w:rFonts w:ascii="Times New Roman" w:eastAsia="Times New Roman" w:hAnsi="Times New Roman" w:cs="Times New Roman"/>
          <w:b/>
          <w:sz w:val="32"/>
          <w:szCs w:val="32"/>
        </w:rPr>
      </w:pPr>
    </w:p>
    <w:p w14:paraId="5CCD7F8A" w14:textId="77777777" w:rsidR="005A4F1D" w:rsidRDefault="005A4F1D" w:rsidP="005A4F1D">
      <w:pPr>
        <w:jc w:val="center"/>
        <w:rPr>
          <w:rFonts w:ascii="Times New Roman" w:eastAsia="Times New Roman" w:hAnsi="Times New Roman" w:cs="Times New Roman"/>
          <w:b/>
          <w:sz w:val="32"/>
          <w:szCs w:val="32"/>
        </w:rPr>
      </w:pPr>
    </w:p>
    <w:p w14:paraId="52A2C618" w14:textId="77777777" w:rsidR="005A4F1D" w:rsidRDefault="005A4F1D" w:rsidP="005A4F1D">
      <w:pPr>
        <w:jc w:val="center"/>
        <w:rPr>
          <w:rFonts w:ascii="Times New Roman" w:eastAsia="Times New Roman" w:hAnsi="Times New Roman" w:cs="Times New Roman"/>
          <w:b/>
          <w:sz w:val="32"/>
          <w:szCs w:val="32"/>
        </w:rPr>
      </w:pPr>
    </w:p>
    <w:p w14:paraId="49967550" w14:textId="77777777" w:rsidR="005A4F1D" w:rsidRDefault="005A4F1D" w:rsidP="005A4F1D">
      <w:pPr>
        <w:jc w:val="center"/>
        <w:rPr>
          <w:rFonts w:ascii="Times New Roman" w:eastAsia="Times New Roman" w:hAnsi="Times New Roman" w:cs="Times New Roman"/>
          <w:b/>
          <w:sz w:val="32"/>
          <w:szCs w:val="32"/>
        </w:rPr>
      </w:pPr>
    </w:p>
    <w:p w14:paraId="2C1F5BCD" w14:textId="77777777" w:rsidR="005A4F1D" w:rsidRDefault="005A4F1D" w:rsidP="005A4F1D">
      <w:pPr>
        <w:jc w:val="center"/>
        <w:rPr>
          <w:rFonts w:ascii="Times New Roman" w:eastAsia="Times New Roman" w:hAnsi="Times New Roman" w:cs="Times New Roman"/>
          <w:b/>
          <w:sz w:val="32"/>
          <w:szCs w:val="32"/>
        </w:rPr>
      </w:pPr>
    </w:p>
    <w:p w14:paraId="4A1183DD" w14:textId="77777777" w:rsidR="005A4F1D" w:rsidRDefault="005A4F1D" w:rsidP="005A4F1D">
      <w:pPr>
        <w:jc w:val="center"/>
        <w:rPr>
          <w:rFonts w:ascii="Times New Roman" w:eastAsia="Times New Roman" w:hAnsi="Times New Roman" w:cs="Times New Roman"/>
          <w:b/>
          <w:sz w:val="32"/>
          <w:szCs w:val="32"/>
        </w:rPr>
      </w:pPr>
    </w:p>
    <w:p w14:paraId="1CFC9E90" w14:textId="77777777" w:rsidR="005A4F1D" w:rsidRDefault="005A4F1D" w:rsidP="005A4F1D">
      <w:pPr>
        <w:jc w:val="center"/>
        <w:rPr>
          <w:rFonts w:ascii="Times New Roman" w:eastAsia="Times New Roman" w:hAnsi="Times New Roman" w:cs="Times New Roman"/>
          <w:b/>
          <w:sz w:val="32"/>
          <w:szCs w:val="32"/>
        </w:rPr>
      </w:pPr>
    </w:p>
    <w:p w14:paraId="225BB5A8" w14:textId="77777777" w:rsidR="005A4F1D" w:rsidRDefault="005A4F1D" w:rsidP="005A4F1D">
      <w:pPr>
        <w:jc w:val="center"/>
        <w:rPr>
          <w:rFonts w:ascii="Times New Roman" w:eastAsia="Times New Roman" w:hAnsi="Times New Roman" w:cs="Times New Roman"/>
          <w:b/>
          <w:sz w:val="32"/>
          <w:szCs w:val="32"/>
        </w:rPr>
      </w:pPr>
    </w:p>
    <w:p w14:paraId="3354C27A" w14:textId="77777777" w:rsidR="005A4F1D" w:rsidRPr="005A4F1D" w:rsidRDefault="0036675F" w:rsidP="005A4F1D">
      <w:pPr>
        <w:spacing w:before="240" w:after="240" w:line="360" w:lineRule="auto"/>
        <w:jc w:val="center"/>
        <w:rPr>
          <w:rFonts w:ascii="Times New Roman" w:eastAsia="Times New Roman" w:hAnsi="Times New Roman" w:cs="Times New Roman"/>
          <w:b/>
          <w:sz w:val="32"/>
          <w:szCs w:val="32"/>
        </w:rPr>
      </w:pPr>
      <w:r w:rsidRPr="005A4F1D">
        <w:rPr>
          <w:rFonts w:ascii="Times New Roman" w:eastAsia="Times New Roman" w:hAnsi="Times New Roman" w:cs="Times New Roman"/>
          <w:b/>
          <w:sz w:val="32"/>
          <w:szCs w:val="32"/>
        </w:rPr>
        <w:t>LIABILITY BY OMISSION</w:t>
      </w:r>
    </w:p>
    <w:p w14:paraId="55B590FE" w14:textId="77777777" w:rsidR="005A4F1D" w:rsidRPr="005A4F1D" w:rsidRDefault="0036675F" w:rsidP="005A4F1D">
      <w:pPr>
        <w:spacing w:before="240" w:after="240" w:line="360" w:lineRule="auto"/>
        <w:jc w:val="center"/>
        <w:rPr>
          <w:rFonts w:ascii="Times New Roman" w:eastAsia="Times New Roman" w:hAnsi="Times New Roman" w:cs="Times New Roman"/>
          <w:b/>
          <w:sz w:val="28"/>
          <w:szCs w:val="28"/>
        </w:rPr>
      </w:pPr>
      <w:r w:rsidRPr="005A4F1D">
        <w:rPr>
          <w:rFonts w:ascii="Times New Roman" w:eastAsia="Times New Roman" w:hAnsi="Times New Roman" w:cs="Times New Roman"/>
          <w:b/>
          <w:sz w:val="28"/>
          <w:szCs w:val="28"/>
        </w:rPr>
        <w:t>Module: Criminal law – Assignment 1</w:t>
      </w:r>
    </w:p>
    <w:p w14:paraId="318855D6" w14:textId="77777777" w:rsidR="005A4F1D" w:rsidRDefault="0036675F" w:rsidP="005A4F1D">
      <w:pPr>
        <w:spacing w:before="240" w:after="240" w:line="360" w:lineRule="auto"/>
        <w:jc w:val="center"/>
        <w:rPr>
          <w:rFonts w:ascii="Times New Roman" w:eastAsia="Times New Roman" w:hAnsi="Times New Roman" w:cs="Times New Roman"/>
          <w:b/>
          <w:sz w:val="28"/>
          <w:szCs w:val="28"/>
        </w:rPr>
      </w:pPr>
      <w:r w:rsidRPr="005A4F1D">
        <w:rPr>
          <w:rFonts w:ascii="Times New Roman" w:eastAsia="Times New Roman" w:hAnsi="Times New Roman" w:cs="Times New Roman"/>
          <w:b/>
          <w:sz w:val="28"/>
          <w:szCs w:val="28"/>
        </w:rPr>
        <w:t>Module code: BMLW4005/BMPL4009</w:t>
      </w:r>
    </w:p>
    <w:p w14:paraId="5651CC5B" w14:textId="0220EDBF" w:rsidR="005A4F1D" w:rsidRDefault="0036675F" w:rsidP="005A4F1D">
      <w:pPr>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w:t>
      </w:r>
      <w:r w:rsidR="00FC5E01">
        <w:rPr>
          <w:rFonts w:ascii="Times New Roman" w:eastAsia="Times New Roman" w:hAnsi="Times New Roman" w:cs="Times New Roman"/>
          <w:b/>
          <w:sz w:val="28"/>
          <w:szCs w:val="28"/>
        </w:rPr>
        <w:t>Anca Leria Abraham</w:t>
      </w:r>
    </w:p>
    <w:p w14:paraId="1B19A231" w14:textId="574B570B" w:rsidR="005A4F1D" w:rsidRDefault="0036675F" w:rsidP="005A4F1D">
      <w:pPr>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w:t>
      </w:r>
      <w:r w:rsidR="00FC5E01">
        <w:rPr>
          <w:rFonts w:ascii="Times New Roman" w:eastAsia="Times New Roman" w:hAnsi="Times New Roman" w:cs="Times New Roman"/>
          <w:b/>
          <w:sz w:val="28"/>
          <w:szCs w:val="28"/>
        </w:rPr>
        <w:t>2219548</w:t>
      </w:r>
    </w:p>
    <w:p w14:paraId="416FF131" w14:textId="77777777" w:rsidR="008D1264" w:rsidRDefault="0036675F" w:rsidP="005A4F1D">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Word count: 16</w:t>
      </w:r>
      <w:r w:rsidR="00E03A9B">
        <w:rPr>
          <w:rFonts w:ascii="Times New Roman" w:eastAsia="Times New Roman" w:hAnsi="Times New Roman" w:cs="Times New Roman"/>
          <w:b/>
          <w:sz w:val="28"/>
          <w:szCs w:val="28"/>
        </w:rPr>
        <w:t>05</w:t>
      </w:r>
      <w:r>
        <w:rPr>
          <w:rFonts w:ascii="Times New Roman" w:eastAsia="Times New Roman" w:hAnsi="Times New Roman" w:cs="Times New Roman"/>
          <w:b/>
          <w:sz w:val="24"/>
          <w:szCs w:val="24"/>
        </w:rPr>
        <w:br w:type="page"/>
      </w:r>
    </w:p>
    <w:sdt>
      <w:sdtPr>
        <w:rPr>
          <w:rFonts w:ascii="Arial" w:eastAsia="Arial" w:hAnsi="Arial" w:cs="Arial"/>
          <w:b/>
          <w:bCs/>
          <w:color w:val="000000" w:themeColor="text1"/>
          <w:sz w:val="36"/>
          <w:szCs w:val="36"/>
          <w:lang w:val="en-GB" w:eastAsia="en-IN"/>
        </w:rPr>
        <w:id w:val="687345238"/>
        <w:docPartObj>
          <w:docPartGallery w:val="Table of Contents"/>
          <w:docPartUnique/>
        </w:docPartObj>
      </w:sdtPr>
      <w:sdtEndPr>
        <w:rPr>
          <w:noProof/>
          <w:color w:val="auto"/>
          <w:sz w:val="22"/>
          <w:szCs w:val="22"/>
        </w:rPr>
      </w:sdtEndPr>
      <w:sdtContent>
        <w:p w14:paraId="7E84B1E6" w14:textId="77777777" w:rsidR="008D1264" w:rsidRPr="008D1264" w:rsidRDefault="0036675F" w:rsidP="008D1264">
          <w:pPr>
            <w:pStyle w:val="TOCHeading"/>
            <w:jc w:val="center"/>
            <w:rPr>
              <w:rFonts w:ascii="Times New Roman" w:hAnsi="Times New Roman" w:cs="Times New Roman"/>
              <w:b/>
              <w:bCs/>
              <w:color w:val="000000" w:themeColor="text1"/>
              <w:sz w:val="28"/>
              <w:szCs w:val="28"/>
            </w:rPr>
          </w:pPr>
          <w:r w:rsidRPr="008D1264">
            <w:rPr>
              <w:rFonts w:ascii="Times New Roman" w:hAnsi="Times New Roman" w:cs="Times New Roman"/>
              <w:b/>
              <w:bCs/>
              <w:color w:val="000000" w:themeColor="text1"/>
              <w:sz w:val="28"/>
              <w:szCs w:val="28"/>
            </w:rPr>
            <w:t>Table of Contents</w:t>
          </w:r>
        </w:p>
        <w:p w14:paraId="43A9C13C" w14:textId="77777777" w:rsidR="008D1264" w:rsidRPr="008D1264" w:rsidRDefault="001738B3" w:rsidP="00C95CCE">
          <w:pPr>
            <w:pStyle w:val="TOC1"/>
            <w:tabs>
              <w:tab w:val="right" w:leader="dot" w:pos="9019"/>
            </w:tabs>
            <w:spacing w:before="240" w:line="360" w:lineRule="auto"/>
            <w:jc w:val="center"/>
            <w:rPr>
              <w:rFonts w:ascii="Times New Roman" w:hAnsi="Times New Roman" w:cs="Times New Roman"/>
              <w:noProof/>
              <w:sz w:val="24"/>
              <w:szCs w:val="24"/>
            </w:rPr>
          </w:pPr>
          <w:r w:rsidRPr="008D1264">
            <w:rPr>
              <w:rFonts w:ascii="Times New Roman" w:hAnsi="Times New Roman" w:cs="Times New Roman"/>
              <w:sz w:val="24"/>
              <w:szCs w:val="24"/>
            </w:rPr>
            <w:fldChar w:fldCharType="begin"/>
          </w:r>
          <w:r w:rsidR="0036675F" w:rsidRPr="008D1264">
            <w:rPr>
              <w:rFonts w:ascii="Times New Roman" w:hAnsi="Times New Roman" w:cs="Times New Roman"/>
              <w:sz w:val="24"/>
              <w:szCs w:val="24"/>
            </w:rPr>
            <w:instrText xml:space="preserve"> TOC \o "1-3" \h \z \u </w:instrText>
          </w:r>
          <w:r w:rsidRPr="008D1264">
            <w:rPr>
              <w:rFonts w:ascii="Times New Roman" w:hAnsi="Times New Roman" w:cs="Times New Roman"/>
              <w:sz w:val="24"/>
              <w:szCs w:val="24"/>
            </w:rPr>
            <w:fldChar w:fldCharType="separate"/>
          </w:r>
          <w:hyperlink w:anchor="_Toc118375555" w:history="1">
            <w:r w:rsidR="0036675F" w:rsidRPr="008D1264">
              <w:rPr>
                <w:rStyle w:val="Hyperlink"/>
                <w:rFonts w:ascii="Times New Roman" w:hAnsi="Times New Roman" w:cs="Times New Roman"/>
                <w:noProof/>
                <w:sz w:val="24"/>
                <w:szCs w:val="24"/>
              </w:rPr>
              <w:t>Introduction</w:t>
            </w:r>
            <w:r w:rsidR="0036675F" w:rsidRPr="008D1264">
              <w:rPr>
                <w:rFonts w:ascii="Times New Roman" w:hAnsi="Times New Roman" w:cs="Times New Roman"/>
                <w:noProof/>
                <w:webHidden/>
                <w:sz w:val="24"/>
                <w:szCs w:val="24"/>
              </w:rPr>
              <w:tab/>
            </w:r>
            <w:r w:rsidRPr="008D1264">
              <w:rPr>
                <w:rFonts w:ascii="Times New Roman" w:hAnsi="Times New Roman" w:cs="Times New Roman"/>
                <w:noProof/>
                <w:webHidden/>
                <w:sz w:val="24"/>
                <w:szCs w:val="24"/>
              </w:rPr>
              <w:fldChar w:fldCharType="begin"/>
            </w:r>
            <w:r w:rsidR="0036675F" w:rsidRPr="008D1264">
              <w:rPr>
                <w:rFonts w:ascii="Times New Roman" w:hAnsi="Times New Roman" w:cs="Times New Roman"/>
                <w:noProof/>
                <w:webHidden/>
                <w:sz w:val="24"/>
                <w:szCs w:val="24"/>
              </w:rPr>
              <w:instrText xml:space="preserve"> PAGEREF _Toc118375555 \h </w:instrText>
            </w:r>
            <w:r w:rsidRPr="008D1264">
              <w:rPr>
                <w:rFonts w:ascii="Times New Roman" w:hAnsi="Times New Roman" w:cs="Times New Roman"/>
                <w:noProof/>
                <w:webHidden/>
                <w:sz w:val="24"/>
                <w:szCs w:val="24"/>
              </w:rPr>
            </w:r>
            <w:r w:rsidRPr="008D1264">
              <w:rPr>
                <w:rFonts w:ascii="Times New Roman" w:hAnsi="Times New Roman" w:cs="Times New Roman"/>
                <w:noProof/>
                <w:webHidden/>
                <w:sz w:val="24"/>
                <w:szCs w:val="24"/>
              </w:rPr>
              <w:fldChar w:fldCharType="separate"/>
            </w:r>
            <w:r w:rsidR="0036675F" w:rsidRPr="008D1264">
              <w:rPr>
                <w:rFonts w:ascii="Times New Roman" w:hAnsi="Times New Roman" w:cs="Times New Roman"/>
                <w:noProof/>
                <w:webHidden/>
                <w:sz w:val="24"/>
                <w:szCs w:val="24"/>
              </w:rPr>
              <w:t>3</w:t>
            </w:r>
            <w:r w:rsidRPr="008D1264">
              <w:rPr>
                <w:rFonts w:ascii="Times New Roman" w:hAnsi="Times New Roman" w:cs="Times New Roman"/>
                <w:noProof/>
                <w:webHidden/>
                <w:sz w:val="24"/>
                <w:szCs w:val="24"/>
              </w:rPr>
              <w:fldChar w:fldCharType="end"/>
            </w:r>
          </w:hyperlink>
        </w:p>
        <w:p w14:paraId="6266FE3A" w14:textId="77777777" w:rsidR="008D1264" w:rsidRPr="008D1264" w:rsidRDefault="00000000" w:rsidP="00C95CCE">
          <w:pPr>
            <w:pStyle w:val="TOC1"/>
            <w:tabs>
              <w:tab w:val="right" w:leader="dot" w:pos="9019"/>
            </w:tabs>
            <w:spacing w:before="240" w:line="360" w:lineRule="auto"/>
            <w:jc w:val="center"/>
            <w:rPr>
              <w:rFonts w:ascii="Times New Roman" w:hAnsi="Times New Roman" w:cs="Times New Roman"/>
              <w:noProof/>
              <w:sz w:val="24"/>
              <w:szCs w:val="24"/>
            </w:rPr>
          </w:pPr>
          <w:hyperlink w:anchor="_Toc118375556" w:history="1">
            <w:r w:rsidR="0036675F" w:rsidRPr="008D1264">
              <w:rPr>
                <w:rStyle w:val="Hyperlink"/>
                <w:rFonts w:ascii="Times New Roman" w:hAnsi="Times New Roman" w:cs="Times New Roman"/>
                <w:noProof/>
                <w:sz w:val="24"/>
                <w:szCs w:val="24"/>
              </w:rPr>
              <w:t>Discussion</w:t>
            </w:r>
            <w:r w:rsidR="0036675F" w:rsidRPr="008D1264">
              <w:rPr>
                <w:rFonts w:ascii="Times New Roman" w:hAnsi="Times New Roman" w:cs="Times New Roman"/>
                <w:noProof/>
                <w:webHidden/>
                <w:sz w:val="24"/>
                <w:szCs w:val="24"/>
              </w:rPr>
              <w:tab/>
            </w:r>
            <w:r w:rsidR="001738B3" w:rsidRPr="008D1264">
              <w:rPr>
                <w:rFonts w:ascii="Times New Roman" w:hAnsi="Times New Roman" w:cs="Times New Roman"/>
                <w:noProof/>
                <w:webHidden/>
                <w:sz w:val="24"/>
                <w:szCs w:val="24"/>
              </w:rPr>
              <w:fldChar w:fldCharType="begin"/>
            </w:r>
            <w:r w:rsidR="0036675F" w:rsidRPr="008D1264">
              <w:rPr>
                <w:rFonts w:ascii="Times New Roman" w:hAnsi="Times New Roman" w:cs="Times New Roman"/>
                <w:noProof/>
                <w:webHidden/>
                <w:sz w:val="24"/>
                <w:szCs w:val="24"/>
              </w:rPr>
              <w:instrText xml:space="preserve"> PAGEREF _Toc118375556 \h </w:instrText>
            </w:r>
            <w:r w:rsidR="001738B3" w:rsidRPr="008D1264">
              <w:rPr>
                <w:rFonts w:ascii="Times New Roman" w:hAnsi="Times New Roman" w:cs="Times New Roman"/>
                <w:noProof/>
                <w:webHidden/>
                <w:sz w:val="24"/>
                <w:szCs w:val="24"/>
              </w:rPr>
            </w:r>
            <w:r w:rsidR="001738B3" w:rsidRPr="008D1264">
              <w:rPr>
                <w:rFonts w:ascii="Times New Roman" w:hAnsi="Times New Roman" w:cs="Times New Roman"/>
                <w:noProof/>
                <w:webHidden/>
                <w:sz w:val="24"/>
                <w:szCs w:val="24"/>
              </w:rPr>
              <w:fldChar w:fldCharType="separate"/>
            </w:r>
            <w:r w:rsidR="0036675F" w:rsidRPr="008D1264">
              <w:rPr>
                <w:rFonts w:ascii="Times New Roman" w:hAnsi="Times New Roman" w:cs="Times New Roman"/>
                <w:noProof/>
                <w:webHidden/>
                <w:sz w:val="24"/>
                <w:szCs w:val="24"/>
              </w:rPr>
              <w:t>3</w:t>
            </w:r>
            <w:r w:rsidR="001738B3" w:rsidRPr="008D1264">
              <w:rPr>
                <w:rFonts w:ascii="Times New Roman" w:hAnsi="Times New Roman" w:cs="Times New Roman"/>
                <w:noProof/>
                <w:webHidden/>
                <w:sz w:val="24"/>
                <w:szCs w:val="24"/>
              </w:rPr>
              <w:fldChar w:fldCharType="end"/>
            </w:r>
          </w:hyperlink>
        </w:p>
        <w:p w14:paraId="2433D256" w14:textId="77777777" w:rsidR="008D1264" w:rsidRPr="008D1264" w:rsidRDefault="00000000" w:rsidP="00C95CCE">
          <w:pPr>
            <w:pStyle w:val="TOC1"/>
            <w:tabs>
              <w:tab w:val="right" w:leader="dot" w:pos="9019"/>
            </w:tabs>
            <w:spacing w:before="240" w:line="360" w:lineRule="auto"/>
            <w:jc w:val="center"/>
            <w:rPr>
              <w:rFonts w:ascii="Times New Roman" w:hAnsi="Times New Roman" w:cs="Times New Roman"/>
              <w:noProof/>
              <w:sz w:val="24"/>
              <w:szCs w:val="24"/>
            </w:rPr>
          </w:pPr>
          <w:hyperlink w:anchor="_Toc118375557" w:history="1">
            <w:r w:rsidR="0036675F" w:rsidRPr="008D1264">
              <w:rPr>
                <w:rStyle w:val="Hyperlink"/>
                <w:rFonts w:ascii="Times New Roman" w:hAnsi="Times New Roman" w:cs="Times New Roman"/>
                <w:noProof/>
                <w:sz w:val="24"/>
                <w:szCs w:val="24"/>
              </w:rPr>
              <w:t>Conclusion</w:t>
            </w:r>
            <w:r w:rsidR="0036675F" w:rsidRPr="008D1264">
              <w:rPr>
                <w:rFonts w:ascii="Times New Roman" w:hAnsi="Times New Roman" w:cs="Times New Roman"/>
                <w:noProof/>
                <w:webHidden/>
                <w:sz w:val="24"/>
                <w:szCs w:val="24"/>
              </w:rPr>
              <w:tab/>
            </w:r>
            <w:r w:rsidR="001738B3" w:rsidRPr="008D1264">
              <w:rPr>
                <w:rFonts w:ascii="Times New Roman" w:hAnsi="Times New Roman" w:cs="Times New Roman"/>
                <w:noProof/>
                <w:webHidden/>
                <w:sz w:val="24"/>
                <w:szCs w:val="24"/>
              </w:rPr>
              <w:fldChar w:fldCharType="begin"/>
            </w:r>
            <w:r w:rsidR="0036675F" w:rsidRPr="008D1264">
              <w:rPr>
                <w:rFonts w:ascii="Times New Roman" w:hAnsi="Times New Roman" w:cs="Times New Roman"/>
                <w:noProof/>
                <w:webHidden/>
                <w:sz w:val="24"/>
                <w:szCs w:val="24"/>
              </w:rPr>
              <w:instrText xml:space="preserve"> PAGEREF _Toc118375557 \h </w:instrText>
            </w:r>
            <w:r w:rsidR="001738B3" w:rsidRPr="008D1264">
              <w:rPr>
                <w:rFonts w:ascii="Times New Roman" w:hAnsi="Times New Roman" w:cs="Times New Roman"/>
                <w:noProof/>
                <w:webHidden/>
                <w:sz w:val="24"/>
                <w:szCs w:val="24"/>
              </w:rPr>
            </w:r>
            <w:r w:rsidR="001738B3" w:rsidRPr="008D1264">
              <w:rPr>
                <w:rFonts w:ascii="Times New Roman" w:hAnsi="Times New Roman" w:cs="Times New Roman"/>
                <w:noProof/>
                <w:webHidden/>
                <w:sz w:val="24"/>
                <w:szCs w:val="24"/>
              </w:rPr>
              <w:fldChar w:fldCharType="separate"/>
            </w:r>
            <w:r w:rsidR="0036675F" w:rsidRPr="008D1264">
              <w:rPr>
                <w:rFonts w:ascii="Times New Roman" w:hAnsi="Times New Roman" w:cs="Times New Roman"/>
                <w:noProof/>
                <w:webHidden/>
                <w:sz w:val="24"/>
                <w:szCs w:val="24"/>
              </w:rPr>
              <w:t>6</w:t>
            </w:r>
            <w:r w:rsidR="001738B3" w:rsidRPr="008D1264">
              <w:rPr>
                <w:rFonts w:ascii="Times New Roman" w:hAnsi="Times New Roman" w:cs="Times New Roman"/>
                <w:noProof/>
                <w:webHidden/>
                <w:sz w:val="24"/>
                <w:szCs w:val="24"/>
              </w:rPr>
              <w:fldChar w:fldCharType="end"/>
            </w:r>
          </w:hyperlink>
        </w:p>
        <w:p w14:paraId="7318E9DB" w14:textId="77777777" w:rsidR="008D1264" w:rsidRPr="008D1264" w:rsidRDefault="00000000" w:rsidP="00C95CCE">
          <w:pPr>
            <w:pStyle w:val="TOC1"/>
            <w:tabs>
              <w:tab w:val="right" w:leader="dot" w:pos="9019"/>
            </w:tabs>
            <w:spacing w:before="240" w:line="360" w:lineRule="auto"/>
            <w:jc w:val="center"/>
            <w:rPr>
              <w:rFonts w:ascii="Times New Roman" w:hAnsi="Times New Roman" w:cs="Times New Roman"/>
              <w:noProof/>
              <w:sz w:val="24"/>
              <w:szCs w:val="24"/>
            </w:rPr>
          </w:pPr>
          <w:hyperlink w:anchor="_Toc118375558" w:history="1">
            <w:r w:rsidR="0036675F" w:rsidRPr="008D1264">
              <w:rPr>
                <w:rStyle w:val="Hyperlink"/>
                <w:rFonts w:ascii="Times New Roman" w:hAnsi="Times New Roman" w:cs="Times New Roman"/>
                <w:noProof/>
                <w:sz w:val="24"/>
                <w:szCs w:val="24"/>
              </w:rPr>
              <w:t>Reference List</w:t>
            </w:r>
            <w:r w:rsidR="0036675F" w:rsidRPr="008D1264">
              <w:rPr>
                <w:rFonts w:ascii="Times New Roman" w:hAnsi="Times New Roman" w:cs="Times New Roman"/>
                <w:noProof/>
                <w:webHidden/>
                <w:sz w:val="24"/>
                <w:szCs w:val="24"/>
              </w:rPr>
              <w:tab/>
            </w:r>
            <w:r w:rsidR="001738B3" w:rsidRPr="008D1264">
              <w:rPr>
                <w:rFonts w:ascii="Times New Roman" w:hAnsi="Times New Roman" w:cs="Times New Roman"/>
                <w:noProof/>
                <w:webHidden/>
                <w:sz w:val="24"/>
                <w:szCs w:val="24"/>
              </w:rPr>
              <w:fldChar w:fldCharType="begin"/>
            </w:r>
            <w:r w:rsidR="0036675F" w:rsidRPr="008D1264">
              <w:rPr>
                <w:rFonts w:ascii="Times New Roman" w:hAnsi="Times New Roman" w:cs="Times New Roman"/>
                <w:noProof/>
                <w:webHidden/>
                <w:sz w:val="24"/>
                <w:szCs w:val="24"/>
              </w:rPr>
              <w:instrText xml:space="preserve"> PAGEREF _Toc118375558 \h </w:instrText>
            </w:r>
            <w:r w:rsidR="001738B3" w:rsidRPr="008D1264">
              <w:rPr>
                <w:rFonts w:ascii="Times New Roman" w:hAnsi="Times New Roman" w:cs="Times New Roman"/>
                <w:noProof/>
                <w:webHidden/>
                <w:sz w:val="24"/>
                <w:szCs w:val="24"/>
              </w:rPr>
            </w:r>
            <w:r w:rsidR="001738B3" w:rsidRPr="008D1264">
              <w:rPr>
                <w:rFonts w:ascii="Times New Roman" w:hAnsi="Times New Roman" w:cs="Times New Roman"/>
                <w:noProof/>
                <w:webHidden/>
                <w:sz w:val="24"/>
                <w:szCs w:val="24"/>
              </w:rPr>
              <w:fldChar w:fldCharType="separate"/>
            </w:r>
            <w:r w:rsidR="0036675F" w:rsidRPr="008D1264">
              <w:rPr>
                <w:rFonts w:ascii="Times New Roman" w:hAnsi="Times New Roman" w:cs="Times New Roman"/>
                <w:noProof/>
                <w:webHidden/>
                <w:sz w:val="24"/>
                <w:szCs w:val="24"/>
              </w:rPr>
              <w:t>7</w:t>
            </w:r>
            <w:r w:rsidR="001738B3" w:rsidRPr="008D1264">
              <w:rPr>
                <w:rFonts w:ascii="Times New Roman" w:hAnsi="Times New Roman" w:cs="Times New Roman"/>
                <w:noProof/>
                <w:webHidden/>
                <w:sz w:val="24"/>
                <w:szCs w:val="24"/>
              </w:rPr>
              <w:fldChar w:fldCharType="end"/>
            </w:r>
          </w:hyperlink>
        </w:p>
        <w:p w14:paraId="1DD074BE" w14:textId="77777777" w:rsidR="008D1264" w:rsidRDefault="001738B3" w:rsidP="008D1264">
          <w:pPr>
            <w:jc w:val="center"/>
          </w:pPr>
          <w:r w:rsidRPr="008D1264">
            <w:rPr>
              <w:rFonts w:ascii="Times New Roman" w:hAnsi="Times New Roman" w:cs="Times New Roman"/>
              <w:b/>
              <w:bCs/>
              <w:noProof/>
              <w:sz w:val="24"/>
              <w:szCs w:val="24"/>
            </w:rPr>
            <w:fldChar w:fldCharType="end"/>
          </w:r>
        </w:p>
      </w:sdtContent>
    </w:sdt>
    <w:p w14:paraId="611B4C00" w14:textId="77777777" w:rsidR="008D1264" w:rsidRDefault="0036675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F3F97EE" w14:textId="77777777" w:rsidR="00310B84" w:rsidRDefault="0036675F" w:rsidP="008D1264">
      <w:pPr>
        <w:pStyle w:val="Heading1"/>
        <w:rPr>
          <w:b w:val="0"/>
        </w:rPr>
      </w:pPr>
      <w:bookmarkStart w:id="0" w:name="_Toc118375555"/>
      <w:r>
        <w:lastRenderedPageBreak/>
        <w:t>Introduction</w:t>
      </w:r>
      <w:bookmarkEnd w:id="0"/>
      <w:r>
        <w:t xml:space="preserve"> </w:t>
      </w:r>
    </w:p>
    <w:p w14:paraId="75B46FEE"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idea of criminal culpability is and should only be imposed for an act when it is refuted by the statement. Neither any convincing defence of this allegation has ever been offered. In contrast, it contends that only situations in which people have adequate control should or can result in criminal culpability (</w:t>
      </w:r>
      <w:r>
        <w:rPr>
          <w:rFonts w:ascii="Times New Roman" w:eastAsia="Times New Roman" w:hAnsi="Times New Roman" w:cs="Times New Roman"/>
          <w:color w:val="222222"/>
          <w:sz w:val="24"/>
          <w:szCs w:val="24"/>
          <w:highlight w:val="white"/>
        </w:rPr>
        <w:t>Sheikh and Subhan, 2017)</w:t>
      </w:r>
      <w:r>
        <w:rPr>
          <w:rFonts w:ascii="Times New Roman" w:eastAsia="Times New Roman" w:hAnsi="Times New Roman" w:cs="Times New Roman"/>
          <w:sz w:val="24"/>
          <w:szCs w:val="24"/>
        </w:rPr>
        <w:t>. It looks at the benefits of this opposing argument for the legitimacy of status crime and the sentencing of psychological conditions. Various forms of criminality will be covered in this essay. A debate on criminal avoidance is going to be examined in conjunction with the study. The research will also teach the idea of statutory requirements. The research will also shed light upon statutory law as well as the idea of fiduciary responsibility. The benefits and difficulties of the authority's universal responsibility are going to be addressed.</w:t>
      </w:r>
    </w:p>
    <w:p w14:paraId="26370203" w14:textId="77777777" w:rsidR="00310B84" w:rsidRDefault="0036675F" w:rsidP="008D1264">
      <w:pPr>
        <w:pStyle w:val="Heading1"/>
      </w:pPr>
      <w:bookmarkStart w:id="1" w:name="_Toc118375556"/>
      <w:r>
        <w:t>Discussion</w:t>
      </w:r>
      <w:bookmarkEnd w:id="1"/>
      <w:r>
        <w:t xml:space="preserve"> </w:t>
      </w:r>
    </w:p>
    <w:p w14:paraId="2754ED01"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There have been two legal systems in the UK that aim to prevent or prosecute significant misconduct or to provide victims with compensation for certain misconduct. Regardless of whether the proximate sufferer is an individual, criminal justice is concerned with conduct that is or might be interpreted as an offence even against the general populace, community, or the government (</w:t>
      </w:r>
      <w:r>
        <w:rPr>
          <w:rFonts w:ascii="Times New Roman" w:eastAsia="Times New Roman" w:hAnsi="Times New Roman" w:cs="Times New Roman"/>
          <w:color w:val="222222"/>
          <w:sz w:val="24"/>
          <w:szCs w:val="24"/>
          <w:highlight w:val="white"/>
        </w:rPr>
        <w:t>Sheikh and Subhan, 2017)</w:t>
      </w:r>
      <w:r>
        <w:rPr>
          <w:rFonts w:ascii="Times New Roman" w:eastAsia="Times New Roman" w:hAnsi="Times New Roman" w:cs="Times New Roman"/>
          <w:sz w:val="24"/>
          <w:szCs w:val="24"/>
        </w:rPr>
        <w:t>. Homicide, violence, robbery, and public drunkenness are a few examples. Civil law is associated with actions that cause harm to a person or another private entity, such as a company. Terrorism (particularly libel and defamation), contractual violations, and carelessness that causes death or injury including property destruction are a few instances (</w:t>
      </w:r>
      <w:r>
        <w:rPr>
          <w:rFonts w:ascii="Times New Roman" w:eastAsia="Times New Roman" w:hAnsi="Times New Roman" w:cs="Times New Roman"/>
          <w:color w:val="222222"/>
          <w:sz w:val="24"/>
          <w:szCs w:val="24"/>
          <w:highlight w:val="white"/>
        </w:rPr>
        <w:t>Kumar, 2018)</w:t>
      </w:r>
      <w:r>
        <w:rPr>
          <w:rFonts w:ascii="Times New Roman" w:eastAsia="Times New Roman" w:hAnsi="Times New Roman" w:cs="Times New Roman"/>
          <w:sz w:val="24"/>
          <w:szCs w:val="24"/>
        </w:rPr>
        <w:t>.</w:t>
      </w:r>
    </w:p>
    <w:p w14:paraId="001516E2"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of the statutory body under </w:t>
      </w:r>
      <w:r>
        <w:rPr>
          <w:rFonts w:ascii="Times New Roman" w:eastAsia="Times New Roman" w:hAnsi="Times New Roman" w:cs="Times New Roman"/>
          <w:b/>
          <w:i/>
          <w:sz w:val="24"/>
          <w:szCs w:val="24"/>
        </w:rPr>
        <w:t>English Law</w:t>
      </w:r>
      <w:r>
        <w:rPr>
          <w:rFonts w:ascii="Times New Roman" w:eastAsia="Times New Roman" w:hAnsi="Times New Roman" w:cs="Times New Roman"/>
          <w:sz w:val="24"/>
          <w:szCs w:val="24"/>
        </w:rPr>
        <w:t xml:space="preserve"> agrees that </w:t>
      </w:r>
      <w:r>
        <w:rPr>
          <w:rFonts w:ascii="Times New Roman" w:eastAsia="Times New Roman" w:hAnsi="Times New Roman" w:cs="Times New Roman"/>
          <w:b/>
          <w:i/>
          <w:sz w:val="24"/>
          <w:szCs w:val="24"/>
        </w:rPr>
        <w:t>(1) a voluntary act or omission (actus reus), along with (2) a specific frame of mind</w:t>
      </w:r>
      <w:r>
        <w:rPr>
          <w:rFonts w:ascii="Times New Roman" w:eastAsia="Times New Roman" w:hAnsi="Times New Roman" w:cs="Times New Roman"/>
          <w:sz w:val="24"/>
          <w:szCs w:val="24"/>
        </w:rPr>
        <w:t xml:space="preserve">, constitute necessary components of every crime </w:t>
      </w:r>
      <w:r>
        <w:rPr>
          <w:rFonts w:ascii="Times New Roman" w:eastAsia="Times New Roman" w:hAnsi="Times New Roman" w:cs="Times New Roman"/>
          <w:b/>
          <w:i/>
          <w:sz w:val="24"/>
          <w:szCs w:val="24"/>
        </w:rPr>
        <w:t>(</w:t>
      </w:r>
      <w:r w:rsidR="008D1264">
        <w:rPr>
          <w:rFonts w:ascii="Times New Roman" w:eastAsia="Times New Roman" w:hAnsi="Times New Roman" w:cs="Times New Roman"/>
          <w:b/>
          <w:i/>
          <w:sz w:val="24"/>
          <w:szCs w:val="24"/>
        </w:rPr>
        <w:t>men’s</w:t>
      </w:r>
      <w:r>
        <w:rPr>
          <w:rFonts w:ascii="Times New Roman" w:eastAsia="Times New Roman" w:hAnsi="Times New Roman" w:cs="Times New Roman"/>
          <w:b/>
          <w:i/>
          <w:sz w:val="24"/>
          <w:szCs w:val="24"/>
        </w:rPr>
        <w:t xml:space="preserve"> rea)</w:t>
      </w:r>
      <w:r>
        <w:rPr>
          <w:rFonts w:ascii="Times New Roman" w:eastAsia="Times New Roman" w:hAnsi="Times New Roman" w:cs="Times New Roman"/>
          <w:sz w:val="24"/>
          <w:szCs w:val="24"/>
        </w:rPr>
        <w:t>. Every intentional human behaviour can be categorised as an action or an Act. Although the action culminates in someone else's death, actions done during an acute episode or by a delusional schizophrenic a little before waking up are not considered actions (</w:t>
      </w:r>
      <w:r>
        <w:rPr>
          <w:rFonts w:ascii="Times New Roman" w:eastAsia="Times New Roman" w:hAnsi="Times New Roman" w:cs="Times New Roman"/>
          <w:color w:val="222222"/>
          <w:sz w:val="24"/>
          <w:szCs w:val="24"/>
          <w:highlight w:val="white"/>
        </w:rPr>
        <w:t>Divine, 2020)</w:t>
      </w:r>
      <w:r>
        <w:rPr>
          <w:rFonts w:ascii="Times New Roman" w:eastAsia="Times New Roman" w:hAnsi="Times New Roman" w:cs="Times New Roman"/>
          <w:sz w:val="24"/>
          <w:szCs w:val="24"/>
        </w:rPr>
        <w:t>. For the suspect to be held criminally liable, the injury needs to have been brought about by them. The incident might not have occurred in a comparable way alone without the perpetrator's direct involvement, which is the litmus test for determining whether action and consequence are causally related.</w:t>
      </w:r>
    </w:p>
    <w:p w14:paraId="441B9592"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 </w:t>
      </w:r>
      <w:r>
        <w:rPr>
          <w:rFonts w:ascii="Times New Roman" w:eastAsia="Times New Roman" w:hAnsi="Times New Roman" w:cs="Times New Roman"/>
          <w:b/>
          <w:i/>
          <w:sz w:val="24"/>
          <w:szCs w:val="24"/>
        </w:rPr>
        <w:t>"failure to act"</w:t>
      </w:r>
      <w:r>
        <w:rPr>
          <w:rFonts w:ascii="Times New Roman" w:eastAsia="Times New Roman" w:hAnsi="Times New Roman" w:cs="Times New Roman"/>
          <w:sz w:val="24"/>
          <w:szCs w:val="24"/>
        </w:rPr>
        <w:t xml:space="preserve"> is enforced while the defendant was subject to a contractual responsibility to take action and was ostensibly competent in accomplishing that it may also give rise to criminal liability (</w:t>
      </w:r>
      <w:r>
        <w:rPr>
          <w:rFonts w:ascii="Times New Roman" w:eastAsia="Times New Roman" w:hAnsi="Times New Roman" w:cs="Times New Roman"/>
          <w:color w:val="222222"/>
          <w:sz w:val="24"/>
          <w:szCs w:val="24"/>
          <w:highlight w:val="white"/>
        </w:rPr>
        <w:t>Case and Bateman, 2020)</w:t>
      </w:r>
      <w:r>
        <w:rPr>
          <w:rFonts w:ascii="Times New Roman" w:eastAsia="Times New Roman" w:hAnsi="Times New Roman" w:cs="Times New Roman"/>
          <w:sz w:val="24"/>
          <w:szCs w:val="24"/>
        </w:rPr>
        <w:t xml:space="preserve">. </w:t>
      </w:r>
    </w:p>
    <w:p w14:paraId="7145E817"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Pr="00682594">
        <w:rPr>
          <w:rFonts w:ascii="Times New Roman" w:eastAsia="Times New Roman" w:hAnsi="Times New Roman" w:cs="Times New Roman"/>
          <w:b/>
          <w:bCs/>
          <w:i/>
          <w:iCs/>
          <w:sz w:val="24"/>
          <w:szCs w:val="24"/>
        </w:rPr>
        <w:t>failure to act</w:t>
      </w:r>
      <w:r>
        <w:rPr>
          <w:rFonts w:ascii="Times New Roman" w:eastAsia="Times New Roman" w:hAnsi="Times New Roman" w:cs="Times New Roman"/>
          <w:sz w:val="24"/>
          <w:szCs w:val="24"/>
        </w:rPr>
        <w:t xml:space="preserve"> occurs when an individual or entity owes an obligation to act but fails to actually execute it. In the context of tort disputes or medical negligence law, a responsibility to act typically relates to a combination of things:</w:t>
      </w:r>
    </w:p>
    <w:p w14:paraId="21E5B0F8" w14:textId="77777777" w:rsidR="00310B84" w:rsidRDefault="0036675F" w:rsidP="008D1264">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Individuals are obligated </w:t>
      </w:r>
      <w:r>
        <w:rPr>
          <w:rFonts w:ascii="Times New Roman" w:eastAsia="Times New Roman" w:hAnsi="Times New Roman" w:cs="Times New Roman"/>
          <w:b/>
          <w:i/>
          <w:sz w:val="24"/>
          <w:szCs w:val="24"/>
        </w:rPr>
        <w:t>"to act in a manner"</w:t>
      </w:r>
      <w:r>
        <w:rPr>
          <w:rFonts w:ascii="Times New Roman" w:eastAsia="Times New Roman" w:hAnsi="Times New Roman" w:cs="Times New Roman"/>
          <w:sz w:val="24"/>
          <w:szCs w:val="24"/>
        </w:rPr>
        <w:t xml:space="preserve"> that doesn't directly injure other persons (</w:t>
      </w:r>
      <w:r>
        <w:rPr>
          <w:rFonts w:ascii="Times New Roman" w:eastAsia="Times New Roman" w:hAnsi="Times New Roman" w:cs="Times New Roman"/>
          <w:color w:val="222222"/>
          <w:sz w:val="24"/>
          <w:szCs w:val="24"/>
          <w:highlight w:val="white"/>
        </w:rPr>
        <w:t>Allen, 2021)</w:t>
      </w:r>
      <w:r>
        <w:rPr>
          <w:rFonts w:ascii="Times New Roman" w:eastAsia="Times New Roman" w:hAnsi="Times New Roman" w:cs="Times New Roman"/>
          <w:sz w:val="24"/>
          <w:szCs w:val="24"/>
        </w:rPr>
        <w:t>. Any individual might well be held accountable for carelessness if they neglect to comply.</w:t>
      </w:r>
    </w:p>
    <w:p w14:paraId="03C2E241" w14:textId="77777777" w:rsidR="00310B84" w:rsidRDefault="0036675F" w:rsidP="008D1264">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people witness someone else harming anyone, those individuals are not always required to step in and stop it. Regardless of whether someone may promise to act on something, verbal promises are frequently insufficient to impose a responsibility to act (</w:t>
      </w:r>
      <w:r>
        <w:rPr>
          <w:rFonts w:ascii="Times New Roman" w:eastAsia="Times New Roman" w:hAnsi="Times New Roman" w:cs="Times New Roman"/>
          <w:color w:val="222222"/>
          <w:sz w:val="24"/>
          <w:szCs w:val="24"/>
          <w:highlight w:val="white"/>
        </w:rPr>
        <w:t>Allen, 2021)</w:t>
      </w:r>
      <w:r>
        <w:rPr>
          <w:rFonts w:ascii="Times New Roman" w:eastAsia="Times New Roman" w:hAnsi="Times New Roman" w:cs="Times New Roman"/>
          <w:sz w:val="24"/>
          <w:szCs w:val="24"/>
        </w:rPr>
        <w:t>.</w:t>
      </w:r>
    </w:p>
    <w:p w14:paraId="666E8804"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Usually, criminal cases involve 2 distinct sorts of components. </w:t>
      </w:r>
      <w:r>
        <w:rPr>
          <w:rFonts w:ascii="Times New Roman" w:eastAsia="Times New Roman" w:hAnsi="Times New Roman" w:cs="Times New Roman"/>
          <w:b/>
          <w:i/>
          <w:sz w:val="24"/>
          <w:szCs w:val="24"/>
        </w:rPr>
        <w:t>Men's reus</w:t>
      </w:r>
      <w:r>
        <w:rPr>
          <w:rFonts w:ascii="Times New Roman" w:eastAsia="Times New Roman" w:hAnsi="Times New Roman" w:cs="Times New Roman"/>
          <w:sz w:val="24"/>
          <w:szCs w:val="24"/>
        </w:rPr>
        <w:t xml:space="preserve"> typically implies the existence of criminal intent, which comes first. Following that is </w:t>
      </w:r>
      <w:r>
        <w:rPr>
          <w:rFonts w:ascii="Times New Roman" w:eastAsia="Times New Roman" w:hAnsi="Times New Roman" w:cs="Times New Roman"/>
          <w:b/>
          <w:i/>
          <w:sz w:val="24"/>
          <w:szCs w:val="24"/>
        </w:rPr>
        <w:t>Actus rea</w:t>
      </w:r>
      <w:r>
        <w:rPr>
          <w:rFonts w:ascii="Times New Roman" w:eastAsia="Times New Roman" w:hAnsi="Times New Roman" w:cs="Times New Roman"/>
          <w:sz w:val="24"/>
          <w:szCs w:val="24"/>
        </w:rPr>
        <w:t>, which has no requirement of purpose but qualifies as criminal behaviour (</w:t>
      </w:r>
      <w:r>
        <w:rPr>
          <w:rFonts w:ascii="Times New Roman" w:eastAsia="Times New Roman" w:hAnsi="Times New Roman" w:cs="Times New Roman"/>
          <w:color w:val="222222"/>
          <w:sz w:val="24"/>
          <w:szCs w:val="24"/>
          <w:highlight w:val="white"/>
        </w:rPr>
        <w:t>Costa, 2021)</w:t>
      </w:r>
      <w:r>
        <w:rPr>
          <w:rFonts w:ascii="Times New Roman" w:eastAsia="Times New Roman" w:hAnsi="Times New Roman" w:cs="Times New Roman"/>
          <w:sz w:val="24"/>
          <w:szCs w:val="24"/>
        </w:rPr>
        <w:t>. Even if moral obligations cannot always be enforced by the law, there are times when laws are changed to accurately represent societal standards. Examples of these include modifications to the legislation governing marital rape, which prohibits a husband from forcing his wife into sexual contact without her permission.</w:t>
      </w:r>
    </w:p>
    <w:p w14:paraId="3964E855"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An </w:t>
      </w:r>
      <w:r>
        <w:rPr>
          <w:rFonts w:ascii="Times New Roman" w:eastAsia="Times New Roman" w:hAnsi="Times New Roman" w:cs="Times New Roman"/>
          <w:b/>
          <w:i/>
          <w:sz w:val="24"/>
          <w:szCs w:val="24"/>
        </w:rPr>
        <w:t>"omission is an actus reus"</w:t>
      </w:r>
      <w:r>
        <w:rPr>
          <w:rFonts w:ascii="Times New Roman" w:eastAsia="Times New Roman" w:hAnsi="Times New Roman" w:cs="Times New Roman"/>
          <w:sz w:val="24"/>
          <w:szCs w:val="24"/>
        </w:rPr>
        <w:t xml:space="preserve"> in criminal law, or the defendant is just liable for an omission if the judge determines a responsibility to act as well as the offender breaches that responsibility. An essential element of a criminal aspect in the legal system is indeed an omission. Another kind of </w:t>
      </w:r>
      <w:r>
        <w:rPr>
          <w:rFonts w:ascii="Times New Roman" w:eastAsia="Times New Roman" w:hAnsi="Times New Roman" w:cs="Times New Roman"/>
          <w:b/>
          <w:i/>
          <w:sz w:val="24"/>
          <w:szCs w:val="24"/>
        </w:rPr>
        <w:t>Actus Reus</w:t>
      </w:r>
      <w:r>
        <w:rPr>
          <w:rFonts w:ascii="Times New Roman" w:eastAsia="Times New Roman" w:hAnsi="Times New Roman" w:cs="Times New Roman"/>
          <w:sz w:val="24"/>
          <w:szCs w:val="24"/>
        </w:rPr>
        <w:t xml:space="preserve"> can be considered omission, which would be described as a freely made choice to stop from taking any action that might hurt others or result in further illegal behaviour. An omission is typically defined as an intentional, careless, or negligent lack of activity. </w:t>
      </w:r>
      <w:r>
        <w:rPr>
          <w:rFonts w:ascii="Times New Roman" w:eastAsia="Times New Roman" w:hAnsi="Times New Roman" w:cs="Times New Roman"/>
          <w:b/>
          <w:i/>
          <w:sz w:val="24"/>
          <w:szCs w:val="24"/>
        </w:rPr>
        <w:t>Pure omission offenses</w:t>
      </w:r>
      <w:r>
        <w:rPr>
          <w:rFonts w:ascii="Times New Roman" w:eastAsia="Times New Roman" w:hAnsi="Times New Roman" w:cs="Times New Roman"/>
          <w:sz w:val="24"/>
          <w:szCs w:val="24"/>
        </w:rPr>
        <w:t xml:space="preserve"> are cases that depict the accused doesn't conduct any type of activity at all (Gov.uk, 2022). The obligations placed against them are typical of such a state in respect, but these types of crimes are typically legislative.</w:t>
      </w:r>
    </w:p>
    <w:p w14:paraId="6F31C76A"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Violation of a legal obligation placed on a person or organisation. If the victim of the breach is a member of the group intended to be protected by the law, the violating person or organisation may additionally be accountable for compensating the victim in addition to any prosecutions stipulated by the law (Gov.uk, 2022). It's not like all legislative obligations are subject to civil lawsuits for violation. The judiciary system must determine whether Parties intended to grant legal remedy if such an Act does not specifically address the issue. The laws governing workplace safety </w:t>
      </w:r>
      <w:r w:rsidR="008D1264">
        <w:rPr>
          <w:rFonts w:ascii="Times New Roman" w:eastAsia="Times New Roman" w:hAnsi="Times New Roman" w:cs="Times New Roman"/>
          <w:sz w:val="24"/>
          <w:szCs w:val="24"/>
        </w:rPr>
        <w:t>led</w:t>
      </w:r>
      <w:r>
        <w:rPr>
          <w:rFonts w:ascii="Times New Roman" w:eastAsia="Times New Roman" w:hAnsi="Times New Roman" w:cs="Times New Roman"/>
          <w:sz w:val="24"/>
          <w:szCs w:val="24"/>
        </w:rPr>
        <w:t xml:space="preserve"> to several proceedings for violation of statutory obligation </w:t>
      </w:r>
      <w:r>
        <w:rPr>
          <w:rFonts w:ascii="Times New Roman" w:eastAsia="Times New Roman" w:hAnsi="Times New Roman" w:cs="Times New Roman"/>
          <w:b/>
          <w:i/>
          <w:sz w:val="24"/>
          <w:szCs w:val="24"/>
        </w:rPr>
        <w:t>(X v. Bedfordshire CC [1995] 2 AC 633). (HL)</w:t>
      </w:r>
      <w:r>
        <w:rPr>
          <w:rFonts w:ascii="Times New Roman" w:eastAsia="Times New Roman" w:hAnsi="Times New Roman" w:cs="Times New Roman"/>
          <w:sz w:val="24"/>
          <w:szCs w:val="24"/>
        </w:rPr>
        <w:t xml:space="preserve">. The case depicts the context for statutory duty that should be presented in the Act. </w:t>
      </w:r>
    </w:p>
    <w:p w14:paraId="63BC12BC" w14:textId="77777777" w:rsidR="00310B84" w:rsidRDefault="0036675F" w:rsidP="008D1264">
      <w:pPr>
        <w:shd w:val="clear" w:color="auto" w:fill="FFFFFF"/>
        <w:spacing w:before="240" w:after="240" w:line="36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In the case of </w:t>
      </w:r>
      <w:r>
        <w:rPr>
          <w:rFonts w:ascii="Times New Roman" w:eastAsia="Times New Roman" w:hAnsi="Times New Roman" w:cs="Times New Roman"/>
          <w:b/>
          <w:i/>
          <w:color w:val="212529"/>
          <w:sz w:val="24"/>
          <w:szCs w:val="24"/>
          <w:highlight w:val="white"/>
        </w:rPr>
        <w:t>Thabo Meli v R [1954] 1 WLR, 228</w:t>
      </w:r>
      <w:r>
        <w:rPr>
          <w:rFonts w:ascii="Times New Roman" w:eastAsia="Times New Roman" w:hAnsi="Times New Roman" w:cs="Times New Roman"/>
          <w:b/>
          <w:color w:val="212529"/>
          <w:sz w:val="24"/>
          <w:szCs w:val="24"/>
        </w:rPr>
        <w:t xml:space="preserve"> </w:t>
      </w:r>
      <w:r>
        <w:rPr>
          <w:rFonts w:ascii="Times New Roman" w:eastAsia="Times New Roman" w:hAnsi="Times New Roman" w:cs="Times New Roman"/>
          <w:color w:val="212529"/>
          <w:sz w:val="24"/>
          <w:szCs w:val="24"/>
        </w:rPr>
        <w:t xml:space="preserve">coincidences of </w:t>
      </w:r>
      <w:r>
        <w:rPr>
          <w:rFonts w:ascii="Times New Roman" w:eastAsia="Times New Roman" w:hAnsi="Times New Roman" w:cs="Times New Roman"/>
          <w:b/>
          <w:i/>
          <w:color w:val="212529"/>
          <w:sz w:val="24"/>
          <w:szCs w:val="24"/>
        </w:rPr>
        <w:t>Actus Rea and Men's reus</w:t>
      </w:r>
      <w:r>
        <w:rPr>
          <w:rFonts w:ascii="Times New Roman" w:eastAsia="Times New Roman" w:hAnsi="Times New Roman" w:cs="Times New Roman"/>
          <w:color w:val="212529"/>
          <w:sz w:val="24"/>
          <w:szCs w:val="24"/>
        </w:rPr>
        <w:t xml:space="preserve"> can be seen being present incorporating contractual duty aspects. To get the prospective prey drunk, the plaintiffs took the victim to a barn and fed him alcohol. The subject was then attacked in the head with the intention of killing him (</w:t>
      </w:r>
      <w:r>
        <w:rPr>
          <w:rFonts w:ascii="Times New Roman" w:eastAsia="Times New Roman" w:hAnsi="Times New Roman" w:cs="Times New Roman"/>
          <w:color w:val="222222"/>
          <w:sz w:val="24"/>
          <w:szCs w:val="24"/>
          <w:highlight w:val="white"/>
        </w:rPr>
        <w:t>Jain, 2021)</w:t>
      </w:r>
      <w:r>
        <w:rPr>
          <w:rFonts w:ascii="Times New Roman" w:eastAsia="Times New Roman" w:hAnsi="Times New Roman" w:cs="Times New Roman"/>
          <w:color w:val="212529"/>
          <w:sz w:val="24"/>
          <w:szCs w:val="24"/>
        </w:rPr>
        <w:t>. The sufferer lived but eventually passed away from exposure. The plaintiff was found guilty of murder and petitioned the Privy Council also on grounds that the “</w:t>
      </w:r>
      <w:r>
        <w:rPr>
          <w:rFonts w:ascii="Times New Roman" w:eastAsia="Times New Roman" w:hAnsi="Times New Roman" w:cs="Times New Roman"/>
          <w:b/>
          <w:i/>
          <w:color w:val="212529"/>
          <w:sz w:val="24"/>
          <w:szCs w:val="24"/>
        </w:rPr>
        <w:t>men's rea and actus reus”</w:t>
      </w:r>
      <w:r>
        <w:rPr>
          <w:rFonts w:ascii="Times New Roman" w:eastAsia="Times New Roman" w:hAnsi="Times New Roman" w:cs="Times New Roman"/>
          <w:color w:val="212529"/>
          <w:sz w:val="24"/>
          <w:szCs w:val="24"/>
        </w:rPr>
        <w:t xml:space="preserve"> of the crime was not coincident (</w:t>
      </w:r>
      <w:r>
        <w:rPr>
          <w:rFonts w:ascii="Times New Roman" w:eastAsia="Times New Roman" w:hAnsi="Times New Roman" w:cs="Times New Roman"/>
          <w:color w:val="222222"/>
          <w:sz w:val="24"/>
          <w:szCs w:val="24"/>
          <w:highlight w:val="white"/>
        </w:rPr>
        <w:t>Saffary and Saberi, 2020)</w:t>
      </w:r>
      <w:r>
        <w:rPr>
          <w:rFonts w:ascii="Times New Roman" w:eastAsia="Times New Roman" w:hAnsi="Times New Roman" w:cs="Times New Roman"/>
          <w:color w:val="212529"/>
          <w:sz w:val="24"/>
          <w:szCs w:val="24"/>
        </w:rPr>
        <w:t xml:space="preserve">. The Privy Council determined that seeing the series of occurrences as an ongoing actus reus was the proper way to interpret what the appellants actually did. The subject was assaulted on the head and then exposed to the elements, which was the </w:t>
      </w:r>
      <w:r>
        <w:rPr>
          <w:rFonts w:ascii="Times New Roman" w:eastAsia="Times New Roman" w:hAnsi="Times New Roman" w:cs="Times New Roman"/>
          <w:b/>
          <w:i/>
          <w:color w:val="212529"/>
          <w:sz w:val="24"/>
          <w:szCs w:val="24"/>
        </w:rPr>
        <w:t>actus reus</w:t>
      </w:r>
      <w:r>
        <w:rPr>
          <w:rFonts w:ascii="Times New Roman" w:eastAsia="Times New Roman" w:hAnsi="Times New Roman" w:cs="Times New Roman"/>
          <w:color w:val="212529"/>
          <w:sz w:val="24"/>
          <w:szCs w:val="24"/>
        </w:rPr>
        <w:t xml:space="preserve"> of fatal injury. It must have been essential for the defence to demonstrate that the appellants had behaved well with necessary</w:t>
      </w:r>
      <w:r>
        <w:rPr>
          <w:rFonts w:ascii="Times New Roman" w:eastAsia="Times New Roman" w:hAnsi="Times New Roman" w:cs="Times New Roman"/>
          <w:b/>
          <w:i/>
          <w:color w:val="212529"/>
          <w:sz w:val="24"/>
          <w:szCs w:val="24"/>
        </w:rPr>
        <w:t xml:space="preserve"> men's reus</w:t>
      </w:r>
      <w:r>
        <w:rPr>
          <w:rFonts w:ascii="Times New Roman" w:eastAsia="Times New Roman" w:hAnsi="Times New Roman" w:cs="Times New Roman"/>
          <w:color w:val="212529"/>
          <w:sz w:val="24"/>
          <w:szCs w:val="24"/>
        </w:rPr>
        <w:t xml:space="preserve"> at a certain point throughout that sequence of actions.</w:t>
      </w:r>
    </w:p>
    <w:p w14:paraId="41279F6C"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statutory obligation in an activity may be utilised in particular circumstances so implying the context for parties in getting precise information (Legislation.gov.uk, 2022). For example, it is legally required to disclose insurance information in the event of every sort of road accident. The Authorities must also be informed when a commodity is being sold. Additionally, legislative obligations are included under </w:t>
      </w:r>
      <w:r>
        <w:rPr>
          <w:rFonts w:ascii="Times New Roman" w:eastAsia="Times New Roman" w:hAnsi="Times New Roman" w:cs="Times New Roman"/>
          <w:b/>
          <w:i/>
          <w:sz w:val="24"/>
          <w:szCs w:val="24"/>
        </w:rPr>
        <w:t xml:space="preserve">paragraph 110 paragraph (6) of the Deregulation Act of 2015 </w:t>
      </w:r>
      <w:r>
        <w:rPr>
          <w:rFonts w:ascii="Times New Roman" w:eastAsia="Times New Roman" w:hAnsi="Times New Roman" w:cs="Times New Roman"/>
          <w:sz w:val="24"/>
          <w:szCs w:val="24"/>
        </w:rPr>
        <w:t xml:space="preserve">(Legislation.gov.uk, 2022). In order to establish a successful interaction with the constituents, legislative acts specify the duties obligated to authorities. Furthermore, </w:t>
      </w:r>
      <w:r>
        <w:rPr>
          <w:rFonts w:ascii="Times New Roman" w:eastAsia="Times New Roman" w:hAnsi="Times New Roman" w:cs="Times New Roman"/>
          <w:b/>
          <w:i/>
          <w:sz w:val="24"/>
          <w:szCs w:val="24"/>
        </w:rPr>
        <w:t>Section 2</w:t>
      </w:r>
      <w:r>
        <w:rPr>
          <w:rFonts w:ascii="Times New Roman" w:eastAsia="Times New Roman" w:hAnsi="Times New Roman" w:cs="Times New Roman"/>
          <w:sz w:val="24"/>
          <w:szCs w:val="24"/>
        </w:rPr>
        <w:t xml:space="preserve"> of the same Act stipulates the relevancy of Acts contributing to the expansion of the corporate environment (Legislation.gov.uk, 2022). Finally, this establishes criteria for corporate activity regulation.</w:t>
      </w:r>
    </w:p>
    <w:p w14:paraId="281BC602"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When a work includes the safeguarding of the general public, an employment contract may contain an obligation to act. In this case, </w:t>
      </w:r>
      <w:r w:rsidR="008D1264">
        <w:rPr>
          <w:rFonts w:ascii="Times New Roman" w:eastAsia="Times New Roman" w:hAnsi="Times New Roman" w:cs="Times New Roman"/>
          <w:sz w:val="24"/>
          <w:szCs w:val="24"/>
        </w:rPr>
        <w:t>a guard</w:t>
      </w:r>
      <w:r>
        <w:rPr>
          <w:rFonts w:ascii="Times New Roman" w:eastAsia="Times New Roman" w:hAnsi="Times New Roman" w:cs="Times New Roman"/>
          <w:sz w:val="24"/>
          <w:szCs w:val="24"/>
        </w:rPr>
        <w:t xml:space="preserve"> at a public pool is an excellent illustration. Additional instances may be someone who works in the healthcare profession or in education, each of which has people under their responsibility (Iclr.co.uk, 2022). After a small kid drown in the Lake District in the year 2003 during crossing a high creek, a geography tutor was found guilty of murder </w:t>
      </w:r>
      <w:r>
        <w:rPr>
          <w:rFonts w:ascii="Times New Roman" w:eastAsia="Times New Roman" w:hAnsi="Times New Roman" w:cs="Times New Roman"/>
          <w:b/>
          <w:i/>
          <w:sz w:val="24"/>
          <w:szCs w:val="24"/>
        </w:rPr>
        <w:t>(R v Ellis 2003)</w:t>
      </w:r>
      <w:r>
        <w:rPr>
          <w:rFonts w:ascii="Times New Roman" w:eastAsia="Times New Roman" w:hAnsi="Times New Roman" w:cs="Times New Roman"/>
          <w:sz w:val="24"/>
          <w:szCs w:val="24"/>
        </w:rPr>
        <w:t xml:space="preserve">. The tutor had a responsibility to the student to protect him but disregarded it. One may claim that one benefit of omission-based responsibility is that these infractions are simpler to establish. It will probably be simpler to prove that claimant did not do a specific action even than they did. Deeds by implication, it may be said, guarantee that those who hold responsibility for their conduct cannot avoid responsibility (Iclr.co.uk, 2022). </w:t>
      </w:r>
    </w:p>
    <w:p w14:paraId="4C87F10D"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establishment of such an obligation may enhance norms and contribute positively more broadly. Although there are three fundamental differences to the standard rule stating there is no obligation to act, the current legal system does not provide a comprehensive answer to the issue (</w:t>
      </w:r>
      <w:r>
        <w:rPr>
          <w:rFonts w:ascii="Times New Roman" w:eastAsia="Times New Roman" w:hAnsi="Times New Roman" w:cs="Times New Roman"/>
          <w:color w:val="222222"/>
          <w:sz w:val="24"/>
          <w:szCs w:val="24"/>
          <w:highlight w:val="white"/>
        </w:rPr>
        <w:t>Watt, 2019)</w:t>
      </w:r>
      <w:r>
        <w:rPr>
          <w:rFonts w:ascii="Times New Roman" w:eastAsia="Times New Roman" w:hAnsi="Times New Roman" w:cs="Times New Roman"/>
          <w:sz w:val="24"/>
          <w:szCs w:val="24"/>
        </w:rPr>
        <w:t xml:space="preserve">. First, anytime someone has caused someone to depend on a superfluous commitment to act against their harm, they must act. Secondly, anytime an individual has a precise connection to other needs, they have a responsibility to help.  Finally, an individual has a responsibility to act when they are in charge of an offensive agent that possesses the potential to inflict bodily harm or if that agency has already caused harm to someone else. </w:t>
      </w:r>
    </w:p>
    <w:p w14:paraId="16374DA7" w14:textId="77777777" w:rsidR="00310B84" w:rsidRDefault="0036675F" w:rsidP="008D1264">
      <w:pPr>
        <w:pStyle w:val="Heading1"/>
      </w:pPr>
      <w:bookmarkStart w:id="2" w:name="_Toc118375557"/>
      <w:r>
        <w:t>Conclusion</w:t>
      </w:r>
      <w:bookmarkEnd w:id="2"/>
      <w:r>
        <w:t xml:space="preserve"> </w:t>
      </w:r>
    </w:p>
    <w:p w14:paraId="62AAAF8C"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applications to respond in an urgent situation are not a requirement for the legality of both the reliance principles along with the special contacts rules. Each law is nothing more than the logical conclusion of a certain legal idea. The distinction from the general principle stating no obligation to act does not fit this description. Every individual in charge of an instrument or activity that might result in harm or has recently inflicted an impairment is required to take action. Violations by negligence are exceptionally helpful in terms of company regulation. Corporate organisations must be able to face legal repercussions for their inactivity due to the numerous instances in which doing nothing might have significant negative effects on the wider populace including society at large. They are equipped to cope with risky circumstances and defend the public.</w:t>
      </w:r>
    </w:p>
    <w:p w14:paraId="491D6A52" w14:textId="77777777" w:rsidR="00310B84" w:rsidRDefault="0036675F" w:rsidP="008D1264">
      <w:pPr>
        <w:spacing w:before="240" w:after="240" w:line="360" w:lineRule="auto"/>
        <w:jc w:val="both"/>
        <w:rPr>
          <w:rFonts w:ascii="Times New Roman" w:eastAsia="Times New Roman" w:hAnsi="Times New Roman" w:cs="Times New Roman"/>
          <w:b/>
          <w:sz w:val="24"/>
          <w:szCs w:val="24"/>
        </w:rPr>
      </w:pPr>
      <w:r>
        <w:br w:type="page"/>
      </w:r>
    </w:p>
    <w:p w14:paraId="0884AB2D" w14:textId="77777777" w:rsidR="00310B84" w:rsidRDefault="0036675F" w:rsidP="008D1264">
      <w:pPr>
        <w:pStyle w:val="Heading1"/>
      </w:pPr>
      <w:bookmarkStart w:id="3" w:name="_Toc118375558"/>
      <w:r>
        <w:lastRenderedPageBreak/>
        <w:t>Reference List</w:t>
      </w:r>
      <w:bookmarkEnd w:id="3"/>
      <w:r>
        <w:t xml:space="preserve"> </w:t>
      </w:r>
    </w:p>
    <w:p w14:paraId="64A79997"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Allen, J., 2021. Rethinking the relationship between reverse burdens and the presumption of innocence. </w:t>
      </w:r>
      <w:r>
        <w:rPr>
          <w:rFonts w:ascii="Times New Roman" w:eastAsia="Times New Roman" w:hAnsi="Times New Roman" w:cs="Times New Roman"/>
          <w:i/>
          <w:color w:val="222222"/>
          <w:sz w:val="24"/>
          <w:szCs w:val="24"/>
          <w:highlight w:val="white"/>
        </w:rPr>
        <w:t>The International Journal of Evidence &amp; Proof</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(2), pp.115-134.</w:t>
      </w:r>
    </w:p>
    <w:p w14:paraId="0CBC1132"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Case, S. and Bateman, T., 2020. The punitive transition in youth justice: Reconstructing the child as offender. </w:t>
      </w:r>
      <w:r>
        <w:rPr>
          <w:rFonts w:ascii="Times New Roman" w:eastAsia="Times New Roman" w:hAnsi="Times New Roman" w:cs="Times New Roman"/>
          <w:i/>
          <w:color w:val="222222"/>
          <w:sz w:val="24"/>
          <w:szCs w:val="24"/>
          <w:highlight w:val="white"/>
        </w:rPr>
        <w:t>Children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(6), pp.475-491.</w:t>
      </w:r>
    </w:p>
    <w:p w14:paraId="25EC6EC0"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Costa, G., 2020. The Future of Pretrial Detention in a Criminal System Looking for Justice. </w:t>
      </w:r>
      <w:r>
        <w:rPr>
          <w:rFonts w:ascii="Times New Roman" w:eastAsia="Times New Roman" w:hAnsi="Times New Roman" w:cs="Times New Roman"/>
          <w:i/>
          <w:color w:val="222222"/>
          <w:sz w:val="24"/>
          <w:szCs w:val="24"/>
          <w:highlight w:val="white"/>
        </w:rPr>
        <w:t>Journal of Race, Gender, and Ethnicity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p.9.</w:t>
      </w:r>
    </w:p>
    <w:p w14:paraId="7A618F71"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Divine, J. M., 2020. Statutory Federalism and Criminal Law. </w:t>
      </w:r>
      <w:r>
        <w:rPr>
          <w:rFonts w:ascii="Times New Roman" w:eastAsia="Times New Roman" w:hAnsi="Times New Roman" w:cs="Times New Roman"/>
          <w:i/>
          <w:color w:val="222222"/>
          <w:sz w:val="24"/>
          <w:szCs w:val="24"/>
          <w:highlight w:val="white"/>
        </w:rPr>
        <w:t>Virginia Law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106</w:t>
      </w:r>
      <w:r>
        <w:rPr>
          <w:rFonts w:ascii="Times New Roman" w:eastAsia="Times New Roman" w:hAnsi="Times New Roman" w:cs="Times New Roman"/>
          <w:color w:val="222222"/>
          <w:sz w:val="24"/>
          <w:szCs w:val="24"/>
          <w:highlight w:val="white"/>
        </w:rPr>
        <w:t>(1), 127-198.</w:t>
      </w:r>
    </w:p>
    <w:p w14:paraId="0BC8DE23" w14:textId="77777777" w:rsidR="008D126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2022, </w:t>
      </w:r>
      <w:r>
        <w:rPr>
          <w:rFonts w:ascii="Times New Roman" w:eastAsia="Times New Roman" w:hAnsi="Times New Roman" w:cs="Times New Roman"/>
          <w:color w:val="0B0C0C"/>
          <w:sz w:val="24"/>
          <w:szCs w:val="24"/>
        </w:rPr>
        <w:t>Retaliatory Eviction and the Deregulation Act 2015: guidance note, Available at:</w:t>
      </w:r>
      <w:hyperlink r:id="rId8" w:anchor=":~:text=On%201%20October%202015%20a,the%20condition%20of%20their%20home">
        <w:r>
          <w:rPr>
            <w:rFonts w:ascii="Times New Roman" w:eastAsia="Times New Roman" w:hAnsi="Times New Roman" w:cs="Times New Roman"/>
            <w:color w:val="1155CC"/>
            <w:sz w:val="24"/>
            <w:szCs w:val="24"/>
            <w:u w:val="single"/>
          </w:rPr>
          <w:t>https://www.gov.uk/government/publications/retaliatory-eviction-and-the-deregulation-act-2015-guidance-note#:~:text=On%201%20October%202015%20a,the%20condition%20of%20their%20home</w:t>
        </w:r>
      </w:hyperlink>
      <w:r>
        <w:rPr>
          <w:rFonts w:ascii="Times New Roman" w:eastAsia="Times New Roman" w:hAnsi="Times New Roman" w:cs="Times New Roman"/>
          <w:sz w:val="24"/>
          <w:szCs w:val="24"/>
        </w:rPr>
        <w:t xml:space="preserve"> [Accessed on: 03.11.2022]</w:t>
      </w:r>
    </w:p>
    <w:p w14:paraId="33FE9066" w14:textId="77777777" w:rsidR="008D126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Iclr.co.uk, 2022, </w:t>
      </w:r>
      <w:r>
        <w:rPr>
          <w:rFonts w:ascii="Times New Roman" w:eastAsia="Times New Roman" w:hAnsi="Times New Roman" w:cs="Times New Roman"/>
          <w:color w:val="1A202C"/>
          <w:sz w:val="24"/>
          <w:szCs w:val="24"/>
        </w:rPr>
        <w:t xml:space="preserve">Mens rea and actus reus, Available at: </w:t>
      </w:r>
      <w:hyperlink r:id="rId9">
        <w:r>
          <w:rPr>
            <w:rFonts w:ascii="Times New Roman" w:eastAsia="Times New Roman" w:hAnsi="Times New Roman" w:cs="Times New Roman"/>
            <w:color w:val="1155CC"/>
            <w:sz w:val="24"/>
            <w:szCs w:val="24"/>
            <w:u w:val="single"/>
          </w:rPr>
          <w:t>https://www.iclr.co.uk/knowledge/glossary/mens-rea-and-actus-reus/</w:t>
        </w:r>
      </w:hyperlink>
      <w:r>
        <w:rPr>
          <w:rFonts w:ascii="Times New Roman" w:eastAsia="Times New Roman" w:hAnsi="Times New Roman" w:cs="Times New Roman"/>
          <w:sz w:val="24"/>
          <w:szCs w:val="24"/>
        </w:rPr>
        <w:t xml:space="preserve"> [Accessed on: 03.11.2022]</w:t>
      </w:r>
    </w:p>
    <w:p w14:paraId="47F66EEC"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Jain, N., 2021. A Tale of Two Cities: Reflections on Robinson's Twinning of International Criminal Law and Criminal Law Theory. </w:t>
      </w:r>
      <w:r>
        <w:rPr>
          <w:rFonts w:ascii="Times New Roman" w:eastAsia="Times New Roman" w:hAnsi="Times New Roman" w:cs="Times New Roman"/>
          <w:i/>
          <w:color w:val="222222"/>
          <w:sz w:val="24"/>
          <w:szCs w:val="24"/>
          <w:highlight w:val="white"/>
        </w:rPr>
        <w:t>Temp. Int'l &amp; Comp. 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p.25.</w:t>
      </w:r>
    </w:p>
    <w:p w14:paraId="540A33B7"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 A. P., 2018. Criminal Laws and Civil Rights. </w:t>
      </w:r>
      <w:r>
        <w:rPr>
          <w:rFonts w:ascii="Times New Roman" w:eastAsia="Times New Roman" w:hAnsi="Times New Roman" w:cs="Times New Roman"/>
          <w:i/>
          <w:color w:val="222222"/>
          <w:sz w:val="24"/>
          <w:szCs w:val="24"/>
          <w:highlight w:val="white"/>
        </w:rPr>
        <w:t>Economic and Political Weekly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 10-11.</w:t>
      </w:r>
    </w:p>
    <w:p w14:paraId="266EE779" w14:textId="77777777" w:rsidR="008D126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2022, Deregulation Act 2015, Available at: </w:t>
      </w:r>
      <w:hyperlink r:id="rId10">
        <w:r>
          <w:rPr>
            <w:rFonts w:ascii="Times New Roman" w:eastAsia="Times New Roman" w:hAnsi="Times New Roman" w:cs="Times New Roman"/>
            <w:color w:val="1155CC"/>
            <w:sz w:val="24"/>
            <w:szCs w:val="24"/>
            <w:u w:val="single"/>
          </w:rPr>
          <w:t>https://www.legislation.gov.uk/ukpga/2015/20/contents/enacted</w:t>
        </w:r>
      </w:hyperlink>
      <w:r>
        <w:rPr>
          <w:rFonts w:ascii="Times New Roman" w:eastAsia="Times New Roman" w:hAnsi="Times New Roman" w:cs="Times New Roman"/>
          <w:sz w:val="24"/>
          <w:szCs w:val="24"/>
        </w:rPr>
        <w:t xml:space="preserve"> [Accessed on: 03.11.2022]</w:t>
      </w:r>
    </w:p>
    <w:p w14:paraId="07B2C754"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Saffary, A. and Saberi, R., 2020. The Relativistic Theory of Coincidence between Mens Rea and Actus Reus in Islamic and English Law.</w:t>
      </w:r>
    </w:p>
    <w:p w14:paraId="7095A818"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Sheikh, H. and Subhan, M., 2017. Is the 'Failure to Act' a Sufficient Basis for Criminal Liability under English Criminal Law?. </w:t>
      </w:r>
      <w:r>
        <w:rPr>
          <w:rFonts w:ascii="Times New Roman" w:eastAsia="Times New Roman" w:hAnsi="Times New Roman" w:cs="Times New Roman"/>
          <w:i/>
          <w:color w:val="222222"/>
          <w:sz w:val="24"/>
          <w:szCs w:val="24"/>
          <w:highlight w:val="white"/>
        </w:rPr>
        <w:t>Criminal Law &amp; Justice Weekly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181</w:t>
      </w:r>
      <w:r>
        <w:rPr>
          <w:rFonts w:ascii="Times New Roman" w:eastAsia="Times New Roman" w:hAnsi="Times New Roman" w:cs="Times New Roman"/>
          <w:color w:val="222222"/>
          <w:sz w:val="24"/>
          <w:szCs w:val="24"/>
          <w:highlight w:val="white"/>
        </w:rPr>
        <w:t xml:space="preserve">. </w:t>
      </w:r>
    </w:p>
    <w:p w14:paraId="385EA4F8" w14:textId="77777777" w:rsidR="008D1264" w:rsidRDefault="0036675F" w:rsidP="008D1264">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Watt, M.A., 2019, August. Guido and the guilty mind: Mens rea and actus reus in Inferno 27. In </w:t>
      </w:r>
      <w:r>
        <w:rPr>
          <w:rFonts w:ascii="Times New Roman" w:eastAsia="Times New Roman" w:hAnsi="Times New Roman" w:cs="Times New Roman"/>
          <w:i/>
          <w:color w:val="222222"/>
          <w:sz w:val="24"/>
          <w:szCs w:val="24"/>
          <w:highlight w:val="white"/>
        </w:rPr>
        <w:t>Forum Italicum</w:t>
      </w:r>
      <w:r>
        <w:rPr>
          <w:rFonts w:ascii="Times New Roman" w:eastAsia="Times New Roman" w:hAnsi="Times New Roman" w:cs="Times New Roman"/>
          <w:color w:val="222222"/>
          <w:sz w:val="24"/>
          <w:szCs w:val="24"/>
          <w:highlight w:val="white"/>
        </w:rPr>
        <w:t xml:space="preserve"> (Vol. 53, No. 2, pp. 318-326). Sage UK: London, England: SAGE Publications.</w:t>
      </w:r>
    </w:p>
    <w:p w14:paraId="21EB8880" w14:textId="77777777" w:rsidR="008D1264" w:rsidRPr="008D1264" w:rsidRDefault="0036675F" w:rsidP="008D1264">
      <w:pPr>
        <w:spacing w:before="240" w:after="240" w:line="360" w:lineRule="auto"/>
        <w:jc w:val="both"/>
        <w:rPr>
          <w:rFonts w:ascii="Times New Roman" w:eastAsia="Times New Roman" w:hAnsi="Times New Roman" w:cs="Times New Roman"/>
          <w:b/>
          <w:bCs/>
          <w:i/>
          <w:iCs/>
          <w:color w:val="222222"/>
          <w:sz w:val="24"/>
          <w:szCs w:val="24"/>
          <w:highlight w:val="white"/>
        </w:rPr>
      </w:pPr>
      <w:r w:rsidRPr="008D1264">
        <w:rPr>
          <w:rFonts w:ascii="Times New Roman" w:eastAsia="Times New Roman" w:hAnsi="Times New Roman" w:cs="Times New Roman"/>
          <w:b/>
          <w:bCs/>
          <w:i/>
          <w:iCs/>
          <w:color w:val="222222"/>
          <w:sz w:val="24"/>
          <w:szCs w:val="24"/>
          <w:highlight w:val="white"/>
        </w:rPr>
        <w:t>Case Laws</w:t>
      </w:r>
    </w:p>
    <w:p w14:paraId="63E05823"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v. Bedfordshire CC [1995] 2 AC 633</w:t>
      </w:r>
    </w:p>
    <w:p w14:paraId="30A2150D" w14:textId="77777777" w:rsidR="00310B84" w:rsidRDefault="0036675F" w:rsidP="008D126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Ellis 2003</w:t>
      </w:r>
    </w:p>
    <w:p w14:paraId="550E617F" w14:textId="77777777" w:rsidR="00310B84" w:rsidRDefault="0036675F" w:rsidP="008D1264">
      <w:pPr>
        <w:shd w:val="clear" w:color="auto" w:fill="FFFFFF"/>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12529"/>
          <w:sz w:val="24"/>
          <w:szCs w:val="24"/>
          <w:highlight w:val="white"/>
        </w:rPr>
        <w:t>Thabo Meli v R [1954] 1 WLR, 228</w:t>
      </w:r>
    </w:p>
    <w:p w14:paraId="23BF33CF" w14:textId="77777777" w:rsidR="00310B84" w:rsidRDefault="00310B84" w:rsidP="008D1264">
      <w:pPr>
        <w:spacing w:before="240" w:after="240" w:line="360" w:lineRule="auto"/>
        <w:jc w:val="both"/>
        <w:rPr>
          <w:rFonts w:ascii="Times New Roman" w:eastAsia="Times New Roman" w:hAnsi="Times New Roman" w:cs="Times New Roman"/>
          <w:b/>
          <w:sz w:val="24"/>
          <w:szCs w:val="24"/>
        </w:rPr>
      </w:pPr>
    </w:p>
    <w:p w14:paraId="79334A89" w14:textId="77777777" w:rsidR="00310B84" w:rsidRDefault="00310B84" w:rsidP="008D1264">
      <w:pPr>
        <w:spacing w:before="240" w:after="240" w:line="360" w:lineRule="auto"/>
        <w:jc w:val="both"/>
        <w:rPr>
          <w:rFonts w:ascii="Times New Roman" w:eastAsia="Times New Roman" w:hAnsi="Times New Roman" w:cs="Times New Roman"/>
          <w:b/>
          <w:sz w:val="24"/>
          <w:szCs w:val="24"/>
        </w:rPr>
      </w:pPr>
    </w:p>
    <w:sectPr w:rsidR="00310B84" w:rsidSect="009B4D37">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22E16" w14:textId="77777777" w:rsidR="00BA7A09" w:rsidRDefault="00BA7A09">
      <w:pPr>
        <w:spacing w:line="240" w:lineRule="auto"/>
      </w:pPr>
      <w:r>
        <w:separator/>
      </w:r>
    </w:p>
  </w:endnote>
  <w:endnote w:type="continuationSeparator" w:id="0">
    <w:p w14:paraId="3BDD680B" w14:textId="77777777" w:rsidR="00BA7A09" w:rsidRDefault="00BA7A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695095"/>
      <w:docPartObj>
        <w:docPartGallery w:val="Page Numbers (Bottom of Page)"/>
        <w:docPartUnique/>
      </w:docPartObj>
    </w:sdtPr>
    <w:sdtEndPr>
      <w:rPr>
        <w:noProof/>
      </w:rPr>
    </w:sdtEndPr>
    <w:sdtContent>
      <w:p w14:paraId="55F70C0C" w14:textId="77777777" w:rsidR="005A4F1D" w:rsidRDefault="001738B3">
        <w:pPr>
          <w:pStyle w:val="Footer"/>
          <w:jc w:val="right"/>
        </w:pPr>
        <w:r>
          <w:fldChar w:fldCharType="begin"/>
        </w:r>
        <w:r w:rsidR="0036675F">
          <w:instrText xml:space="preserve"> PAGE   \* MERGEFORMAT </w:instrText>
        </w:r>
        <w:r>
          <w:fldChar w:fldCharType="separate"/>
        </w:r>
        <w:r w:rsidR="009B4D37">
          <w:rPr>
            <w:noProof/>
          </w:rPr>
          <w:t>8</w:t>
        </w:r>
        <w:r>
          <w:rPr>
            <w:noProof/>
          </w:rPr>
          <w:fldChar w:fldCharType="end"/>
        </w:r>
      </w:p>
    </w:sdtContent>
  </w:sdt>
  <w:p w14:paraId="0195FF6E" w14:textId="77777777" w:rsidR="005A4F1D" w:rsidRDefault="005A4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28A44" w14:textId="77777777" w:rsidR="00BA7A09" w:rsidRDefault="00BA7A09">
      <w:pPr>
        <w:spacing w:line="240" w:lineRule="auto"/>
      </w:pPr>
      <w:r>
        <w:separator/>
      </w:r>
    </w:p>
  </w:footnote>
  <w:footnote w:type="continuationSeparator" w:id="0">
    <w:p w14:paraId="074FC26F" w14:textId="77777777" w:rsidR="00BA7A09" w:rsidRDefault="00BA7A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B4F20"/>
    <w:multiLevelType w:val="multilevel"/>
    <w:tmpl w:val="ABE29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6148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0B84"/>
    <w:rsid w:val="001738B3"/>
    <w:rsid w:val="00310B84"/>
    <w:rsid w:val="0036675F"/>
    <w:rsid w:val="005A4F1D"/>
    <w:rsid w:val="00682594"/>
    <w:rsid w:val="008D1264"/>
    <w:rsid w:val="009B4D37"/>
    <w:rsid w:val="00BA7A09"/>
    <w:rsid w:val="00C95CCE"/>
    <w:rsid w:val="00D57BA1"/>
    <w:rsid w:val="00D65D41"/>
    <w:rsid w:val="00E03A9B"/>
    <w:rsid w:val="00FC5E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A2AC3"/>
  <w15:docId w15:val="{14A7E2BF-9AEC-4A66-BB52-980109CD6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8B3"/>
  </w:style>
  <w:style w:type="paragraph" w:styleId="Heading1">
    <w:name w:val="heading 1"/>
    <w:basedOn w:val="Normal"/>
    <w:next w:val="Normal"/>
    <w:uiPriority w:val="9"/>
    <w:qFormat/>
    <w:rsid w:val="008D1264"/>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rsid w:val="001738B3"/>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738B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738B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738B3"/>
    <w:pPr>
      <w:keepNext/>
      <w:keepLines/>
      <w:spacing w:before="240" w:after="80"/>
      <w:outlineLvl w:val="4"/>
    </w:pPr>
    <w:rPr>
      <w:color w:val="666666"/>
    </w:rPr>
  </w:style>
  <w:style w:type="paragraph" w:styleId="Heading6">
    <w:name w:val="heading 6"/>
    <w:basedOn w:val="Normal"/>
    <w:next w:val="Normal"/>
    <w:uiPriority w:val="9"/>
    <w:semiHidden/>
    <w:unhideWhenUsed/>
    <w:qFormat/>
    <w:rsid w:val="001738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738B3"/>
    <w:pPr>
      <w:keepNext/>
      <w:keepLines/>
      <w:spacing w:after="60"/>
    </w:pPr>
    <w:rPr>
      <w:sz w:val="52"/>
      <w:szCs w:val="52"/>
    </w:rPr>
  </w:style>
  <w:style w:type="paragraph" w:styleId="Subtitle">
    <w:name w:val="Subtitle"/>
    <w:basedOn w:val="Normal"/>
    <w:next w:val="Normal"/>
    <w:uiPriority w:val="11"/>
    <w:qFormat/>
    <w:rsid w:val="001738B3"/>
    <w:pPr>
      <w:keepNext/>
      <w:keepLines/>
      <w:spacing w:after="320"/>
    </w:pPr>
    <w:rPr>
      <w:color w:val="666666"/>
      <w:sz w:val="30"/>
      <w:szCs w:val="30"/>
    </w:rPr>
  </w:style>
  <w:style w:type="paragraph" w:styleId="TOCHeading">
    <w:name w:val="TOC Heading"/>
    <w:basedOn w:val="Heading1"/>
    <w:next w:val="Normal"/>
    <w:uiPriority w:val="39"/>
    <w:unhideWhenUsed/>
    <w:qFormat/>
    <w:rsid w:val="008D126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D1264"/>
    <w:pPr>
      <w:spacing w:after="100"/>
    </w:pPr>
  </w:style>
  <w:style w:type="character" w:styleId="Hyperlink">
    <w:name w:val="Hyperlink"/>
    <w:basedOn w:val="DefaultParagraphFont"/>
    <w:uiPriority w:val="99"/>
    <w:unhideWhenUsed/>
    <w:rsid w:val="008D1264"/>
    <w:rPr>
      <w:color w:val="0000FF" w:themeColor="hyperlink"/>
      <w:u w:val="single"/>
    </w:rPr>
  </w:style>
  <w:style w:type="paragraph" w:styleId="Header">
    <w:name w:val="header"/>
    <w:basedOn w:val="Normal"/>
    <w:link w:val="HeaderChar"/>
    <w:uiPriority w:val="99"/>
    <w:unhideWhenUsed/>
    <w:rsid w:val="005A4F1D"/>
    <w:pPr>
      <w:tabs>
        <w:tab w:val="center" w:pos="4513"/>
        <w:tab w:val="right" w:pos="9026"/>
      </w:tabs>
      <w:spacing w:line="240" w:lineRule="auto"/>
    </w:pPr>
  </w:style>
  <w:style w:type="character" w:customStyle="1" w:styleId="HeaderChar">
    <w:name w:val="Header Char"/>
    <w:basedOn w:val="DefaultParagraphFont"/>
    <w:link w:val="Header"/>
    <w:uiPriority w:val="99"/>
    <w:rsid w:val="005A4F1D"/>
  </w:style>
  <w:style w:type="paragraph" w:styleId="Footer">
    <w:name w:val="footer"/>
    <w:basedOn w:val="Normal"/>
    <w:link w:val="FooterChar"/>
    <w:uiPriority w:val="99"/>
    <w:unhideWhenUsed/>
    <w:rsid w:val="005A4F1D"/>
    <w:pPr>
      <w:tabs>
        <w:tab w:val="center" w:pos="4513"/>
        <w:tab w:val="right" w:pos="9026"/>
      </w:tabs>
      <w:spacing w:line="240" w:lineRule="auto"/>
    </w:pPr>
  </w:style>
  <w:style w:type="character" w:customStyle="1" w:styleId="FooterChar">
    <w:name w:val="Footer Char"/>
    <w:basedOn w:val="DefaultParagraphFont"/>
    <w:link w:val="Footer"/>
    <w:uiPriority w:val="99"/>
    <w:rsid w:val="005A4F1D"/>
  </w:style>
  <w:style w:type="paragraph" w:styleId="BalloonText">
    <w:name w:val="Balloon Text"/>
    <w:basedOn w:val="Normal"/>
    <w:link w:val="BalloonTextChar"/>
    <w:uiPriority w:val="99"/>
    <w:semiHidden/>
    <w:unhideWhenUsed/>
    <w:rsid w:val="009B4D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D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taliatory-eviction-and-the-deregulation-act-2015-guidance-no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lation.gov.uk/ukpga/2015/20/contents/enacted" TargetMode="External"/><Relationship Id="rId4" Type="http://schemas.openxmlformats.org/officeDocument/2006/relationships/settings" Target="settings.xml"/><Relationship Id="rId9" Type="http://schemas.openxmlformats.org/officeDocument/2006/relationships/hyperlink" Target="https://www.iclr.co.uk/knowledge/glossary/mens-rea-and-actus-re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F1ADA-F343-4702-B83C-408A8CD90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1939</Words>
  <Characters>11054</Characters>
  <Application>Microsoft Office Word</Application>
  <DocSecurity>0</DocSecurity>
  <Lines>92</Lines>
  <Paragraphs>25</Paragraphs>
  <ScaleCrop>false</ScaleCrop>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Leria Abraham</cp:lastModifiedBy>
  <cp:revision>4</cp:revision>
  <dcterms:created xsi:type="dcterms:W3CDTF">2022-11-03T08:10:00Z</dcterms:created>
  <dcterms:modified xsi:type="dcterms:W3CDTF">2022-11-11T20:10:00Z</dcterms:modified>
</cp:coreProperties>
</file>