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3F7BF" w14:textId="078A5987" w:rsidR="000C53F4" w:rsidRDefault="000C53F4" w:rsidP="00306FBF">
      <w:pPr>
        <w:jc w:val="center"/>
        <w:rPr>
          <w:rFonts w:ascii="Arial" w:hAnsi="Arial" w:cs="Arial"/>
          <w:b/>
          <w:bCs/>
          <w:sz w:val="40"/>
          <w:szCs w:val="40"/>
        </w:rPr>
      </w:pPr>
      <w:r w:rsidRPr="00306FBF">
        <w:rPr>
          <w:rFonts w:ascii="Arial" w:hAnsi="Arial" w:cs="Arial"/>
          <w:b/>
          <w:bCs/>
          <w:sz w:val="40"/>
          <w:szCs w:val="40"/>
        </w:rPr>
        <w:t>Ethics, Governance and Sustainability in the Global Automotive Sector</w:t>
      </w:r>
    </w:p>
    <w:p w14:paraId="10107579" w14:textId="77777777" w:rsidR="00306FBF" w:rsidRDefault="00306FBF" w:rsidP="00306FBF">
      <w:pPr>
        <w:jc w:val="center"/>
        <w:rPr>
          <w:rFonts w:ascii="Arial" w:hAnsi="Arial" w:cs="Arial"/>
          <w:b/>
          <w:bCs/>
          <w:sz w:val="40"/>
          <w:szCs w:val="40"/>
        </w:rPr>
      </w:pPr>
    </w:p>
    <w:p w14:paraId="19F072D5" w14:textId="31FF33C2" w:rsidR="00306FBF" w:rsidRPr="00306FBF" w:rsidRDefault="00306FBF" w:rsidP="00306FBF">
      <w:pPr>
        <w:jc w:val="center"/>
        <w:rPr>
          <w:rFonts w:ascii="Arial" w:hAnsi="Arial" w:cs="Arial"/>
          <w:b/>
          <w:bCs/>
          <w:sz w:val="36"/>
          <w:szCs w:val="36"/>
        </w:rPr>
      </w:pPr>
      <w:bookmarkStart w:id="0" w:name="_Hlk216657501"/>
      <w:r w:rsidRPr="00306FBF">
        <w:rPr>
          <w:rFonts w:ascii="Arial" w:hAnsi="Arial" w:cs="Arial"/>
          <w:b/>
          <w:bCs/>
          <w:sz w:val="36"/>
          <w:szCs w:val="36"/>
        </w:rPr>
        <w:t xml:space="preserve">Amalia – </w:t>
      </w:r>
      <w:proofErr w:type="spellStart"/>
      <w:r w:rsidRPr="00306FBF">
        <w:rPr>
          <w:rFonts w:ascii="Arial" w:hAnsi="Arial" w:cs="Arial"/>
          <w:b/>
          <w:bCs/>
          <w:sz w:val="36"/>
          <w:szCs w:val="36"/>
        </w:rPr>
        <w:t>Cerasela</w:t>
      </w:r>
      <w:proofErr w:type="spellEnd"/>
      <w:r w:rsidRPr="00306FBF">
        <w:rPr>
          <w:rFonts w:ascii="Arial" w:hAnsi="Arial" w:cs="Arial"/>
          <w:b/>
          <w:bCs/>
          <w:sz w:val="36"/>
          <w:szCs w:val="36"/>
        </w:rPr>
        <w:t xml:space="preserve"> Pandele</w:t>
      </w:r>
    </w:p>
    <w:p w14:paraId="6933BE2A" w14:textId="10F3A6B7" w:rsidR="00306FBF" w:rsidRPr="00306FBF" w:rsidRDefault="00306FBF" w:rsidP="00306FBF">
      <w:pPr>
        <w:jc w:val="center"/>
        <w:rPr>
          <w:rFonts w:ascii="Arial" w:hAnsi="Arial" w:cs="Arial"/>
          <w:b/>
          <w:bCs/>
          <w:sz w:val="36"/>
          <w:szCs w:val="36"/>
        </w:rPr>
      </w:pPr>
      <w:r w:rsidRPr="00306FBF">
        <w:rPr>
          <w:rFonts w:ascii="Arial" w:hAnsi="Arial" w:cs="Arial"/>
          <w:b/>
          <w:bCs/>
          <w:sz w:val="36"/>
          <w:szCs w:val="36"/>
        </w:rPr>
        <w:t>Student ID: 2244520</w:t>
      </w:r>
    </w:p>
    <w:p w14:paraId="779C08C9" w14:textId="1699F4F7" w:rsidR="00306FBF" w:rsidRPr="00306FBF" w:rsidRDefault="00306FBF" w:rsidP="00306FBF">
      <w:pPr>
        <w:jc w:val="center"/>
        <w:rPr>
          <w:rFonts w:ascii="Arial" w:hAnsi="Arial" w:cs="Arial"/>
          <w:b/>
          <w:bCs/>
          <w:sz w:val="36"/>
          <w:szCs w:val="36"/>
        </w:rPr>
      </w:pPr>
      <w:r w:rsidRPr="00306FBF">
        <w:rPr>
          <w:rFonts w:ascii="Arial" w:hAnsi="Arial" w:cs="Arial"/>
          <w:b/>
          <w:bCs/>
          <w:sz w:val="36"/>
          <w:szCs w:val="36"/>
        </w:rPr>
        <w:t>LCBB4014 Introduction to Business</w:t>
      </w:r>
    </w:p>
    <w:bookmarkEnd w:id="0"/>
    <w:p w14:paraId="529A832F" w14:textId="77777777" w:rsidR="00306FBF" w:rsidRPr="00306FBF" w:rsidRDefault="00306FBF" w:rsidP="00306FBF">
      <w:pPr>
        <w:jc w:val="center"/>
        <w:rPr>
          <w:rFonts w:ascii="Arial" w:hAnsi="Arial" w:cs="Arial"/>
          <w:b/>
          <w:bCs/>
          <w:sz w:val="40"/>
          <w:szCs w:val="40"/>
        </w:rPr>
      </w:pPr>
    </w:p>
    <w:p w14:paraId="222D03B9" w14:textId="77777777" w:rsidR="000C53F4" w:rsidRDefault="000C53F4"/>
    <w:p w14:paraId="4BB0C598" w14:textId="5A7913EA" w:rsidR="000C53F4" w:rsidRDefault="000C53F4"/>
    <w:p w14:paraId="71FDCB8D" w14:textId="77777777" w:rsidR="000C53F4" w:rsidRDefault="000C53F4">
      <w:r>
        <w:br w:type="page"/>
      </w:r>
    </w:p>
    <w:p w14:paraId="43818285" w14:textId="01533C2A" w:rsidR="000C53F4" w:rsidRPr="00306FBF" w:rsidRDefault="000C53F4" w:rsidP="00306FBF">
      <w:pPr>
        <w:spacing w:line="480" w:lineRule="auto"/>
        <w:rPr>
          <w:rFonts w:ascii="Arial" w:hAnsi="Arial" w:cs="Arial"/>
          <w:b/>
          <w:bCs/>
          <w:sz w:val="24"/>
          <w:szCs w:val="24"/>
        </w:rPr>
      </w:pPr>
      <w:r w:rsidRPr="00306FBF">
        <w:rPr>
          <w:rFonts w:ascii="Arial" w:hAnsi="Arial" w:cs="Arial"/>
          <w:b/>
          <w:bCs/>
          <w:sz w:val="24"/>
          <w:szCs w:val="24"/>
        </w:rPr>
        <w:lastRenderedPageBreak/>
        <w:t xml:space="preserve">Introduction </w:t>
      </w:r>
    </w:p>
    <w:p w14:paraId="065D8979" w14:textId="1295C33C"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Organi</w:t>
      </w:r>
      <w:r w:rsidR="00306FBF">
        <w:rPr>
          <w:rFonts w:ascii="Arial" w:hAnsi="Arial" w:cs="Arial"/>
          <w:sz w:val="24"/>
          <w:szCs w:val="24"/>
        </w:rPr>
        <w:t>s</w:t>
      </w:r>
      <w:r w:rsidRPr="00306FBF">
        <w:rPr>
          <w:rFonts w:ascii="Arial" w:hAnsi="Arial" w:cs="Arial"/>
          <w:sz w:val="24"/>
          <w:szCs w:val="24"/>
        </w:rPr>
        <w:t>ations today need to implement business ethics and corporate social responsibility (CSR) as their core strategic elements because society demands better corporate transparency and environmental protection and accountability. The worldwide automotive sector stands as a difficult area for ethical and social responsibility because it faces three major challenges which include its high carbon emissions and its worldwide manufacturing system and its ability to endanger people in public spaces. The automotive industry faces multiple social and ethical challenges because it undergoes fast-paced changes because of electric vehicle adoption and digital technology implementation and environmental standards enforcement. The paper defines business ethics and CSR through the Environmental Social and Governance (ESG) framework and Institutional Theory framework. The research applies these models to Nissan Motor Corporation and Rivian Automotive and Geely Automobile Holdings for studying their approaches to sustainability transition management and ethical practices and regulatory adherence and stakeholder responsibility.</w:t>
      </w:r>
    </w:p>
    <w:p w14:paraId="7DF04394" w14:textId="77777777" w:rsidR="000C53F4" w:rsidRPr="00306FBF" w:rsidRDefault="000C53F4" w:rsidP="00306FBF">
      <w:pPr>
        <w:spacing w:line="480" w:lineRule="auto"/>
        <w:rPr>
          <w:rFonts w:ascii="Arial" w:hAnsi="Arial" w:cs="Arial"/>
          <w:sz w:val="24"/>
          <w:szCs w:val="24"/>
        </w:rPr>
      </w:pPr>
    </w:p>
    <w:p w14:paraId="71248001" w14:textId="77777777" w:rsidR="000C53F4" w:rsidRDefault="000C53F4" w:rsidP="00306FBF">
      <w:pPr>
        <w:spacing w:line="480" w:lineRule="auto"/>
        <w:rPr>
          <w:rFonts w:ascii="Arial" w:hAnsi="Arial" w:cs="Arial"/>
          <w:sz w:val="24"/>
          <w:szCs w:val="24"/>
        </w:rPr>
      </w:pPr>
    </w:p>
    <w:p w14:paraId="38B5A75E" w14:textId="77777777" w:rsidR="00B70AF0" w:rsidRDefault="00B70AF0" w:rsidP="00306FBF">
      <w:pPr>
        <w:spacing w:line="480" w:lineRule="auto"/>
        <w:rPr>
          <w:rFonts w:ascii="Arial" w:hAnsi="Arial" w:cs="Arial"/>
          <w:sz w:val="24"/>
          <w:szCs w:val="24"/>
        </w:rPr>
      </w:pPr>
    </w:p>
    <w:p w14:paraId="2F386F65" w14:textId="77777777" w:rsidR="00B70AF0" w:rsidRDefault="00B70AF0" w:rsidP="00306FBF">
      <w:pPr>
        <w:spacing w:line="480" w:lineRule="auto"/>
        <w:rPr>
          <w:rFonts w:ascii="Arial" w:hAnsi="Arial" w:cs="Arial"/>
          <w:sz w:val="24"/>
          <w:szCs w:val="24"/>
        </w:rPr>
      </w:pPr>
    </w:p>
    <w:p w14:paraId="270A87B4" w14:textId="77777777" w:rsidR="00B70AF0" w:rsidRDefault="00B70AF0" w:rsidP="00306FBF">
      <w:pPr>
        <w:spacing w:line="480" w:lineRule="auto"/>
        <w:rPr>
          <w:rFonts w:ascii="Arial" w:hAnsi="Arial" w:cs="Arial"/>
          <w:sz w:val="24"/>
          <w:szCs w:val="24"/>
        </w:rPr>
      </w:pPr>
    </w:p>
    <w:p w14:paraId="0755948A" w14:textId="77777777" w:rsidR="00B70AF0" w:rsidRDefault="00B70AF0" w:rsidP="00306FBF">
      <w:pPr>
        <w:spacing w:line="480" w:lineRule="auto"/>
        <w:rPr>
          <w:rFonts w:ascii="Arial" w:hAnsi="Arial" w:cs="Arial"/>
          <w:sz w:val="24"/>
          <w:szCs w:val="24"/>
        </w:rPr>
      </w:pPr>
    </w:p>
    <w:p w14:paraId="49FF823C" w14:textId="77777777" w:rsidR="00B70AF0" w:rsidRPr="00306FBF" w:rsidRDefault="00B70AF0" w:rsidP="00306FBF">
      <w:pPr>
        <w:spacing w:line="480" w:lineRule="auto"/>
        <w:rPr>
          <w:rFonts w:ascii="Arial" w:hAnsi="Arial" w:cs="Arial"/>
          <w:sz w:val="24"/>
          <w:szCs w:val="24"/>
        </w:rPr>
      </w:pPr>
    </w:p>
    <w:p w14:paraId="2B81F151" w14:textId="2114013E" w:rsidR="000C53F4" w:rsidRPr="00306FBF" w:rsidRDefault="000C53F4" w:rsidP="00306FBF">
      <w:pPr>
        <w:spacing w:line="480" w:lineRule="auto"/>
        <w:rPr>
          <w:rFonts w:ascii="Arial" w:hAnsi="Arial" w:cs="Arial"/>
          <w:b/>
          <w:bCs/>
          <w:sz w:val="24"/>
          <w:szCs w:val="24"/>
        </w:rPr>
      </w:pPr>
      <w:r w:rsidRPr="00306FBF">
        <w:rPr>
          <w:rFonts w:ascii="Arial" w:hAnsi="Arial" w:cs="Arial"/>
          <w:b/>
          <w:bCs/>
          <w:sz w:val="24"/>
          <w:szCs w:val="24"/>
        </w:rPr>
        <w:lastRenderedPageBreak/>
        <w:t>Main Body</w:t>
      </w:r>
    </w:p>
    <w:p w14:paraId="43993523" w14:textId="3A0F0A37"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Business ethics defines the moral standards which organi</w:t>
      </w:r>
      <w:r w:rsidR="00306FBF">
        <w:rPr>
          <w:rFonts w:ascii="Arial" w:hAnsi="Arial" w:cs="Arial"/>
          <w:sz w:val="24"/>
          <w:szCs w:val="24"/>
        </w:rPr>
        <w:t>s</w:t>
      </w:r>
      <w:r w:rsidRPr="00306FBF">
        <w:rPr>
          <w:rFonts w:ascii="Arial" w:hAnsi="Arial" w:cs="Arial"/>
          <w:sz w:val="24"/>
          <w:szCs w:val="24"/>
        </w:rPr>
        <w:t>ations and their leadership use to determine proper business actions. The organi</w:t>
      </w:r>
      <w:r w:rsidR="00306FBF">
        <w:rPr>
          <w:rFonts w:ascii="Arial" w:hAnsi="Arial" w:cs="Arial"/>
          <w:sz w:val="24"/>
          <w:szCs w:val="24"/>
        </w:rPr>
        <w:t>s</w:t>
      </w:r>
      <w:r w:rsidRPr="00306FBF">
        <w:rPr>
          <w:rFonts w:ascii="Arial" w:hAnsi="Arial" w:cs="Arial"/>
          <w:sz w:val="24"/>
          <w:szCs w:val="24"/>
        </w:rPr>
        <w:t>ation uses these values to determine its choices about honesty and fairness and safety and transparency and its duties toward all stakeholders. Treviño and Nelson (2021) demonstrate that business ethics exists as an integral part of organi</w:t>
      </w:r>
      <w:r w:rsidR="00306FBF">
        <w:rPr>
          <w:rFonts w:ascii="Arial" w:hAnsi="Arial" w:cs="Arial"/>
          <w:sz w:val="24"/>
          <w:szCs w:val="24"/>
        </w:rPr>
        <w:t>s</w:t>
      </w:r>
      <w:r w:rsidRPr="00306FBF">
        <w:rPr>
          <w:rFonts w:ascii="Arial" w:hAnsi="Arial" w:cs="Arial"/>
          <w:sz w:val="24"/>
          <w:szCs w:val="24"/>
        </w:rPr>
        <w:t xml:space="preserve">ational culture and governance systems which determine how companies handle risks and misconduct and regulatory requirements. The automotive industry requires maximum ethical responsibility because safety management failures and emissions reporting inaccuracies and </w:t>
      </w:r>
      <w:r w:rsidR="00B70AF0" w:rsidRPr="00306FBF">
        <w:rPr>
          <w:rFonts w:ascii="Arial" w:hAnsi="Arial" w:cs="Arial"/>
          <w:sz w:val="24"/>
          <w:szCs w:val="24"/>
        </w:rPr>
        <w:t>labour</w:t>
      </w:r>
      <w:r w:rsidRPr="00306FBF">
        <w:rPr>
          <w:rFonts w:ascii="Arial" w:hAnsi="Arial" w:cs="Arial"/>
          <w:sz w:val="24"/>
          <w:szCs w:val="24"/>
        </w:rPr>
        <w:t xml:space="preserve"> protection violations result in major social dangers and permanent damage to corporate reputation.</w:t>
      </w:r>
    </w:p>
    <w:p w14:paraId="58B3A526" w14:textId="46099E44"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 xml:space="preserve">Businesses under CSR guidelines must perform socially beneficial work and environmental protection alongside their goal to generate profits. The main difference between business ethics and CSR exists because business ethics deals with moral </w:t>
      </w:r>
      <w:r w:rsidR="00306FBF" w:rsidRPr="00306FBF">
        <w:rPr>
          <w:rFonts w:ascii="Arial" w:hAnsi="Arial" w:cs="Arial"/>
          <w:sz w:val="24"/>
          <w:szCs w:val="24"/>
        </w:rPr>
        <w:t>choices,</w:t>
      </w:r>
      <w:r w:rsidRPr="00306FBF">
        <w:rPr>
          <w:rFonts w:ascii="Arial" w:hAnsi="Arial" w:cs="Arial"/>
          <w:sz w:val="24"/>
          <w:szCs w:val="24"/>
        </w:rPr>
        <w:t xml:space="preserve"> but CSR requires organi</w:t>
      </w:r>
      <w:r w:rsidR="00306FBF">
        <w:rPr>
          <w:rFonts w:ascii="Arial" w:hAnsi="Arial" w:cs="Arial"/>
          <w:sz w:val="24"/>
          <w:szCs w:val="24"/>
        </w:rPr>
        <w:t>s</w:t>
      </w:r>
      <w:r w:rsidRPr="00306FBF">
        <w:rPr>
          <w:rFonts w:ascii="Arial" w:hAnsi="Arial" w:cs="Arial"/>
          <w:sz w:val="24"/>
          <w:szCs w:val="24"/>
        </w:rPr>
        <w:t xml:space="preserve">ations to actively work on social and environmental problems. </w:t>
      </w:r>
      <w:proofErr w:type="spellStart"/>
      <w:r w:rsidRPr="00306FBF">
        <w:rPr>
          <w:rFonts w:ascii="Arial" w:hAnsi="Arial" w:cs="Arial"/>
          <w:sz w:val="24"/>
          <w:szCs w:val="24"/>
        </w:rPr>
        <w:t>Aguinis</w:t>
      </w:r>
      <w:proofErr w:type="spellEnd"/>
      <w:r w:rsidRPr="00306FBF">
        <w:rPr>
          <w:rFonts w:ascii="Arial" w:hAnsi="Arial" w:cs="Arial"/>
          <w:sz w:val="24"/>
          <w:szCs w:val="24"/>
        </w:rPr>
        <w:t xml:space="preserve"> (2020) explains that CSR represents specific organi</w:t>
      </w:r>
      <w:r w:rsidR="00306FBF">
        <w:rPr>
          <w:rFonts w:ascii="Arial" w:hAnsi="Arial" w:cs="Arial"/>
          <w:sz w:val="24"/>
          <w:szCs w:val="24"/>
        </w:rPr>
        <w:t>s</w:t>
      </w:r>
      <w:r w:rsidRPr="00306FBF">
        <w:rPr>
          <w:rFonts w:ascii="Arial" w:hAnsi="Arial" w:cs="Arial"/>
          <w:sz w:val="24"/>
          <w:szCs w:val="24"/>
        </w:rPr>
        <w:t>ational initiatives which organi</w:t>
      </w:r>
      <w:r w:rsidR="00306FBF">
        <w:rPr>
          <w:rFonts w:ascii="Arial" w:hAnsi="Arial" w:cs="Arial"/>
          <w:sz w:val="24"/>
          <w:szCs w:val="24"/>
        </w:rPr>
        <w:t>s</w:t>
      </w:r>
      <w:r w:rsidRPr="00306FBF">
        <w:rPr>
          <w:rFonts w:ascii="Arial" w:hAnsi="Arial" w:cs="Arial"/>
          <w:sz w:val="24"/>
          <w:szCs w:val="24"/>
        </w:rPr>
        <w:t>ations use to enhance social welfare while they manage different stakeholder needs. The automotive industry implements CSR through two main areas which include environmental emission control and responsible battery procurement and employee safety measures and vehicle manufacturing standards.</w:t>
      </w:r>
    </w:p>
    <w:p w14:paraId="1264777D" w14:textId="0E915EE0"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The ESG framework serves as a current framework which helps organi</w:t>
      </w:r>
      <w:r w:rsidR="00306FBF">
        <w:rPr>
          <w:rFonts w:ascii="Arial" w:hAnsi="Arial" w:cs="Arial"/>
          <w:sz w:val="24"/>
          <w:szCs w:val="24"/>
        </w:rPr>
        <w:t>s</w:t>
      </w:r>
      <w:r w:rsidRPr="00306FBF">
        <w:rPr>
          <w:rFonts w:ascii="Arial" w:hAnsi="Arial" w:cs="Arial"/>
          <w:sz w:val="24"/>
          <w:szCs w:val="24"/>
        </w:rPr>
        <w:t xml:space="preserve">ations understand CSR practices in their modern business operations. The ESG framework assesses corporate performance through its evaluation of environmental impact and </w:t>
      </w:r>
      <w:r w:rsidRPr="00306FBF">
        <w:rPr>
          <w:rFonts w:ascii="Arial" w:hAnsi="Arial" w:cs="Arial"/>
          <w:sz w:val="24"/>
          <w:szCs w:val="24"/>
        </w:rPr>
        <w:lastRenderedPageBreak/>
        <w:t>social responsibility and governance quality. The assessment of environmental elements evaluates how well organi</w:t>
      </w:r>
      <w:r w:rsidR="00306FBF">
        <w:rPr>
          <w:rFonts w:ascii="Arial" w:hAnsi="Arial" w:cs="Arial"/>
          <w:sz w:val="24"/>
          <w:szCs w:val="24"/>
        </w:rPr>
        <w:t>s</w:t>
      </w:r>
      <w:r w:rsidRPr="00306FBF">
        <w:rPr>
          <w:rFonts w:ascii="Arial" w:hAnsi="Arial" w:cs="Arial"/>
          <w:sz w:val="24"/>
          <w:szCs w:val="24"/>
        </w:rPr>
        <w:t>ations reduce their emissions and boost their energy efficiency and their resource utili</w:t>
      </w:r>
      <w:r w:rsidR="00306FBF">
        <w:rPr>
          <w:rFonts w:ascii="Arial" w:hAnsi="Arial" w:cs="Arial"/>
          <w:sz w:val="24"/>
          <w:szCs w:val="24"/>
        </w:rPr>
        <w:t>s</w:t>
      </w:r>
      <w:r w:rsidRPr="00306FBF">
        <w:rPr>
          <w:rFonts w:ascii="Arial" w:hAnsi="Arial" w:cs="Arial"/>
          <w:sz w:val="24"/>
          <w:szCs w:val="24"/>
        </w:rPr>
        <w:t>ation. Social factors concentrate on three main areas which include labour standards and their effects on communities and their impact on consumer safety. The governance assessment examines how well organi</w:t>
      </w:r>
      <w:r w:rsidR="00306FBF">
        <w:rPr>
          <w:rFonts w:ascii="Arial" w:hAnsi="Arial" w:cs="Arial"/>
          <w:sz w:val="24"/>
          <w:szCs w:val="24"/>
        </w:rPr>
        <w:t>s</w:t>
      </w:r>
      <w:r w:rsidRPr="00306FBF">
        <w:rPr>
          <w:rFonts w:ascii="Arial" w:hAnsi="Arial" w:cs="Arial"/>
          <w:sz w:val="24"/>
          <w:szCs w:val="24"/>
        </w:rPr>
        <w:t>ations demonstrate transparency while holding their boards responsible and following regulations and fighting corruption (García-Sánchez and Martínez-Ferrero, 2022). The investment community now relies on ESG metrics to evaluate corporate risk levels and long-term sustainability performance.</w:t>
      </w:r>
    </w:p>
    <w:p w14:paraId="04FDC2E6" w14:textId="1A3B10A5"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The Institutional Theory framework extends this model by showing how organi</w:t>
      </w:r>
      <w:r w:rsidR="00306FBF">
        <w:rPr>
          <w:rFonts w:ascii="Arial" w:hAnsi="Arial" w:cs="Arial"/>
          <w:sz w:val="24"/>
          <w:szCs w:val="24"/>
        </w:rPr>
        <w:t>s</w:t>
      </w:r>
      <w:r w:rsidRPr="00306FBF">
        <w:rPr>
          <w:rFonts w:ascii="Arial" w:hAnsi="Arial" w:cs="Arial"/>
          <w:sz w:val="24"/>
          <w:szCs w:val="24"/>
        </w:rPr>
        <w:t>ations follow social rules and regulatory requirements and industry guidelines to achieve legitimacy. Scott (2019) explains that organi</w:t>
      </w:r>
      <w:r w:rsidR="00306FBF">
        <w:rPr>
          <w:rFonts w:ascii="Arial" w:hAnsi="Arial" w:cs="Arial"/>
          <w:sz w:val="24"/>
          <w:szCs w:val="24"/>
        </w:rPr>
        <w:t>s</w:t>
      </w:r>
      <w:r w:rsidRPr="00306FBF">
        <w:rPr>
          <w:rFonts w:ascii="Arial" w:hAnsi="Arial" w:cs="Arial"/>
          <w:sz w:val="24"/>
          <w:szCs w:val="24"/>
        </w:rPr>
        <w:t>ations develop through three main forces which include market competition and government control and professional standards and industry competition. The automotive industry shows institutional pressures through its requirement for emissions control and safety standards and sustainability reporting which force companies to follow ethical business practices.</w:t>
      </w:r>
    </w:p>
    <w:p w14:paraId="7F8818DD" w14:textId="148A9B1B"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Nissan Motor Corporation shows how ESG and institutional pressures influence corporate strategic decisions. The company Nissan has established a goal to reach carbon neutrality through its business operations and product life cycle by 2050 while planning to sell more than 50% of its vehicles as electric models by 2030 (Nissan, 2023). The organi</w:t>
      </w:r>
      <w:r w:rsidR="00306FBF">
        <w:rPr>
          <w:rFonts w:ascii="Arial" w:hAnsi="Arial" w:cs="Arial"/>
          <w:sz w:val="24"/>
          <w:szCs w:val="24"/>
        </w:rPr>
        <w:t>s</w:t>
      </w:r>
      <w:r w:rsidRPr="00306FBF">
        <w:rPr>
          <w:rFonts w:ascii="Arial" w:hAnsi="Arial" w:cs="Arial"/>
          <w:sz w:val="24"/>
          <w:szCs w:val="24"/>
        </w:rPr>
        <w:t xml:space="preserve">ation has established these targets which support its ESG environmental sustainability efforts while it faces growing demands from regulations and industry standards to reduce carbon emissions. Nissan has brought sustainability-linked governance reforms to enhance transparency because of its </w:t>
      </w:r>
      <w:r w:rsidRPr="00306FBF">
        <w:rPr>
          <w:rFonts w:ascii="Arial" w:hAnsi="Arial" w:cs="Arial"/>
          <w:sz w:val="24"/>
          <w:szCs w:val="24"/>
        </w:rPr>
        <w:lastRenderedPageBreak/>
        <w:t xml:space="preserve">previous governance breakdowns. The company faced major ethical leadership and governance control weaknesses when its former CEO received financial misconduct arrest charges. Nissan </w:t>
      </w:r>
      <w:r w:rsidR="00306FBF" w:rsidRPr="00306FBF">
        <w:rPr>
          <w:rFonts w:ascii="Arial" w:hAnsi="Arial" w:cs="Arial"/>
          <w:sz w:val="24"/>
          <w:szCs w:val="24"/>
        </w:rPr>
        <w:t>acted</w:t>
      </w:r>
      <w:r w:rsidRPr="00306FBF">
        <w:rPr>
          <w:rFonts w:ascii="Arial" w:hAnsi="Arial" w:cs="Arial"/>
          <w:sz w:val="24"/>
          <w:szCs w:val="24"/>
        </w:rPr>
        <w:t xml:space="preserve"> by changing its board structure and improving both its internal audit processes and its compliance systems. The reforms demonstrate how institutional pressure forces organi</w:t>
      </w:r>
      <w:r w:rsidR="00B70AF0">
        <w:rPr>
          <w:rFonts w:ascii="Arial" w:hAnsi="Arial" w:cs="Arial"/>
          <w:sz w:val="24"/>
          <w:szCs w:val="24"/>
        </w:rPr>
        <w:t>s</w:t>
      </w:r>
      <w:r w:rsidRPr="00306FBF">
        <w:rPr>
          <w:rFonts w:ascii="Arial" w:hAnsi="Arial" w:cs="Arial"/>
          <w:sz w:val="24"/>
          <w:szCs w:val="24"/>
        </w:rPr>
        <w:t>ations to develop better governance systems and ethical standards.</w:t>
      </w:r>
    </w:p>
    <w:p w14:paraId="57B641D8" w14:textId="19C5C3D8"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 xml:space="preserve">Rivian Automotive serves as an example of a sustainability-focused start-up which operates under strict observation from investors and regulatory bodies. Rivian operates as a company which produces only electric vehicles while making environmental protection its core business value. The company has set a goal to reach net-zero emissions during 2040 while it implements renewable energy systems across its manufacturing facilities (Rivian, 2023). The initiatives work to support ESG environmental sustainability while EV manufacturers need to demonstrate their leadership in sustainability to meet institutional requirements. Rivian has made workforce diversity and supply-chain accountability and community engagement essential elements of its social responsibility initiatives. The company faces criticism about its </w:t>
      </w:r>
      <w:proofErr w:type="spellStart"/>
      <w:r w:rsidRPr="00306FBF">
        <w:rPr>
          <w:rFonts w:ascii="Arial" w:hAnsi="Arial" w:cs="Arial"/>
          <w:sz w:val="24"/>
          <w:szCs w:val="24"/>
        </w:rPr>
        <w:t>labor</w:t>
      </w:r>
      <w:proofErr w:type="spellEnd"/>
      <w:r w:rsidRPr="00306FBF">
        <w:rPr>
          <w:rFonts w:ascii="Arial" w:hAnsi="Arial" w:cs="Arial"/>
          <w:sz w:val="24"/>
          <w:szCs w:val="24"/>
        </w:rPr>
        <w:t xml:space="preserve"> practices and safety standards at its manufacturing sites. The challenges show that sustainability-focused businesses need to take deliberate action against ethical risks which emerge from their fast-paced industrial growth.</w:t>
      </w:r>
    </w:p>
    <w:p w14:paraId="1E6D0C89" w14:textId="60AC137B"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The public status of Rivian requires strong governance because the company needs to maintain accountability to its worldwide investor base. Organi</w:t>
      </w:r>
      <w:r w:rsidR="00B70AF0">
        <w:rPr>
          <w:rFonts w:ascii="Arial" w:hAnsi="Arial" w:cs="Arial"/>
          <w:sz w:val="24"/>
          <w:szCs w:val="24"/>
        </w:rPr>
        <w:t>s</w:t>
      </w:r>
      <w:r w:rsidRPr="00306FBF">
        <w:rPr>
          <w:rFonts w:ascii="Arial" w:hAnsi="Arial" w:cs="Arial"/>
          <w:sz w:val="24"/>
          <w:szCs w:val="24"/>
        </w:rPr>
        <w:t xml:space="preserve">ations need to implement strong disclosure practices together with transparent ESG reporting to protect their legitimacy and investor trust. The Institutional Theory shows how Rivian </w:t>
      </w:r>
      <w:r w:rsidRPr="00306FBF">
        <w:rPr>
          <w:rFonts w:ascii="Arial" w:hAnsi="Arial" w:cs="Arial"/>
          <w:sz w:val="24"/>
          <w:szCs w:val="24"/>
        </w:rPr>
        <w:lastRenderedPageBreak/>
        <w:t xml:space="preserve">adopted established automotive firm governance practices to </w:t>
      </w:r>
      <w:r w:rsidR="00B70AF0" w:rsidRPr="00306FBF">
        <w:rPr>
          <w:rFonts w:ascii="Arial" w:hAnsi="Arial" w:cs="Arial"/>
          <w:sz w:val="24"/>
          <w:szCs w:val="24"/>
        </w:rPr>
        <w:t>fulfil</w:t>
      </w:r>
      <w:r w:rsidRPr="00306FBF">
        <w:rPr>
          <w:rFonts w:ascii="Arial" w:hAnsi="Arial" w:cs="Arial"/>
          <w:sz w:val="24"/>
          <w:szCs w:val="24"/>
        </w:rPr>
        <w:t xml:space="preserve"> financial market requirements and follow regulatory rules.</w:t>
      </w:r>
    </w:p>
    <w:p w14:paraId="3E95FB5C" w14:textId="2F1C9BCD"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Geely Automobile Holdings provides organi</w:t>
      </w:r>
      <w:r w:rsidR="00B70AF0">
        <w:rPr>
          <w:rFonts w:ascii="Arial" w:hAnsi="Arial" w:cs="Arial"/>
          <w:sz w:val="24"/>
          <w:szCs w:val="24"/>
        </w:rPr>
        <w:t>s</w:t>
      </w:r>
      <w:r w:rsidRPr="00306FBF">
        <w:rPr>
          <w:rFonts w:ascii="Arial" w:hAnsi="Arial" w:cs="Arial"/>
          <w:sz w:val="24"/>
          <w:szCs w:val="24"/>
        </w:rPr>
        <w:t xml:space="preserve">ations with knowledge about corporate social responsibility and ethical practices through its operations as a multinational automotive company which serves Western and Asian markets. The company Geely established its goal to reach carbon neutrality during 2045 while dedicating substantial resources to develop electric vehicles and green manufacturing systems (Geely, 2023). The initiatives demonstrate how ESG standards address environmental and governance aspects while following China and European government climate initiatives. Geely established human rights due-diligence systems which monitor its entire supply network to verify compliance with worldwide </w:t>
      </w:r>
      <w:r w:rsidR="00B70AF0" w:rsidRPr="00306FBF">
        <w:rPr>
          <w:rFonts w:ascii="Arial" w:hAnsi="Arial" w:cs="Arial"/>
          <w:sz w:val="24"/>
          <w:szCs w:val="24"/>
        </w:rPr>
        <w:t>labour</w:t>
      </w:r>
      <w:r w:rsidRPr="00306FBF">
        <w:rPr>
          <w:rFonts w:ascii="Arial" w:hAnsi="Arial" w:cs="Arial"/>
          <w:sz w:val="24"/>
          <w:szCs w:val="24"/>
        </w:rPr>
        <w:t xml:space="preserve"> regulations. The organi</w:t>
      </w:r>
      <w:r w:rsidR="00B70AF0">
        <w:rPr>
          <w:rFonts w:ascii="Arial" w:hAnsi="Arial" w:cs="Arial"/>
          <w:sz w:val="24"/>
          <w:szCs w:val="24"/>
        </w:rPr>
        <w:t>s</w:t>
      </w:r>
      <w:r w:rsidRPr="00306FBF">
        <w:rPr>
          <w:rFonts w:ascii="Arial" w:hAnsi="Arial" w:cs="Arial"/>
          <w:sz w:val="24"/>
          <w:szCs w:val="24"/>
        </w:rPr>
        <w:t>ation shows increasing support for worldwide institutional standards which focus on social accountability through these actions.</w:t>
      </w:r>
    </w:p>
    <w:p w14:paraId="0BF5BB48" w14:textId="4D92F225"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 xml:space="preserve">The company made </w:t>
      </w:r>
      <w:r w:rsidR="00B70AF0" w:rsidRPr="00306FBF">
        <w:rPr>
          <w:rFonts w:ascii="Arial" w:hAnsi="Arial" w:cs="Arial"/>
          <w:sz w:val="24"/>
          <w:szCs w:val="24"/>
        </w:rPr>
        <w:t>progress,</w:t>
      </w:r>
      <w:r w:rsidRPr="00306FBF">
        <w:rPr>
          <w:rFonts w:ascii="Arial" w:hAnsi="Arial" w:cs="Arial"/>
          <w:sz w:val="24"/>
          <w:szCs w:val="24"/>
        </w:rPr>
        <w:t xml:space="preserve"> but it still faces multiple ethical problems because its supplier network remains complicated. The company's use of ESG reporting standards and third-party audit programs demonstrates how institutional forces from regulators and international partners and investors influence the way organi</w:t>
      </w:r>
      <w:r w:rsidR="00B70AF0">
        <w:rPr>
          <w:rFonts w:ascii="Arial" w:hAnsi="Arial" w:cs="Arial"/>
          <w:sz w:val="24"/>
          <w:szCs w:val="24"/>
        </w:rPr>
        <w:t>s</w:t>
      </w:r>
      <w:r w:rsidRPr="00306FBF">
        <w:rPr>
          <w:rFonts w:ascii="Arial" w:hAnsi="Arial" w:cs="Arial"/>
          <w:sz w:val="24"/>
          <w:szCs w:val="24"/>
        </w:rPr>
        <w:t>ations implement CSR practices. The Institutional Theory helps explain how Geely adjusts its governance systems and corporate social responsibility initiatives to achieve market acceptance throughout its worldwide operations.</w:t>
      </w:r>
    </w:p>
    <w:p w14:paraId="6D1E6F67" w14:textId="7B2D22DB"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The three companies Nissan Rivian and Geely demonstrate how their sustainability transitions have made ethics and CSR strategies an essential part of their organi</w:t>
      </w:r>
      <w:r w:rsidR="00B70AF0">
        <w:rPr>
          <w:rFonts w:ascii="Arial" w:hAnsi="Arial" w:cs="Arial"/>
          <w:sz w:val="24"/>
          <w:szCs w:val="24"/>
        </w:rPr>
        <w:t>s</w:t>
      </w:r>
      <w:r w:rsidRPr="00306FBF">
        <w:rPr>
          <w:rFonts w:ascii="Arial" w:hAnsi="Arial" w:cs="Arial"/>
          <w:sz w:val="24"/>
          <w:szCs w:val="24"/>
        </w:rPr>
        <w:t>ational decision processes. ESG performance has become a critical factor which determines organi</w:t>
      </w:r>
      <w:r w:rsidR="00B70AF0">
        <w:rPr>
          <w:rFonts w:ascii="Arial" w:hAnsi="Arial" w:cs="Arial"/>
          <w:sz w:val="24"/>
          <w:szCs w:val="24"/>
        </w:rPr>
        <w:t>s</w:t>
      </w:r>
      <w:r w:rsidRPr="00306FBF">
        <w:rPr>
          <w:rFonts w:ascii="Arial" w:hAnsi="Arial" w:cs="Arial"/>
          <w:sz w:val="24"/>
          <w:szCs w:val="24"/>
        </w:rPr>
        <w:t xml:space="preserve">ations' ability to obtain capital and secure regulatory </w:t>
      </w:r>
      <w:r w:rsidRPr="00306FBF">
        <w:rPr>
          <w:rFonts w:ascii="Arial" w:hAnsi="Arial" w:cs="Arial"/>
          <w:sz w:val="24"/>
          <w:szCs w:val="24"/>
        </w:rPr>
        <w:lastRenderedPageBreak/>
        <w:t>clearance and maintain customer confidence. Organi</w:t>
      </w:r>
      <w:r w:rsidR="00B70AF0">
        <w:rPr>
          <w:rFonts w:ascii="Arial" w:hAnsi="Arial" w:cs="Arial"/>
          <w:sz w:val="24"/>
          <w:szCs w:val="24"/>
        </w:rPr>
        <w:t>s</w:t>
      </w:r>
      <w:r w:rsidRPr="00306FBF">
        <w:rPr>
          <w:rFonts w:ascii="Arial" w:hAnsi="Arial" w:cs="Arial"/>
          <w:sz w:val="24"/>
          <w:szCs w:val="24"/>
        </w:rPr>
        <w:t xml:space="preserve">ations which show weak governance together with environmental violations and inadequate </w:t>
      </w:r>
      <w:r w:rsidR="00B70AF0" w:rsidRPr="00306FBF">
        <w:rPr>
          <w:rFonts w:ascii="Arial" w:hAnsi="Arial" w:cs="Arial"/>
          <w:sz w:val="24"/>
          <w:szCs w:val="24"/>
        </w:rPr>
        <w:t>labour</w:t>
      </w:r>
      <w:r w:rsidRPr="00306FBF">
        <w:rPr>
          <w:rFonts w:ascii="Arial" w:hAnsi="Arial" w:cs="Arial"/>
          <w:sz w:val="24"/>
          <w:szCs w:val="24"/>
        </w:rPr>
        <w:t xml:space="preserve"> practices will experience both their reputation will suffer and their financial stability will decline. The change indicates that organi</w:t>
      </w:r>
      <w:r w:rsidR="00B70AF0">
        <w:rPr>
          <w:rFonts w:ascii="Arial" w:hAnsi="Arial" w:cs="Arial"/>
          <w:sz w:val="24"/>
          <w:szCs w:val="24"/>
        </w:rPr>
        <w:t>s</w:t>
      </w:r>
      <w:r w:rsidRPr="00306FBF">
        <w:rPr>
          <w:rFonts w:ascii="Arial" w:hAnsi="Arial" w:cs="Arial"/>
          <w:sz w:val="24"/>
          <w:szCs w:val="24"/>
        </w:rPr>
        <w:t>ations now view ethical conduct and social responsibility as essential components which must be integrated into their competitive strategies.</w:t>
      </w:r>
    </w:p>
    <w:p w14:paraId="43A4AFBD" w14:textId="77777777" w:rsidR="000C53F4" w:rsidRPr="00306FBF" w:rsidRDefault="000C53F4" w:rsidP="00306FBF">
      <w:pPr>
        <w:spacing w:line="480" w:lineRule="auto"/>
        <w:rPr>
          <w:rFonts w:ascii="Arial" w:hAnsi="Arial" w:cs="Arial"/>
          <w:sz w:val="24"/>
          <w:szCs w:val="24"/>
        </w:rPr>
      </w:pPr>
    </w:p>
    <w:p w14:paraId="58346223" w14:textId="5B76B151"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The automotive industry must prioriti</w:t>
      </w:r>
      <w:r w:rsidR="00B70AF0">
        <w:rPr>
          <w:rFonts w:ascii="Arial" w:hAnsi="Arial" w:cs="Arial"/>
          <w:sz w:val="24"/>
          <w:szCs w:val="24"/>
        </w:rPr>
        <w:t>s</w:t>
      </w:r>
      <w:r w:rsidRPr="00306FBF">
        <w:rPr>
          <w:rFonts w:ascii="Arial" w:hAnsi="Arial" w:cs="Arial"/>
          <w:sz w:val="24"/>
          <w:szCs w:val="24"/>
        </w:rPr>
        <w:t>e product safety as its most essential ethical duty. The failure of ethical conduct in safety oversight will lead to major regulatory penalties and damage the trust which the public has in the organi</w:t>
      </w:r>
      <w:r w:rsidR="00B70AF0">
        <w:rPr>
          <w:rFonts w:ascii="Arial" w:hAnsi="Arial" w:cs="Arial"/>
          <w:sz w:val="24"/>
          <w:szCs w:val="24"/>
        </w:rPr>
        <w:t>s</w:t>
      </w:r>
      <w:r w:rsidRPr="00306FBF">
        <w:rPr>
          <w:rFonts w:ascii="Arial" w:hAnsi="Arial" w:cs="Arial"/>
          <w:sz w:val="24"/>
          <w:szCs w:val="24"/>
        </w:rPr>
        <w:t>ation. The three companies have experienced multiple product recalls because of their battery system failures and their software programming errors during the past few years. The two companies show different levels of transparency and response speed which create distinct impacts on how stakeholders view ethical leadership. The social aspect of corporate responsibility and risk assessment benefits from safety performance data</w:t>
      </w:r>
      <w:r w:rsidR="00B70AF0">
        <w:rPr>
          <w:rFonts w:ascii="Arial" w:hAnsi="Arial" w:cs="Arial"/>
          <w:sz w:val="24"/>
          <w:szCs w:val="24"/>
        </w:rPr>
        <w:t xml:space="preserve"> </w:t>
      </w:r>
      <w:r w:rsidRPr="00306FBF">
        <w:rPr>
          <w:rFonts w:ascii="Arial" w:hAnsi="Arial" w:cs="Arial"/>
          <w:sz w:val="24"/>
          <w:szCs w:val="24"/>
        </w:rPr>
        <w:t>which ESG analysis demonstrates.</w:t>
      </w:r>
    </w:p>
    <w:p w14:paraId="20019A2E" w14:textId="6CA5B77F"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The strategic approach of CSR helps organisations build their ability to withstand challenges. Investors now consider businesses with excellent ESG results to be safer investment options which also help them navigate regulatory shifts and technological transformations (Eccles, Klimenko and Boffo, 2020). The automotive industry depends on ethical financing because it needs to fund its large investments for electric vehicle development and digital system implementation.</w:t>
      </w:r>
    </w:p>
    <w:p w14:paraId="6FC3EEAD" w14:textId="77777777" w:rsidR="00B70AF0" w:rsidRDefault="00B70AF0" w:rsidP="00306FBF">
      <w:pPr>
        <w:spacing w:line="480" w:lineRule="auto"/>
        <w:rPr>
          <w:rFonts w:ascii="Arial" w:hAnsi="Arial" w:cs="Arial"/>
          <w:sz w:val="24"/>
          <w:szCs w:val="24"/>
        </w:rPr>
      </w:pPr>
    </w:p>
    <w:p w14:paraId="333050C2" w14:textId="77777777" w:rsidR="00B70AF0" w:rsidRPr="00306FBF" w:rsidRDefault="00B70AF0" w:rsidP="00306FBF">
      <w:pPr>
        <w:spacing w:line="480" w:lineRule="auto"/>
        <w:rPr>
          <w:rFonts w:ascii="Arial" w:hAnsi="Arial" w:cs="Arial"/>
          <w:sz w:val="24"/>
          <w:szCs w:val="24"/>
        </w:rPr>
      </w:pPr>
    </w:p>
    <w:p w14:paraId="1034624F" w14:textId="632F24FE" w:rsidR="000C53F4" w:rsidRPr="00B70AF0" w:rsidRDefault="000C53F4" w:rsidP="00306FBF">
      <w:pPr>
        <w:spacing w:line="480" w:lineRule="auto"/>
        <w:rPr>
          <w:rFonts w:ascii="Arial" w:hAnsi="Arial" w:cs="Arial"/>
          <w:b/>
          <w:bCs/>
          <w:sz w:val="24"/>
          <w:szCs w:val="24"/>
        </w:rPr>
      </w:pPr>
      <w:r w:rsidRPr="00B70AF0">
        <w:rPr>
          <w:rFonts w:ascii="Arial" w:hAnsi="Arial" w:cs="Arial"/>
          <w:b/>
          <w:bCs/>
          <w:sz w:val="24"/>
          <w:szCs w:val="24"/>
        </w:rPr>
        <w:lastRenderedPageBreak/>
        <w:t>Conclusion</w:t>
      </w:r>
    </w:p>
    <w:p w14:paraId="15EEC42F" w14:textId="42B59605" w:rsidR="000C53F4" w:rsidRPr="00306FBF" w:rsidRDefault="000C53F4" w:rsidP="00306FBF">
      <w:pPr>
        <w:spacing w:line="480" w:lineRule="auto"/>
        <w:rPr>
          <w:rFonts w:ascii="Arial" w:hAnsi="Arial" w:cs="Arial"/>
          <w:sz w:val="24"/>
          <w:szCs w:val="24"/>
        </w:rPr>
      </w:pPr>
      <w:r w:rsidRPr="00306FBF">
        <w:rPr>
          <w:rFonts w:ascii="Arial" w:hAnsi="Arial" w:cs="Arial"/>
          <w:sz w:val="24"/>
          <w:szCs w:val="24"/>
        </w:rPr>
        <w:t>The modern automotive industry now bases its strategic development on business ethics and corporate social responsibility as its fundamental operational framework. Business ethics determines how organi</w:t>
      </w:r>
      <w:r w:rsidR="00B70AF0">
        <w:rPr>
          <w:rFonts w:ascii="Arial" w:hAnsi="Arial" w:cs="Arial"/>
          <w:sz w:val="24"/>
          <w:szCs w:val="24"/>
        </w:rPr>
        <w:t>s</w:t>
      </w:r>
      <w:r w:rsidRPr="00306FBF">
        <w:rPr>
          <w:rFonts w:ascii="Arial" w:hAnsi="Arial" w:cs="Arial"/>
          <w:sz w:val="24"/>
          <w:szCs w:val="24"/>
        </w:rPr>
        <w:t>ations make ethical choices which affect their moral conduct and their overall business integrity. CSR represents organi</w:t>
      </w:r>
      <w:r w:rsidR="00B70AF0">
        <w:rPr>
          <w:rFonts w:ascii="Arial" w:hAnsi="Arial" w:cs="Arial"/>
          <w:sz w:val="24"/>
          <w:szCs w:val="24"/>
        </w:rPr>
        <w:t>s</w:t>
      </w:r>
      <w:r w:rsidRPr="00306FBF">
        <w:rPr>
          <w:rFonts w:ascii="Arial" w:hAnsi="Arial" w:cs="Arial"/>
          <w:sz w:val="24"/>
          <w:szCs w:val="24"/>
        </w:rPr>
        <w:t xml:space="preserve">ations' responsibility to </w:t>
      </w:r>
      <w:r w:rsidR="00B70AF0" w:rsidRPr="00306FBF">
        <w:rPr>
          <w:rFonts w:ascii="Arial" w:hAnsi="Arial" w:cs="Arial"/>
          <w:sz w:val="24"/>
          <w:szCs w:val="24"/>
        </w:rPr>
        <w:t>fulfil</w:t>
      </w:r>
      <w:r w:rsidRPr="00306FBF">
        <w:rPr>
          <w:rFonts w:ascii="Arial" w:hAnsi="Arial" w:cs="Arial"/>
          <w:sz w:val="24"/>
          <w:szCs w:val="24"/>
        </w:rPr>
        <w:t xml:space="preserve"> their duties toward society and environmental protection and their institutional stakeholders. The ESG framework together with Institutional Theory enable researchers to study how organi</w:t>
      </w:r>
      <w:r w:rsidR="00B70AF0">
        <w:rPr>
          <w:rFonts w:ascii="Arial" w:hAnsi="Arial" w:cs="Arial"/>
          <w:sz w:val="24"/>
          <w:szCs w:val="24"/>
        </w:rPr>
        <w:t>s</w:t>
      </w:r>
      <w:r w:rsidRPr="00306FBF">
        <w:rPr>
          <w:rFonts w:ascii="Arial" w:hAnsi="Arial" w:cs="Arial"/>
          <w:sz w:val="24"/>
          <w:szCs w:val="24"/>
        </w:rPr>
        <w:t>ations implement sustainability and governance and social responsibility practices in their business operations. The automotive companies Nissan and Rivian and Geely demonstrate their responses to ethical problems and institutional requirements through their implementation of decarboni</w:t>
      </w:r>
      <w:r w:rsidR="00B70AF0">
        <w:rPr>
          <w:rFonts w:ascii="Arial" w:hAnsi="Arial" w:cs="Arial"/>
          <w:sz w:val="24"/>
          <w:szCs w:val="24"/>
        </w:rPr>
        <w:t>s</w:t>
      </w:r>
      <w:r w:rsidRPr="00306FBF">
        <w:rPr>
          <w:rFonts w:ascii="Arial" w:hAnsi="Arial" w:cs="Arial"/>
          <w:sz w:val="24"/>
          <w:szCs w:val="24"/>
        </w:rPr>
        <w:t>ation plans and their governance structure improvements and their enhanced monitoring of supply chain operations. The global automotive sector needs to integrate ethics with CSR because rising regulatory requirements and public expectations will determine its future competitiveness and sustainability and business legitimacy.</w:t>
      </w:r>
    </w:p>
    <w:p w14:paraId="3DDA614D" w14:textId="77777777" w:rsidR="000C53F4" w:rsidRDefault="000C53F4" w:rsidP="00306FBF">
      <w:pPr>
        <w:spacing w:line="480" w:lineRule="auto"/>
        <w:rPr>
          <w:rFonts w:ascii="Arial" w:hAnsi="Arial" w:cs="Arial"/>
          <w:sz w:val="24"/>
          <w:szCs w:val="24"/>
        </w:rPr>
      </w:pPr>
    </w:p>
    <w:p w14:paraId="4B855794" w14:textId="77777777" w:rsidR="00B70AF0" w:rsidRDefault="00B70AF0" w:rsidP="00306FBF">
      <w:pPr>
        <w:spacing w:line="480" w:lineRule="auto"/>
        <w:rPr>
          <w:rFonts w:ascii="Arial" w:hAnsi="Arial" w:cs="Arial"/>
          <w:sz w:val="24"/>
          <w:szCs w:val="24"/>
        </w:rPr>
      </w:pPr>
    </w:p>
    <w:p w14:paraId="4EB1930B" w14:textId="77777777" w:rsidR="00B70AF0" w:rsidRDefault="00B70AF0" w:rsidP="00306FBF">
      <w:pPr>
        <w:spacing w:line="480" w:lineRule="auto"/>
        <w:rPr>
          <w:rFonts w:ascii="Arial" w:hAnsi="Arial" w:cs="Arial"/>
          <w:sz w:val="24"/>
          <w:szCs w:val="24"/>
        </w:rPr>
      </w:pPr>
    </w:p>
    <w:p w14:paraId="254FDC26" w14:textId="77777777" w:rsidR="00B70AF0" w:rsidRDefault="00B70AF0" w:rsidP="00306FBF">
      <w:pPr>
        <w:spacing w:line="480" w:lineRule="auto"/>
        <w:rPr>
          <w:rFonts w:ascii="Arial" w:hAnsi="Arial" w:cs="Arial"/>
          <w:sz w:val="24"/>
          <w:szCs w:val="24"/>
        </w:rPr>
      </w:pPr>
    </w:p>
    <w:p w14:paraId="1616ECF4" w14:textId="77777777" w:rsidR="00B70AF0" w:rsidRDefault="00B70AF0" w:rsidP="00306FBF">
      <w:pPr>
        <w:spacing w:line="480" w:lineRule="auto"/>
        <w:rPr>
          <w:rFonts w:ascii="Arial" w:hAnsi="Arial" w:cs="Arial"/>
          <w:sz w:val="24"/>
          <w:szCs w:val="24"/>
        </w:rPr>
      </w:pPr>
    </w:p>
    <w:p w14:paraId="25BD1FE4" w14:textId="77777777" w:rsidR="00B70AF0" w:rsidRDefault="00B70AF0" w:rsidP="00306FBF">
      <w:pPr>
        <w:spacing w:line="480" w:lineRule="auto"/>
        <w:rPr>
          <w:rFonts w:ascii="Arial" w:hAnsi="Arial" w:cs="Arial"/>
          <w:sz w:val="24"/>
          <w:szCs w:val="24"/>
        </w:rPr>
      </w:pPr>
    </w:p>
    <w:p w14:paraId="01E6CFB7" w14:textId="77777777" w:rsidR="00B70AF0" w:rsidRPr="00306FBF" w:rsidRDefault="00B70AF0" w:rsidP="00306FBF">
      <w:pPr>
        <w:spacing w:line="480" w:lineRule="auto"/>
        <w:rPr>
          <w:rFonts w:ascii="Arial" w:hAnsi="Arial" w:cs="Arial"/>
          <w:sz w:val="24"/>
          <w:szCs w:val="24"/>
        </w:rPr>
      </w:pPr>
    </w:p>
    <w:p w14:paraId="3CEF44AA" w14:textId="2B5A2090" w:rsidR="000C53F4" w:rsidRPr="00B70AF0" w:rsidRDefault="000C53F4" w:rsidP="00306FBF">
      <w:pPr>
        <w:spacing w:line="480" w:lineRule="auto"/>
        <w:rPr>
          <w:rFonts w:ascii="Arial" w:hAnsi="Arial" w:cs="Arial"/>
          <w:b/>
          <w:bCs/>
          <w:sz w:val="24"/>
          <w:szCs w:val="24"/>
        </w:rPr>
      </w:pPr>
      <w:r w:rsidRPr="00B70AF0">
        <w:rPr>
          <w:rFonts w:ascii="Arial" w:hAnsi="Arial" w:cs="Arial"/>
          <w:b/>
          <w:bCs/>
          <w:sz w:val="24"/>
          <w:szCs w:val="24"/>
        </w:rPr>
        <w:lastRenderedPageBreak/>
        <w:t>References</w:t>
      </w:r>
    </w:p>
    <w:p w14:paraId="339B8A44" w14:textId="6449BF2C" w:rsidR="000C53F4" w:rsidRPr="00306FBF" w:rsidRDefault="000C53F4" w:rsidP="00306FBF">
      <w:pPr>
        <w:spacing w:line="480" w:lineRule="auto"/>
        <w:rPr>
          <w:rFonts w:ascii="Arial" w:hAnsi="Arial" w:cs="Arial"/>
          <w:sz w:val="24"/>
          <w:szCs w:val="24"/>
        </w:rPr>
      </w:pPr>
      <w:proofErr w:type="spellStart"/>
      <w:r w:rsidRPr="00306FBF">
        <w:rPr>
          <w:rFonts w:ascii="Arial" w:hAnsi="Arial" w:cs="Arial"/>
          <w:sz w:val="24"/>
          <w:szCs w:val="24"/>
        </w:rPr>
        <w:t>Aguinis</w:t>
      </w:r>
      <w:proofErr w:type="spellEnd"/>
      <w:r w:rsidRPr="00306FBF">
        <w:rPr>
          <w:rFonts w:ascii="Arial" w:hAnsi="Arial" w:cs="Arial"/>
          <w:sz w:val="24"/>
          <w:szCs w:val="24"/>
        </w:rPr>
        <w:t xml:space="preserve">, H. (2020) </w:t>
      </w:r>
      <w:r w:rsidRPr="00306FBF">
        <w:rPr>
          <w:rStyle w:val="Emphasis"/>
          <w:rFonts w:ascii="Arial" w:hAnsi="Arial" w:cs="Arial"/>
          <w:sz w:val="24"/>
          <w:szCs w:val="24"/>
        </w:rPr>
        <w:t>Business and Society: Stakeholders, Ethics, Public Policy</w:t>
      </w:r>
      <w:r w:rsidRPr="00306FBF">
        <w:rPr>
          <w:rFonts w:ascii="Arial" w:hAnsi="Arial" w:cs="Arial"/>
          <w:sz w:val="24"/>
          <w:szCs w:val="24"/>
        </w:rPr>
        <w:t xml:space="preserve">. 5th </w:t>
      </w:r>
      <w:proofErr w:type="spellStart"/>
      <w:r w:rsidRPr="00306FBF">
        <w:rPr>
          <w:rFonts w:ascii="Arial" w:hAnsi="Arial" w:cs="Arial"/>
          <w:sz w:val="24"/>
          <w:szCs w:val="24"/>
        </w:rPr>
        <w:t>edn</w:t>
      </w:r>
      <w:proofErr w:type="spellEnd"/>
      <w:r w:rsidRPr="00306FBF">
        <w:rPr>
          <w:rFonts w:ascii="Arial" w:hAnsi="Arial" w:cs="Arial"/>
          <w:sz w:val="24"/>
          <w:szCs w:val="24"/>
        </w:rPr>
        <w:t>. New York: McGraw-Hill.</w:t>
      </w:r>
      <w:r w:rsidRPr="00306FBF">
        <w:rPr>
          <w:rFonts w:ascii="Arial" w:hAnsi="Arial" w:cs="Arial"/>
          <w:sz w:val="24"/>
          <w:szCs w:val="24"/>
        </w:rPr>
        <w:br/>
        <w:t xml:space="preserve">Eccles, R., Klimenko, S. and Boffo, R. (2020) ‘The investor revolution’, </w:t>
      </w:r>
      <w:r w:rsidRPr="00306FBF">
        <w:rPr>
          <w:rStyle w:val="Emphasis"/>
          <w:rFonts w:ascii="Arial" w:hAnsi="Arial" w:cs="Arial"/>
          <w:sz w:val="24"/>
          <w:szCs w:val="24"/>
        </w:rPr>
        <w:t>Harvard Business Review</w:t>
      </w:r>
      <w:r w:rsidRPr="00306FBF">
        <w:rPr>
          <w:rFonts w:ascii="Arial" w:hAnsi="Arial" w:cs="Arial"/>
          <w:sz w:val="24"/>
          <w:szCs w:val="24"/>
        </w:rPr>
        <w:t>, 98(3), pp. 106–116.</w:t>
      </w:r>
      <w:r w:rsidRPr="00306FBF">
        <w:rPr>
          <w:rFonts w:ascii="Arial" w:hAnsi="Arial" w:cs="Arial"/>
          <w:sz w:val="24"/>
          <w:szCs w:val="24"/>
        </w:rPr>
        <w:br/>
        <w:t xml:space="preserve">García-Sánchez, I.M. and Martínez-Ferrero, J. (2022) </w:t>
      </w:r>
      <w:r w:rsidRPr="00306FBF">
        <w:rPr>
          <w:rStyle w:val="Emphasis"/>
          <w:rFonts w:ascii="Arial" w:hAnsi="Arial" w:cs="Arial"/>
          <w:sz w:val="24"/>
          <w:szCs w:val="24"/>
        </w:rPr>
        <w:t>CSR and ESG Reporting in Global Markets</w:t>
      </w:r>
      <w:r w:rsidRPr="00306FBF">
        <w:rPr>
          <w:rFonts w:ascii="Arial" w:hAnsi="Arial" w:cs="Arial"/>
          <w:sz w:val="24"/>
          <w:szCs w:val="24"/>
        </w:rPr>
        <w:t>. Springer.</w:t>
      </w:r>
      <w:r w:rsidRPr="00306FBF">
        <w:rPr>
          <w:rFonts w:ascii="Arial" w:hAnsi="Arial" w:cs="Arial"/>
          <w:sz w:val="24"/>
          <w:szCs w:val="24"/>
        </w:rPr>
        <w:br/>
        <w:t xml:space="preserve">Geely (2023) </w:t>
      </w:r>
      <w:r w:rsidRPr="00306FBF">
        <w:rPr>
          <w:rStyle w:val="Emphasis"/>
          <w:rFonts w:ascii="Arial" w:hAnsi="Arial" w:cs="Arial"/>
          <w:sz w:val="24"/>
          <w:szCs w:val="24"/>
        </w:rPr>
        <w:t>Geely Sustainability and ESG Report 2023</w:t>
      </w:r>
      <w:r w:rsidRPr="00306FBF">
        <w:rPr>
          <w:rFonts w:ascii="Arial" w:hAnsi="Arial" w:cs="Arial"/>
          <w:sz w:val="24"/>
          <w:szCs w:val="24"/>
        </w:rPr>
        <w:t>. Geely Automobile Holdings.</w:t>
      </w:r>
      <w:r w:rsidRPr="00306FBF">
        <w:rPr>
          <w:rFonts w:ascii="Arial" w:hAnsi="Arial" w:cs="Arial"/>
          <w:sz w:val="24"/>
          <w:szCs w:val="24"/>
        </w:rPr>
        <w:br/>
        <w:t xml:space="preserve">Nissan (2023) </w:t>
      </w:r>
      <w:r w:rsidRPr="00306FBF">
        <w:rPr>
          <w:rStyle w:val="Emphasis"/>
          <w:rFonts w:ascii="Arial" w:hAnsi="Arial" w:cs="Arial"/>
          <w:sz w:val="24"/>
          <w:szCs w:val="24"/>
        </w:rPr>
        <w:t>Nissan Sustainability Report 2023</w:t>
      </w:r>
      <w:r w:rsidRPr="00306FBF">
        <w:rPr>
          <w:rFonts w:ascii="Arial" w:hAnsi="Arial" w:cs="Arial"/>
          <w:sz w:val="24"/>
          <w:szCs w:val="24"/>
        </w:rPr>
        <w:t>. Nissan Motor Corporation.</w:t>
      </w:r>
      <w:r w:rsidRPr="00306FBF">
        <w:rPr>
          <w:rFonts w:ascii="Arial" w:hAnsi="Arial" w:cs="Arial"/>
          <w:sz w:val="24"/>
          <w:szCs w:val="24"/>
        </w:rPr>
        <w:br/>
        <w:t xml:space="preserve">Rivian (2023) </w:t>
      </w:r>
      <w:r w:rsidRPr="00306FBF">
        <w:rPr>
          <w:rStyle w:val="Emphasis"/>
          <w:rFonts w:ascii="Arial" w:hAnsi="Arial" w:cs="Arial"/>
          <w:sz w:val="24"/>
          <w:szCs w:val="24"/>
        </w:rPr>
        <w:t>Rivian Impact and Sustainability Report 2023</w:t>
      </w:r>
      <w:r w:rsidRPr="00306FBF">
        <w:rPr>
          <w:rFonts w:ascii="Arial" w:hAnsi="Arial" w:cs="Arial"/>
          <w:sz w:val="24"/>
          <w:szCs w:val="24"/>
        </w:rPr>
        <w:t>. Rivian Automotive.</w:t>
      </w:r>
      <w:r w:rsidRPr="00306FBF">
        <w:rPr>
          <w:rFonts w:ascii="Arial" w:hAnsi="Arial" w:cs="Arial"/>
          <w:sz w:val="24"/>
          <w:szCs w:val="24"/>
        </w:rPr>
        <w:br/>
        <w:t xml:space="preserve">Scott, W.R. (2019) </w:t>
      </w:r>
      <w:r w:rsidRPr="00306FBF">
        <w:rPr>
          <w:rStyle w:val="Emphasis"/>
          <w:rFonts w:ascii="Arial" w:hAnsi="Arial" w:cs="Arial"/>
          <w:sz w:val="24"/>
          <w:szCs w:val="24"/>
        </w:rPr>
        <w:t>Institutions and Organizations: Ideas, Interests, and Identities</w:t>
      </w:r>
      <w:r w:rsidRPr="00306FBF">
        <w:rPr>
          <w:rFonts w:ascii="Arial" w:hAnsi="Arial" w:cs="Arial"/>
          <w:sz w:val="24"/>
          <w:szCs w:val="24"/>
        </w:rPr>
        <w:t xml:space="preserve">. 5th </w:t>
      </w:r>
      <w:proofErr w:type="spellStart"/>
      <w:r w:rsidRPr="00306FBF">
        <w:rPr>
          <w:rFonts w:ascii="Arial" w:hAnsi="Arial" w:cs="Arial"/>
          <w:sz w:val="24"/>
          <w:szCs w:val="24"/>
        </w:rPr>
        <w:t>edn</w:t>
      </w:r>
      <w:proofErr w:type="spellEnd"/>
      <w:r w:rsidRPr="00306FBF">
        <w:rPr>
          <w:rFonts w:ascii="Arial" w:hAnsi="Arial" w:cs="Arial"/>
          <w:sz w:val="24"/>
          <w:szCs w:val="24"/>
        </w:rPr>
        <w:t>. Thousand Oaks: SAGE.</w:t>
      </w:r>
      <w:r w:rsidRPr="00306FBF">
        <w:rPr>
          <w:rFonts w:ascii="Arial" w:hAnsi="Arial" w:cs="Arial"/>
          <w:sz w:val="24"/>
          <w:szCs w:val="24"/>
        </w:rPr>
        <w:br/>
        <w:t xml:space="preserve">Treviño, L.K. and Nelson, K.A. (2021) </w:t>
      </w:r>
      <w:r w:rsidRPr="00306FBF">
        <w:rPr>
          <w:rStyle w:val="Emphasis"/>
          <w:rFonts w:ascii="Arial" w:hAnsi="Arial" w:cs="Arial"/>
          <w:sz w:val="24"/>
          <w:szCs w:val="24"/>
        </w:rPr>
        <w:t>Managing Business Ethics</w:t>
      </w:r>
      <w:r w:rsidRPr="00306FBF">
        <w:rPr>
          <w:rFonts w:ascii="Arial" w:hAnsi="Arial" w:cs="Arial"/>
          <w:sz w:val="24"/>
          <w:szCs w:val="24"/>
        </w:rPr>
        <w:t xml:space="preserve">. 8th </w:t>
      </w:r>
      <w:proofErr w:type="spellStart"/>
      <w:r w:rsidRPr="00306FBF">
        <w:rPr>
          <w:rFonts w:ascii="Arial" w:hAnsi="Arial" w:cs="Arial"/>
          <w:sz w:val="24"/>
          <w:szCs w:val="24"/>
        </w:rPr>
        <w:t>edn</w:t>
      </w:r>
      <w:proofErr w:type="spellEnd"/>
      <w:r w:rsidRPr="00306FBF">
        <w:rPr>
          <w:rFonts w:ascii="Arial" w:hAnsi="Arial" w:cs="Arial"/>
          <w:sz w:val="24"/>
          <w:szCs w:val="24"/>
        </w:rPr>
        <w:t>. Hoboken: Wiley.</w:t>
      </w:r>
    </w:p>
    <w:sectPr w:rsidR="000C53F4" w:rsidRPr="00306FB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0F13C" w14:textId="77777777" w:rsidR="00DA7ADC" w:rsidRDefault="00DA7ADC" w:rsidP="00B70AF0">
      <w:pPr>
        <w:spacing w:after="0" w:line="240" w:lineRule="auto"/>
      </w:pPr>
      <w:r>
        <w:separator/>
      </w:r>
    </w:p>
  </w:endnote>
  <w:endnote w:type="continuationSeparator" w:id="0">
    <w:p w14:paraId="01890F45" w14:textId="77777777" w:rsidR="00DA7ADC" w:rsidRDefault="00DA7ADC" w:rsidP="00B70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b/>
        <w:bCs/>
        <w:sz w:val="24"/>
        <w:szCs w:val="24"/>
      </w:rPr>
      <w:id w:val="-1598090485"/>
      <w:docPartObj>
        <w:docPartGallery w:val="Page Numbers (Bottom of Page)"/>
        <w:docPartUnique/>
      </w:docPartObj>
    </w:sdtPr>
    <w:sdtEndPr>
      <w:rPr>
        <w:noProof/>
      </w:rPr>
    </w:sdtEndPr>
    <w:sdtContent>
      <w:p w14:paraId="6C4F9D97" w14:textId="3535147D" w:rsidR="00B70AF0" w:rsidRPr="00B70AF0" w:rsidRDefault="00B70AF0">
        <w:pPr>
          <w:pStyle w:val="Footer"/>
          <w:rPr>
            <w:rFonts w:ascii="Arial" w:hAnsi="Arial" w:cs="Arial"/>
            <w:b/>
            <w:bCs/>
            <w:sz w:val="24"/>
            <w:szCs w:val="24"/>
          </w:rPr>
        </w:pPr>
        <w:r w:rsidRPr="00B70AF0">
          <w:rPr>
            <w:rFonts w:ascii="Arial" w:hAnsi="Arial" w:cs="Arial"/>
            <w:b/>
            <w:bCs/>
            <w:sz w:val="24"/>
            <w:szCs w:val="24"/>
          </w:rPr>
          <w:fldChar w:fldCharType="begin"/>
        </w:r>
        <w:r w:rsidRPr="00B70AF0">
          <w:rPr>
            <w:rFonts w:ascii="Arial" w:hAnsi="Arial" w:cs="Arial"/>
            <w:b/>
            <w:bCs/>
            <w:sz w:val="24"/>
            <w:szCs w:val="24"/>
          </w:rPr>
          <w:instrText xml:space="preserve"> PAGE   \* MERGEFORMAT </w:instrText>
        </w:r>
        <w:r w:rsidRPr="00B70AF0">
          <w:rPr>
            <w:rFonts w:ascii="Arial" w:hAnsi="Arial" w:cs="Arial"/>
            <w:b/>
            <w:bCs/>
            <w:sz w:val="24"/>
            <w:szCs w:val="24"/>
          </w:rPr>
          <w:fldChar w:fldCharType="separate"/>
        </w:r>
        <w:r w:rsidRPr="00B70AF0">
          <w:rPr>
            <w:rFonts w:ascii="Arial" w:hAnsi="Arial" w:cs="Arial"/>
            <w:b/>
            <w:bCs/>
            <w:noProof/>
            <w:sz w:val="24"/>
            <w:szCs w:val="24"/>
          </w:rPr>
          <w:t>2</w:t>
        </w:r>
        <w:r w:rsidRPr="00B70AF0">
          <w:rPr>
            <w:rFonts w:ascii="Arial" w:hAnsi="Arial" w:cs="Arial"/>
            <w:b/>
            <w:bCs/>
            <w:noProof/>
            <w:sz w:val="24"/>
            <w:szCs w:val="24"/>
          </w:rPr>
          <w:fldChar w:fldCharType="end"/>
        </w:r>
      </w:p>
    </w:sdtContent>
  </w:sdt>
  <w:p w14:paraId="44DABC28" w14:textId="77777777" w:rsidR="00B70AF0" w:rsidRDefault="00B70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F5680" w14:textId="77777777" w:rsidR="00DA7ADC" w:rsidRDefault="00DA7ADC" w:rsidP="00B70AF0">
      <w:pPr>
        <w:spacing w:after="0" w:line="240" w:lineRule="auto"/>
      </w:pPr>
      <w:r>
        <w:separator/>
      </w:r>
    </w:p>
  </w:footnote>
  <w:footnote w:type="continuationSeparator" w:id="0">
    <w:p w14:paraId="4A925F01" w14:textId="77777777" w:rsidR="00DA7ADC" w:rsidRDefault="00DA7ADC" w:rsidP="00B70A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3F4"/>
    <w:rsid w:val="000C53F4"/>
    <w:rsid w:val="00306FBF"/>
    <w:rsid w:val="003E180D"/>
    <w:rsid w:val="006A43CA"/>
    <w:rsid w:val="00B70AF0"/>
    <w:rsid w:val="00DA7ADC"/>
    <w:rsid w:val="00EF7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597D7"/>
  <w15:chartTrackingRefBased/>
  <w15:docId w15:val="{12420790-33A2-492B-96A2-8E0C9292C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3F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C53F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53F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53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53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53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53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53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53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3F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C53F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C53F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53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53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53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53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53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53F4"/>
    <w:rPr>
      <w:rFonts w:eastAsiaTheme="majorEastAsia" w:cstheme="majorBidi"/>
      <w:color w:val="272727" w:themeColor="text1" w:themeTint="D8"/>
    </w:rPr>
  </w:style>
  <w:style w:type="paragraph" w:styleId="Title">
    <w:name w:val="Title"/>
    <w:basedOn w:val="Normal"/>
    <w:next w:val="Normal"/>
    <w:link w:val="TitleChar"/>
    <w:uiPriority w:val="10"/>
    <w:qFormat/>
    <w:rsid w:val="000C53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3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3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53F4"/>
    <w:pPr>
      <w:spacing w:before="160"/>
      <w:jc w:val="center"/>
    </w:pPr>
    <w:rPr>
      <w:i/>
      <w:iCs/>
      <w:color w:val="404040" w:themeColor="text1" w:themeTint="BF"/>
    </w:rPr>
  </w:style>
  <w:style w:type="character" w:customStyle="1" w:styleId="QuoteChar">
    <w:name w:val="Quote Char"/>
    <w:basedOn w:val="DefaultParagraphFont"/>
    <w:link w:val="Quote"/>
    <w:uiPriority w:val="29"/>
    <w:rsid w:val="000C53F4"/>
    <w:rPr>
      <w:i/>
      <w:iCs/>
      <w:color w:val="404040" w:themeColor="text1" w:themeTint="BF"/>
    </w:rPr>
  </w:style>
  <w:style w:type="paragraph" w:styleId="ListParagraph">
    <w:name w:val="List Paragraph"/>
    <w:basedOn w:val="Normal"/>
    <w:uiPriority w:val="34"/>
    <w:qFormat/>
    <w:rsid w:val="000C53F4"/>
    <w:pPr>
      <w:ind w:left="720"/>
      <w:contextualSpacing/>
    </w:pPr>
  </w:style>
  <w:style w:type="character" w:styleId="IntenseEmphasis">
    <w:name w:val="Intense Emphasis"/>
    <w:basedOn w:val="DefaultParagraphFont"/>
    <w:uiPriority w:val="21"/>
    <w:qFormat/>
    <w:rsid w:val="000C53F4"/>
    <w:rPr>
      <w:i/>
      <w:iCs/>
      <w:color w:val="2F5496" w:themeColor="accent1" w:themeShade="BF"/>
    </w:rPr>
  </w:style>
  <w:style w:type="paragraph" w:styleId="IntenseQuote">
    <w:name w:val="Intense Quote"/>
    <w:basedOn w:val="Normal"/>
    <w:next w:val="Normal"/>
    <w:link w:val="IntenseQuoteChar"/>
    <w:uiPriority w:val="30"/>
    <w:qFormat/>
    <w:rsid w:val="000C53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53F4"/>
    <w:rPr>
      <w:i/>
      <w:iCs/>
      <w:color w:val="2F5496" w:themeColor="accent1" w:themeShade="BF"/>
    </w:rPr>
  </w:style>
  <w:style w:type="character" w:styleId="IntenseReference">
    <w:name w:val="Intense Reference"/>
    <w:basedOn w:val="DefaultParagraphFont"/>
    <w:uiPriority w:val="32"/>
    <w:qFormat/>
    <w:rsid w:val="000C53F4"/>
    <w:rPr>
      <w:b/>
      <w:bCs/>
      <w:smallCaps/>
      <w:color w:val="2F5496" w:themeColor="accent1" w:themeShade="BF"/>
      <w:spacing w:val="5"/>
    </w:rPr>
  </w:style>
  <w:style w:type="character" w:styleId="Emphasis">
    <w:name w:val="Emphasis"/>
    <w:basedOn w:val="DefaultParagraphFont"/>
    <w:uiPriority w:val="20"/>
    <w:qFormat/>
    <w:rsid w:val="000C53F4"/>
    <w:rPr>
      <w:i/>
      <w:iCs/>
    </w:rPr>
  </w:style>
  <w:style w:type="paragraph" w:styleId="Header">
    <w:name w:val="header"/>
    <w:basedOn w:val="Normal"/>
    <w:link w:val="HeaderChar"/>
    <w:uiPriority w:val="99"/>
    <w:unhideWhenUsed/>
    <w:rsid w:val="00B70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AF0"/>
  </w:style>
  <w:style w:type="paragraph" w:styleId="Footer">
    <w:name w:val="footer"/>
    <w:basedOn w:val="Normal"/>
    <w:link w:val="FooterChar"/>
    <w:uiPriority w:val="99"/>
    <w:unhideWhenUsed/>
    <w:rsid w:val="00B70A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A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1814</Words>
  <Characters>10343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Karina-Stefania</dc:creator>
  <cp:keywords/>
  <dc:description/>
  <cp:lastModifiedBy>Karina-Stefania</cp:lastModifiedBy>
  <cp:revision>2</cp:revision>
  <dcterms:created xsi:type="dcterms:W3CDTF">2025-12-15T00:27:00Z</dcterms:created>
  <dcterms:modified xsi:type="dcterms:W3CDTF">2025-12-15T00:27:00Z</dcterms:modified>
</cp:coreProperties>
</file>