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xml" PartName="/customXML/item1.xml"/>
  <Override ContentType="application/vnd.openxmlformats-officedocument.wordprocessingml.styles+xml" PartName="/word/styles.xml"/>
  <Override ContentType="application/vnd.openxmlformats-officedocument.wordprocessingml.fontTable+xml" PartName="/word/fontTable.xml"/>
  <Override ContentType="application/vnd.openxmlformats-package.core-properties+xml" PartName="/docProps/core.xml"/>
  <Override ContentType="application/vnd.ms-office.chartcolorstyle+xml" PartName="/word/charts/colors2.xml"/>
  <Override ContentType="application/vnd.ms-office.chartcolorstyle+xml" PartName="/word/charts/colors1.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theme+xml" PartName="/word/theme/theme1.xml"/>
  <Override ContentType="application/vnd.openxmlformats-officedocument.wordprocessingml.header+xml" PartName="/word/header1.xml"/>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numbering+xml" PartName="/word/numbering.xml"/>
  <Override ContentType="application/vnd.ms-office.chartstyle+xml" PartName="/word/charts/style1.xml"/>
  <Override ContentType="application/vnd.ms-office.chartstyle+xml" PartName="/word/charts/style2.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pBdr>
          <w:top w:space="0" w:sz="0" w:val="nil"/>
          <w:left w:space="0" w:sz="0" w:val="nil"/>
          <w:bottom w:space="0" w:sz="0" w:val="nil"/>
          <w:right w:space="0" w:sz="0" w:val="nil"/>
          <w:between w:space="0" w:sz="0" w:val="nil"/>
        </w:pBd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2">
      <w:pPr>
        <w:pBdr>
          <w:top w:space="0" w:sz="0" w:val="nil"/>
          <w:left w:space="0" w:sz="0" w:val="nil"/>
          <w:bottom w:space="0" w:sz="0" w:val="nil"/>
          <w:right w:space="0" w:sz="0" w:val="nil"/>
          <w:between w:space="0" w:sz="0" w:val="nil"/>
        </w:pBdr>
        <w:spacing w:after="240" w:before="15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spacing w:after="240" w:before="15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4">
      <w:pPr>
        <w:pBdr>
          <w:top w:space="0" w:sz="0" w:val="nil"/>
          <w:left w:space="0" w:sz="0" w:val="nil"/>
          <w:bottom w:space="0" w:sz="0" w:val="nil"/>
          <w:right w:space="0" w:sz="0" w:val="nil"/>
          <w:between w:space="0" w:sz="0" w:val="nil"/>
        </w:pBdr>
        <w:spacing w:after="0" w:line="480" w:lineRule="auto"/>
        <w:jc w:val="center"/>
        <w:rPr>
          <w:b w:val="1"/>
          <w:sz w:val="36"/>
          <w:szCs w:val="36"/>
        </w:rPr>
      </w:pPr>
      <w:r w:rsidDel="00000000" w:rsidR="00000000" w:rsidRPr="00000000">
        <w:rPr>
          <w:b w:val="1"/>
          <w:sz w:val="36"/>
          <w:szCs w:val="36"/>
          <w:rtl w:val="0"/>
        </w:rPr>
        <w:t xml:space="preserve">Financial Management for the Hotel Industry</w:t>
      </w:r>
    </w:p>
    <w:p w:rsidR="00000000" w:rsidDel="00000000" w:rsidP="00000000" w:rsidRDefault="00000000" w:rsidRPr="00000000" w14:paraId="00000005">
      <w:pPr>
        <w:pBdr>
          <w:top w:space="0" w:sz="0" w:val="nil"/>
          <w:left w:space="0" w:sz="0" w:val="nil"/>
          <w:bottom w:space="0" w:sz="0" w:val="nil"/>
          <w:right w:space="0" w:sz="0" w:val="nil"/>
          <w:between w:space="0" w:sz="0" w:val="nil"/>
        </w:pBdr>
        <w:spacing w:after="0" w:line="480" w:lineRule="auto"/>
        <w:jc w:val="center"/>
        <w:rPr>
          <w:rFonts w:ascii="Arial" w:cs="Arial" w:eastAsia="Arial" w:hAnsi="Arial"/>
          <w:b w:val="1"/>
          <w:sz w:val="36"/>
          <w:szCs w:val="36"/>
        </w:rPr>
      </w:pPr>
      <w:r w:rsidDel="00000000" w:rsidR="00000000" w:rsidRPr="00000000">
        <w:rPr>
          <w:b w:val="1"/>
          <w:sz w:val="32"/>
          <w:szCs w:val="32"/>
          <w:rtl w:val="0"/>
        </w:rPr>
        <w:t xml:space="preserve">Mohammed Nadeem Ahmed</w:t>
      </w: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pacing w:after="0" w:line="480" w:lineRule="auto"/>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2017666</w:t>
      </w:r>
    </w:p>
    <w:p w:rsidR="00000000" w:rsidDel="00000000" w:rsidP="00000000" w:rsidRDefault="00000000" w:rsidRPr="00000000" w14:paraId="00000007">
      <w:pPr>
        <w:pBdr>
          <w:top w:space="0" w:sz="0" w:val="nil"/>
          <w:left w:space="0" w:sz="0" w:val="nil"/>
          <w:bottom w:space="0" w:sz="0" w:val="nil"/>
          <w:right w:space="0" w:sz="0" w:val="nil"/>
          <w:between w:space="0" w:sz="0" w:val="nil"/>
        </w:pBdr>
        <w:spacing w:after="0" w:line="480" w:lineRule="auto"/>
        <w:jc w:val="center"/>
        <w:rPr>
          <w:rFonts w:ascii="Arial" w:cs="Arial" w:eastAsia="Arial" w:hAnsi="Arial"/>
          <w:b w:val="1"/>
          <w:sz w:val="48"/>
          <w:szCs w:val="48"/>
        </w:rPr>
      </w:pPr>
      <w:r w:rsidDel="00000000" w:rsidR="00000000" w:rsidRPr="00000000">
        <w:rPr>
          <w:b w:val="1"/>
          <w:sz w:val="32"/>
          <w:szCs w:val="32"/>
          <w:rtl w:val="0"/>
        </w:rPr>
        <w:t xml:space="preserve">BMIH5007</w:t>
      </w: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spacing w:after="0" w:before="480" w:line="360" w:lineRule="auto"/>
        <w:jc w:val="both"/>
        <w:rPr>
          <w:rFonts w:ascii="Arial" w:cs="Arial" w:eastAsia="Arial" w:hAnsi="Arial"/>
          <w:sz w:val="24"/>
          <w:szCs w:val="24"/>
        </w:rPr>
      </w:pPr>
      <w:r w:rsidDel="00000000" w:rsidR="00000000" w:rsidRPr="00000000">
        <w:rPr>
          <w:rFonts w:ascii="Arial" w:cs="Arial" w:eastAsia="Arial" w:hAnsi="Arial"/>
          <w:sz w:val="24"/>
          <w:szCs w:val="24"/>
        </w:rPr>
        <mc:AlternateContent>
          <mc:Choice Requires="wpg">
            <w:drawing>
              <wp:anchor allowOverlap="1" behindDoc="0" distB="0" distT="0" distL="114300" distR="114300" hidden="0" layoutInCell="1" locked="0" relativeHeight="0" simplePos="0">
                <wp:simplePos x="0" y="0"/>
                <wp:positionH relativeFrom="margin">
                  <wp:align>center</wp:align>
                </wp:positionH>
                <wp:positionV relativeFrom="page">
                  <wp:posOffset>-9522</wp:posOffset>
                </wp:positionV>
                <wp:extent cx="6572250" cy="576580"/>
                <wp:effectExtent b="0" l="0" r="0" t="0"/>
                <wp:wrapNone/>
                <wp:docPr id="150" name=""/>
                <a:graphic>
                  <a:graphicData uri="http://schemas.microsoft.com/office/word/2010/wordprocessingShape">
                    <wps:wsp>
                      <wps:cNvSpPr/>
                      <wps:cNvPr id="2" name="Shape 2"/>
                      <wps:spPr>
                        <a:xfrm>
                          <a:off x="2069400" y="3501235"/>
                          <a:ext cx="6553200" cy="557530"/>
                        </a:xfrm>
                        <a:custGeom>
                          <a:rect b="b" l="l" r="r" t="t"/>
                          <a:pathLst>
                            <a:path extrusionOk="0" h="557530" w="6553200">
                              <a:moveTo>
                                <a:pt x="0" y="0"/>
                              </a:moveTo>
                              <a:lnTo>
                                <a:pt x="0" y="557530"/>
                              </a:lnTo>
                              <a:lnTo>
                                <a:pt x="6553200" y="557530"/>
                              </a:lnTo>
                              <a:lnTo>
                                <a:pt x="6553200" y="0"/>
                              </a:lnTo>
                              <a:close/>
                            </a:path>
                          </a:pathLst>
                        </a:custGeom>
                        <a:noFill/>
                        <a:ln>
                          <a:noFill/>
                        </a:ln>
                      </wps:spPr>
                      <wps:txbx>
                        <w:txbxContent>
                          <w:p w:rsidR="00000000" w:rsidDel="00000000" w:rsidP="00000000" w:rsidRDefault="00000000" w:rsidRPr="00000000">
                            <w:pPr>
                              <w:spacing w:after="4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t xml:space="preserve">[01-06-2022]</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0"/>
                                <w:i w:val="0"/>
                                <w:smallCaps w:val="1"/>
                                <w:strike w:val="0"/>
                                <w:color w:val="5b9bd5"/>
                                <w:sz w:val="28"/>
                                <w:vertAlign w:val="baseline"/>
                              </w:rPr>
                              <w:t xml:space="preserve">UNIVERSITY OF WALES TRINITY SAINT DAVID</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0"/>
                                <w:i w:val="0"/>
                                <w:smallCaps w:val="0"/>
                                <w:strike w:val="0"/>
                                <w:color w:val="5b9bd5"/>
                                <w:sz w:val="28"/>
                                <w:vertAlign w:val="baseline"/>
                              </w:rPr>
                              <w:t xml:space="preserve">     </w:t>
                            </w:r>
                          </w:p>
                        </w:txbxContent>
                      </wps:txbx>
                      <wps:bodyPr anchorCtr="0" anchor="b" bIns="0" lIns="114300" spcFirstLastPara="1" rIns="11430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margin">
                  <wp:align>center</wp:align>
                </wp:positionH>
                <wp:positionV relativeFrom="page">
                  <wp:posOffset>-9522</wp:posOffset>
                </wp:positionV>
                <wp:extent cx="6572250" cy="576580"/>
                <wp:effectExtent b="0" l="0" r="0" t="0"/>
                <wp:wrapNone/>
                <wp:docPr id="150"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6572250" cy="57658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9">
      <w:pPr>
        <w:pStyle w:val="Heading1"/>
        <w:spacing w:line="360" w:lineRule="auto"/>
        <w:jc w:val="center"/>
        <w:rPr>
          <w:rFonts w:ascii="Arial" w:cs="Arial" w:eastAsia="Arial" w:hAnsi="Arial"/>
          <w:b w:val="1"/>
          <w:color w:val="000000"/>
          <w:sz w:val="24"/>
          <w:szCs w:val="24"/>
        </w:rPr>
      </w:pPr>
      <w:bookmarkStart w:colFirst="0" w:colLast="0" w:name="_heading=h.1t3h5sf" w:id="0"/>
      <w:bookmarkEnd w:id="0"/>
      <w:r w:rsidDel="00000000" w:rsidR="00000000" w:rsidRPr="00000000">
        <w:br w:type="page"/>
      </w:r>
      <w:r w:rsidDel="00000000" w:rsidR="00000000" w:rsidRPr="00000000">
        <w:rPr>
          <w:rFonts w:ascii="Arial" w:cs="Arial" w:eastAsia="Arial" w:hAnsi="Arial"/>
          <w:b w:val="1"/>
          <w:color w:val="000000"/>
          <w:sz w:val="28"/>
          <w:szCs w:val="28"/>
          <w:rtl w:val="0"/>
        </w:rPr>
        <w:t xml:space="preserve">Executive Summary</w:t>
      </w:r>
      <w:r w:rsidDel="00000000" w:rsidR="00000000" w:rsidRPr="00000000">
        <w:rPr>
          <w:rtl w:val="0"/>
        </w:rPr>
      </w:r>
    </w:p>
    <w:p w:rsidR="00000000" w:rsidDel="00000000" w:rsidP="00000000" w:rsidRDefault="00000000" w:rsidRPr="00000000" w14:paraId="0000000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Hilton Worldwide Holdings Inc works as a holding organization. Hilton Worldwide Holdings Inc is an American multinational hospitality company that organize and manage the broad portfolio of the hotels and resorts. this company is found in 1919 by Conrad Hilton. Total revenue of this company is 2019 was $4.307 billion with the 17000 employers.  this company manages approximately, 2200 hotels and resort in the world. </w:t>
      </w:r>
    </w:p>
    <w:p w:rsidR="00000000" w:rsidDel="00000000" w:rsidP="00000000" w:rsidRDefault="00000000" w:rsidRPr="00000000" w14:paraId="0000000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Monetary synopses are conveyed periodically, and, along these lines, there are time contrasts between every conveyance. In case extension has in the center between periods, authentic expenses are not reflected in the monetary outlines. Thusly, the numbers across different periods are not equivalent until they are adjusted to development.</w:t>
      </w:r>
    </w:p>
    <w:p w:rsidR="00000000" w:rsidDel="00000000" w:rsidP="00000000" w:rsidRDefault="00000000" w:rsidRPr="00000000" w14:paraId="0000000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financial situation of this company is not very satisfactory in last two year because of the COVID-19 pandemic, which we have discuss in financial analysis. according to the balance sheet of last Dec 2021, Hilton has a debt of $8.9 billion excluding the financing cost and discount. Excluding financial abilities and other debt, Hilton had a long-term debt with the interest rate of 3.95%. Hilton expenses increased up to 5% in between year of 2019 ad 2020.  Total cash and total cash equivalent were $1512 million including restricted cash equivalent do f$85 million. overall, the situation is not good but Hilton company is trying to overcome this financial crisis which they are hoping to get sorted at the end of 2025. </w:t>
      </w:r>
    </w:p>
    <w:p w:rsidR="00000000" w:rsidDel="00000000" w:rsidP="00000000" w:rsidRDefault="00000000" w:rsidRPr="00000000" w14:paraId="0000000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Net income, assets, and reverence in any of the estimation depends on the last outcome which is delivered by the organization. the ration analysis will not provide the forecasting of sustainability in the future. it only tells us about the change and percentage over the period of time. </w:t>
      </w:r>
    </w:p>
    <w:p w:rsidR="00000000" w:rsidDel="00000000" w:rsidP="00000000" w:rsidRDefault="00000000" w:rsidRPr="00000000" w14:paraId="0000000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company needs to change its financial framework and redesign its policy to increase the revenue. at this point where the big things are happing, the company needs to change the way of the measurement of the monetary assets, liabilities, expanses to make company more profitable in the future and to make company more stable to keep itself in market.</w:t>
      </w:r>
      <w:r w:rsidDel="00000000" w:rsidR="00000000" w:rsidRPr="00000000">
        <w:br w:type="page"/>
      </w:r>
      <w:r w:rsidDel="00000000" w:rsidR="00000000" w:rsidRPr="00000000">
        <w:rPr>
          <w:rtl w:val="0"/>
        </w:rPr>
      </w:r>
    </w:p>
    <w:p w:rsidR="00000000" w:rsidDel="00000000" w:rsidP="00000000" w:rsidRDefault="00000000" w:rsidRPr="00000000" w14:paraId="0000001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keepNext w:val="1"/>
        <w:keepLines w:val="1"/>
        <w:pBdr>
          <w:top w:space="0" w:sz="0" w:val="nil"/>
          <w:left w:space="0" w:sz="0" w:val="nil"/>
          <w:bottom w:space="0" w:sz="0" w:val="nil"/>
          <w:right w:space="0" w:sz="0" w:val="nil"/>
          <w:between w:space="0" w:sz="0" w:val="nil"/>
        </w:pBdr>
        <w:spacing w:after="0" w:before="240" w:line="36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Table of Contents</w:t>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1t3h5s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Executive Summary</w:t>
            </w:r>
          </w:hyperlink>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r>
          </w:hyperlink>
          <w:hyperlink w:anchor="_heading=h.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Financial Analysis</w:t>
            </w:r>
          </w:hyperlink>
          <w:hyperlink w:anchor="_heading=h.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Benefits and limitation of Ratio analysis:</w:t>
            </w:r>
          </w:hyperlink>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r>
          </w:hyperlink>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Bibliography:</w:t>
            </w:r>
          </w:hyperlink>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rFonts w:ascii="Arial" w:cs="Arial" w:eastAsia="Arial" w:hAnsi="Arial"/>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spacing w:line="360" w:lineRule="auto"/>
        <w:jc w:val="both"/>
        <w:rPr>
          <w:rFonts w:ascii="Arial" w:cs="Arial" w:eastAsia="Arial" w:hAnsi="Arial"/>
          <w:b w:val="1"/>
          <w:color w:val="000000"/>
          <w:sz w:val="28"/>
          <w:szCs w:val="28"/>
        </w:rPr>
      </w:pPr>
      <w:bookmarkStart w:colFirst="0" w:colLast="0" w:name="_heading=h.4d34og8" w:id="1"/>
      <w:bookmarkEnd w:id="1"/>
      <w:r w:rsidDel="00000000" w:rsidR="00000000" w:rsidRPr="00000000">
        <w:rPr>
          <w:rFonts w:ascii="Arial" w:cs="Arial" w:eastAsia="Arial" w:hAnsi="Arial"/>
          <w:b w:val="1"/>
          <w:color w:val="000000"/>
          <w:sz w:val="28"/>
          <w:szCs w:val="28"/>
          <w:rtl w:val="0"/>
        </w:rPr>
        <w:t xml:space="preserve">Introduction:</w:t>
      </w:r>
    </w:p>
    <w:p w:rsidR="00000000" w:rsidDel="00000000" w:rsidP="00000000" w:rsidRDefault="00000000" w:rsidRPr="00000000" w14:paraId="0000001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Hilton Worldwide Holdings Inc. works as a holding organization. The Company, through its auxiliaries, gives cordiality administrations. Hilton Worldwide Holdings claims and oversees lodgings, resorts, and time share properties internationally. (Hilton Worldwide Holdings Inc. 2017.). The Company is taken part in making do, diversifying, claiming and renting lodgings and resorts, and permitting its brands and protected innovation. The Company makes do, establishments, claims or rents around 6,837 properties containing roughly 1,074,791 rooms in over122 nations and domains. Its brands incorporate Waldorf Astoria Hotels and Resorts, LXR Hotels and Resorts and Conrad Hotels and Resorts, Canopy by Hilton, others. It works through two sections: the executives and establishment, and possession. The administration and establishment section incorporate every one of the inns, which the Company oversees for outsider proprietors, as well as completely diversified lodgings worked or oversaw by somebody other than the Company. The administration and establishment portion incorporate roughly 745 oversaw inns and north of 5,978 diversified lodgings comprising around 1,047,262 rooms. The possession section incorporates roughly 54 properties, adding up to more than 18,151 rooms. (Rawlings, Nate., 2018. ) Hilton Worldwide Holdings Inc. claims and works inns under the accompanying brand names: Waldorf Astoria Hotels and Resorts, LXR Hotels and Resorts, Conrad Hotels and Resorts, Canopy by Hilton, Signia by Hilton, Hilton Hotels and Resorts, Curio Collection by Hilton, DoubleTree by Hilton, Tapestry Collection by Hilton and Embassy Suites by Hilton.</w:t>
      </w:r>
    </w:p>
    <w:p w:rsidR="00000000" w:rsidDel="00000000" w:rsidP="00000000" w:rsidRDefault="00000000" w:rsidRPr="00000000" w14:paraId="0000001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executives of lodgings diversified and oversaw in the interest of outsiders is 84.8%. Managing, toward the finish of 2020, 5,646 diversified lodgings (764,952 bedrooms), of which 4,905 are situated in the United States and 715 lodgings under administration contract (225,905 bedrooms), incorporating 203 situated in the United States. HLT detailed first qtr. 2022 income of $0.71 per share on 5/3/22. This beat the $0.65 agreement of the 15 investigators covering the organization. (Hilton, H., 2019.)</w:t>
      </w:r>
    </w:p>
    <w:p w:rsidR="00000000" w:rsidDel="00000000" w:rsidP="00000000" w:rsidRDefault="00000000" w:rsidRPr="00000000" w14:paraId="0000001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 a worldwide level, the unavoidable effect of the COVID-19 pandemic started in late March, with its most huge unfriendly effect on inhabitancy and RevPAR in April. Framework wide inhabitancy showed consecutive month-over-month improvement from April through October, and, in the final quarter, there was both inhabitancy and RevPAR improvement in the Americas (barring U.S.), Middle East and Africa and Asia Pacific areas. Notwithstanding, travel limitations re-forced in late 2020 brought about extra impermanent suspensions and, now and again, re-suspensions of lodging operations, especially in Europe, which prompted further decreases in inhabitancy and RevPAR around there in the final quarter. (Alameri, M 2021)</w:t>
      </w:r>
    </w:p>
    <w:p w:rsidR="00000000" w:rsidDel="00000000" w:rsidP="00000000" w:rsidRDefault="00000000" w:rsidRPr="00000000" w14:paraId="0000001F">
      <w:pPr>
        <w:pStyle w:val="Heading1"/>
        <w:spacing w:line="360" w:lineRule="auto"/>
        <w:jc w:val="both"/>
        <w:rPr>
          <w:rFonts w:ascii="Arial" w:cs="Arial" w:eastAsia="Arial" w:hAnsi="Arial"/>
          <w:b w:val="1"/>
          <w:color w:val="000000"/>
          <w:sz w:val="28"/>
          <w:szCs w:val="28"/>
        </w:rPr>
      </w:pPr>
      <w:bookmarkStart w:colFirst="0" w:colLast="0" w:name="_heading=h.2s8eyo1" w:id="2"/>
      <w:bookmarkEnd w:id="2"/>
      <w:r w:rsidDel="00000000" w:rsidR="00000000" w:rsidRPr="00000000">
        <w:rPr>
          <w:rFonts w:ascii="Arial" w:cs="Arial" w:eastAsia="Arial" w:hAnsi="Arial"/>
          <w:b w:val="1"/>
          <w:color w:val="000000"/>
          <w:sz w:val="28"/>
          <w:szCs w:val="28"/>
          <w:rtl w:val="0"/>
        </w:rPr>
        <w:t xml:space="preserve">Financial Analysis</w:t>
      </w:r>
    </w:p>
    <w:p w:rsidR="00000000" w:rsidDel="00000000" w:rsidP="00000000" w:rsidRDefault="00000000" w:rsidRPr="00000000" w14:paraId="00000020">
      <w:pPr>
        <w:spacing w:line="360" w:lineRule="auto"/>
        <w:jc w:val="both"/>
        <w:rPr>
          <w:rFonts w:ascii="Arial" w:cs="Arial" w:eastAsia="Arial" w:hAnsi="Arial"/>
          <w:sz w:val="24"/>
          <w:szCs w:val="24"/>
        </w:rPr>
      </w:pPr>
      <w:r w:rsidDel="00000000" w:rsidR="00000000" w:rsidRPr="00000000">
        <w:rPr>
          <w:rtl w:val="0"/>
        </w:rPr>
      </w:r>
    </w:p>
    <w:tbl>
      <w:tblPr>
        <w:tblStyle w:val="Table1"/>
        <w:tblW w:w="8855.0" w:type="dxa"/>
        <w:jc w:val="left"/>
        <w:tblInd w:w="0.0" w:type="dxa"/>
        <w:tblLayout w:type="fixed"/>
        <w:tblLook w:val="0400"/>
      </w:tblPr>
      <w:tblGrid>
        <w:gridCol w:w="3074"/>
        <w:gridCol w:w="1432"/>
        <w:gridCol w:w="1432"/>
        <w:gridCol w:w="1432"/>
        <w:gridCol w:w="1485"/>
        <w:tblGridChange w:id="0">
          <w:tblGrid>
            <w:gridCol w:w="3074"/>
            <w:gridCol w:w="1432"/>
            <w:gridCol w:w="1432"/>
            <w:gridCol w:w="1432"/>
            <w:gridCol w:w="1485"/>
          </w:tblGrid>
        </w:tblGridChange>
      </w:tblGrid>
      <w:tr>
        <w:trPr>
          <w:cantSplit w:val="0"/>
          <w:trHeight w:val="300" w:hRule="atLeast"/>
          <w:tblHeader w:val="0"/>
        </w:trPr>
        <w:tc>
          <w:tcPr>
            <w:tcBorders>
              <w:top w:color="000000" w:space="0" w:sz="8" w:val="single"/>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021">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tc>
        <w:tc>
          <w:tcPr>
            <w:tcBorders>
              <w:top w:color="000000" w:space="0" w:sz="8" w:val="single"/>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22">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2020</w:t>
            </w:r>
          </w:p>
        </w:tc>
        <w:tc>
          <w:tcPr>
            <w:tcBorders>
              <w:top w:color="000000" w:space="0" w:sz="8" w:val="single"/>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23">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2019</w:t>
            </w:r>
          </w:p>
        </w:tc>
        <w:tc>
          <w:tcPr>
            <w:tcBorders>
              <w:top w:color="000000" w:space="0" w:sz="8" w:val="single"/>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24">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Change</w:t>
            </w:r>
          </w:p>
        </w:tc>
        <w:tc>
          <w:tcPr>
            <w:tcBorders>
              <w:top w:color="000000" w:space="0" w:sz="8" w:val="single"/>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25">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Change</w:t>
            </w:r>
          </w:p>
        </w:tc>
      </w:tr>
      <w:tr>
        <w:trPr>
          <w:cantSplit w:val="0"/>
          <w:trHeight w:val="300" w:hRule="atLeast"/>
          <w:tblHeader w:val="0"/>
        </w:trPr>
        <w:tc>
          <w:tcPr>
            <w:tcBorders>
              <w:top w:color="000000" w:space="0" w:sz="0" w:val="nil"/>
              <w:left w:color="000000" w:space="0" w:sz="8" w:val="single"/>
              <w:bottom w:color="000000" w:space="0" w:sz="8" w:val="single"/>
              <w:right w:color="000000" w:space="0" w:sz="8" w:val="single"/>
            </w:tcBorders>
            <w:shd w:fill="auto" w:val="clear"/>
            <w:vAlign w:val="center"/>
          </w:tcPr>
          <w:p w:rsidR="00000000" w:rsidDel="00000000" w:rsidP="00000000" w:rsidRDefault="00000000" w:rsidRPr="00000000" w14:paraId="00000026">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Sales</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27">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4,307,000</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28">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9,452,000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29">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5,145,000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2A">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0.544329</w:t>
            </w:r>
          </w:p>
        </w:tc>
      </w:tr>
      <w:tr>
        <w:trPr>
          <w:cantSplit w:val="0"/>
          <w:trHeight w:val="300" w:hRule="atLeast"/>
          <w:tblHeader w:val="0"/>
        </w:trPr>
        <w:tc>
          <w:tcPr>
            <w:tcBorders>
              <w:top w:color="000000" w:space="0" w:sz="0" w:val="nil"/>
              <w:left w:color="000000" w:space="0" w:sz="8" w:val="single"/>
              <w:bottom w:color="000000" w:space="0" w:sz="8" w:val="single"/>
              <w:right w:color="000000" w:space="0" w:sz="8" w:val="single"/>
            </w:tcBorders>
            <w:shd w:fill="auto" w:val="clear"/>
            <w:vAlign w:val="center"/>
          </w:tcPr>
          <w:p w:rsidR="00000000" w:rsidDel="00000000" w:rsidP="00000000" w:rsidRDefault="00000000" w:rsidRPr="00000000" w14:paraId="0000002B">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Cost of goods sold</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2C">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3,724,000</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2D">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7,017,000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2E">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3,293,000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2F">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0.469289</w:t>
            </w:r>
          </w:p>
        </w:tc>
      </w:tr>
      <w:tr>
        <w:trPr>
          <w:cantSplit w:val="0"/>
          <w:trHeight w:val="300" w:hRule="atLeast"/>
          <w:tblHeader w:val="0"/>
        </w:trPr>
        <w:tc>
          <w:tcPr>
            <w:tcBorders>
              <w:top w:color="000000" w:space="0" w:sz="0" w:val="nil"/>
              <w:left w:color="000000" w:space="0" w:sz="8" w:val="single"/>
              <w:bottom w:color="000000" w:space="0" w:sz="8" w:val="single"/>
              <w:right w:color="000000" w:space="0" w:sz="8" w:val="single"/>
            </w:tcBorders>
            <w:shd w:fill="auto" w:val="clear"/>
            <w:vAlign w:val="center"/>
          </w:tcPr>
          <w:p w:rsidR="00000000" w:rsidDel="00000000" w:rsidP="00000000" w:rsidRDefault="00000000" w:rsidRPr="00000000" w14:paraId="00000030">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Gross profit</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31">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583,000</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32">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2,435,000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33">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1,852,000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34">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0.760575</w:t>
            </w:r>
          </w:p>
        </w:tc>
      </w:tr>
      <w:tr>
        <w:trPr>
          <w:cantSplit w:val="0"/>
          <w:trHeight w:val="300" w:hRule="atLeast"/>
          <w:tblHeader w:val="0"/>
        </w:trPr>
        <w:tc>
          <w:tcPr>
            <w:tcBorders>
              <w:top w:color="000000" w:space="0" w:sz="0" w:val="nil"/>
              <w:left w:color="000000" w:space="0" w:sz="8" w:val="single"/>
              <w:bottom w:color="000000" w:space="0" w:sz="8" w:val="single"/>
              <w:right w:color="000000" w:space="0" w:sz="8" w:val="single"/>
            </w:tcBorders>
            <w:shd w:fill="auto" w:val="clear"/>
            <w:vAlign w:val="center"/>
          </w:tcPr>
          <w:p w:rsidR="00000000" w:rsidDel="00000000" w:rsidP="00000000" w:rsidRDefault="00000000" w:rsidRPr="00000000" w14:paraId="00000035">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Operating Expenses</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36">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702,000</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37">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859,000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38">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157,000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39">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0.182771</w:t>
            </w:r>
          </w:p>
        </w:tc>
      </w:tr>
      <w:tr>
        <w:trPr>
          <w:cantSplit w:val="0"/>
          <w:trHeight w:val="300" w:hRule="atLeast"/>
          <w:tblHeader w:val="0"/>
        </w:trPr>
        <w:tc>
          <w:tcPr>
            <w:tcBorders>
              <w:top w:color="000000" w:space="0" w:sz="0" w:val="nil"/>
              <w:left w:color="000000" w:space="0" w:sz="8" w:val="single"/>
              <w:bottom w:color="000000" w:space="0" w:sz="8" w:val="single"/>
              <w:right w:color="000000" w:space="0" w:sz="8" w:val="single"/>
            </w:tcBorders>
            <w:shd w:fill="auto" w:val="clear"/>
            <w:vAlign w:val="center"/>
          </w:tcPr>
          <w:p w:rsidR="00000000" w:rsidDel="00000000" w:rsidP="00000000" w:rsidRDefault="00000000" w:rsidRPr="00000000" w14:paraId="0000003A">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Operating income</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3B">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-119,000</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3C">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1,576,000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3D">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1,695,000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3E">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1.075508</w:t>
            </w:r>
          </w:p>
        </w:tc>
      </w:tr>
      <w:tr>
        <w:trPr>
          <w:cantSplit w:val="0"/>
          <w:trHeight w:val="300" w:hRule="atLeast"/>
          <w:tblHeader w:val="0"/>
        </w:trPr>
        <w:tc>
          <w:tcPr>
            <w:tcBorders>
              <w:top w:color="000000" w:space="0" w:sz="0" w:val="nil"/>
              <w:left w:color="000000" w:space="0" w:sz="8" w:val="single"/>
              <w:bottom w:color="000000" w:space="0" w:sz="8" w:val="single"/>
              <w:right w:color="000000" w:space="0" w:sz="8" w:val="single"/>
            </w:tcBorders>
            <w:shd w:fill="auto" w:val="clear"/>
            <w:vAlign w:val="center"/>
          </w:tcPr>
          <w:p w:rsidR="00000000" w:rsidDel="00000000" w:rsidP="00000000" w:rsidRDefault="00000000" w:rsidRPr="00000000" w14:paraId="0000003F">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Interest Expense</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40">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429,000</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41">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414,000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42">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43">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-0.03623</w:t>
            </w:r>
          </w:p>
        </w:tc>
      </w:tr>
      <w:tr>
        <w:trPr>
          <w:cantSplit w:val="0"/>
          <w:trHeight w:val="300" w:hRule="atLeast"/>
          <w:tblHeader w:val="0"/>
        </w:trPr>
        <w:tc>
          <w:tcPr>
            <w:tcBorders>
              <w:top w:color="000000" w:space="0" w:sz="0" w:val="nil"/>
              <w:left w:color="000000" w:space="0" w:sz="8" w:val="single"/>
              <w:bottom w:color="000000" w:space="0" w:sz="8" w:val="single"/>
              <w:right w:color="000000" w:space="0" w:sz="8" w:val="single"/>
            </w:tcBorders>
            <w:shd w:fill="auto" w:val="clear"/>
            <w:vAlign w:val="center"/>
          </w:tcPr>
          <w:p w:rsidR="00000000" w:rsidDel="00000000" w:rsidP="00000000" w:rsidRDefault="00000000" w:rsidRPr="00000000" w14:paraId="00000044">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Total Other income/ expenses net </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45">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-376,000</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46">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82,000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47">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458,000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48">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5.585366</w:t>
            </w:r>
          </w:p>
        </w:tc>
      </w:tr>
      <w:tr>
        <w:trPr>
          <w:cantSplit w:val="0"/>
          <w:trHeight w:val="300" w:hRule="atLeast"/>
          <w:tblHeader w:val="0"/>
        </w:trPr>
        <w:tc>
          <w:tcPr>
            <w:tcBorders>
              <w:top w:color="000000" w:space="0" w:sz="0" w:val="nil"/>
              <w:left w:color="000000" w:space="0" w:sz="8" w:val="single"/>
              <w:bottom w:color="000000" w:space="0" w:sz="8" w:val="single"/>
              <w:right w:color="000000" w:space="0" w:sz="8" w:val="single"/>
            </w:tcBorders>
            <w:shd w:fill="auto" w:val="clear"/>
            <w:vAlign w:val="center"/>
          </w:tcPr>
          <w:p w:rsidR="00000000" w:rsidDel="00000000" w:rsidP="00000000" w:rsidRDefault="00000000" w:rsidRPr="00000000" w14:paraId="00000049">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Income before taxes</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4A">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-924,000</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4B">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1,244,000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4C">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2,168,000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4D">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1.742765</w:t>
            </w:r>
          </w:p>
        </w:tc>
      </w:tr>
      <w:tr>
        <w:trPr>
          <w:cantSplit w:val="0"/>
          <w:trHeight w:val="300" w:hRule="atLeast"/>
          <w:tblHeader w:val="0"/>
        </w:trPr>
        <w:tc>
          <w:tcPr>
            <w:tcBorders>
              <w:top w:color="000000" w:space="0" w:sz="0" w:val="nil"/>
              <w:left w:color="000000" w:space="0" w:sz="8" w:val="single"/>
              <w:bottom w:color="000000" w:space="0" w:sz="8" w:val="single"/>
              <w:right w:color="000000" w:space="0" w:sz="8" w:val="single"/>
            </w:tcBorders>
            <w:shd w:fill="auto" w:val="clear"/>
            <w:vAlign w:val="center"/>
          </w:tcPr>
          <w:p w:rsidR="00000000" w:rsidDel="00000000" w:rsidP="00000000" w:rsidRDefault="00000000" w:rsidRPr="00000000" w14:paraId="0000004E">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Net income</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4F">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-715,000</w:t>
            </w:r>
          </w:p>
        </w:tc>
        <w:tc>
          <w:tcPr>
            <w:tcBorders>
              <w:top w:color="000000" w:space="0" w:sz="0" w:val="nil"/>
              <w:left w:color="000000" w:space="0" w:sz="0" w:val="nil"/>
              <w:bottom w:color="000000" w:space="0" w:sz="8" w:val="single"/>
              <w:right w:color="000000" w:space="0" w:sz="8" w:val="single"/>
            </w:tcBorders>
            <w:shd w:fill="auto" w:val="clear"/>
            <w:vAlign w:val="center"/>
          </w:tcPr>
          <w:p w:rsidR="00000000" w:rsidDel="00000000" w:rsidP="00000000" w:rsidRDefault="00000000" w:rsidRPr="00000000" w14:paraId="00000050">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881,000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51">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1,596,000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52">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1.811578</w:t>
            </w:r>
          </w:p>
        </w:tc>
      </w:tr>
    </w:tbl>
    <w:p w:rsidR="00000000" w:rsidDel="00000000" w:rsidP="00000000" w:rsidRDefault="00000000" w:rsidRPr="00000000" w14:paraId="0000005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Income statement explains the company’s expenses and revenue over the period. It could be either quarterly or annually.  Income statement could be into two forms, one is muti step and other is single step. Multistep income statement includes four types of measurement: gross, operating, pre-tax and after tax.  Income statement only measure the profit of the company. It does not measure the cash flow of the company.  (Nissim, D. and Penman, S.H., 2001) the Above income statement is for the time of 2019 and 2020. We measure the change in between two year and Horizontal ratios change, which is shown in graphical presentation.  Given statement is multistep statement which measure the cost, gross, operating, pre-tax and after-tax income.  Below graph show the variation trend in changes and Horizontal ratios change in between two years. Horizontal ratios change and change is on x-axis of the graph, and prices are on the y-axis. The graph shows that the interest expense was negative over the period.  0.46% of the good sold by the Hilton Worldwide Holdings Inc. (HLT) in between the year 2019 and 2020. Sale Horizontal ratios were 0.54% and the gross profit was 0.76%. operating income and operating expanse fall in between 0.18% and 1.8%. total income or net expense were quite high with the rate of 5.5%. after paying tax, the net income was 1.8% and before tax it was 1.7%. graphical presentation shows that the expenses are higher than the net income which means that the Hilton Worldwide Holdings Inc. (HLT) are growing negatively and bearing financial loss.  </w:t>
      </w:r>
    </w:p>
    <w:p w:rsidR="00000000" w:rsidDel="00000000" w:rsidP="00000000" w:rsidRDefault="00000000" w:rsidRPr="00000000" w14:paraId="0000005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572000" cy="2743200"/>
            <wp:docPr id="148" name=""/>
            <a:graphic>
              <a:graphicData uri="http://schemas.openxmlformats.org/drawingml/2006/chart">
                <c:chart r:id="rId8"/>
              </a:graphicData>
            </a:graphic>
          </wp:inline>
        </w:drawing>
      </w:r>
      <w:r w:rsidDel="00000000" w:rsidR="00000000" w:rsidRPr="00000000">
        <w:rPr>
          <w:rtl w:val="0"/>
        </w:rPr>
      </w:r>
    </w:p>
    <w:p w:rsidR="00000000" w:rsidDel="00000000" w:rsidP="00000000" w:rsidRDefault="00000000" w:rsidRPr="00000000" w14:paraId="00000056">
      <w:pPr>
        <w:rPr>
          <w:rFonts w:ascii="Arial" w:cs="Arial" w:eastAsia="Arial" w:hAnsi="Arial"/>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Balance Sheet 2019 &amp; 2020</w:t>
      </w:r>
      <w:r w:rsidDel="00000000" w:rsidR="00000000" w:rsidRPr="00000000">
        <w:rPr>
          <w:rFonts w:ascii="Arial" w:cs="Arial" w:eastAsia="Arial" w:hAnsi="Arial"/>
          <w:b w:val="1"/>
          <w:sz w:val="24"/>
          <w:szCs w:val="24"/>
          <w:rtl w:val="0"/>
        </w:rPr>
        <w:tab/>
        <w:tab/>
        <w:tab/>
        <w:tab/>
      </w:r>
      <w:r w:rsidDel="00000000" w:rsidR="00000000" w:rsidRPr="00000000">
        <w:rPr>
          <w:rtl w:val="0"/>
        </w:rPr>
      </w:r>
    </w:p>
    <w:tbl>
      <w:tblPr>
        <w:tblStyle w:val="Table2"/>
        <w:tblW w:w="954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753"/>
        <w:gridCol w:w="1565"/>
        <w:gridCol w:w="1565"/>
        <w:gridCol w:w="1357"/>
        <w:gridCol w:w="1303"/>
        <w:tblGridChange w:id="0">
          <w:tblGrid>
            <w:gridCol w:w="3753"/>
            <w:gridCol w:w="1565"/>
            <w:gridCol w:w="1565"/>
            <w:gridCol w:w="1357"/>
            <w:gridCol w:w="1303"/>
          </w:tblGrid>
        </w:tblGridChange>
      </w:tblGrid>
      <w:tr>
        <w:trPr>
          <w:cantSplit w:val="0"/>
          <w:trHeight w:val="288" w:hRule="atLeast"/>
          <w:tblHeader w:val="0"/>
        </w:trPr>
        <w:tc>
          <w:tcPr>
            <w:shd w:fill="auto" w:val="clear"/>
            <w:vAlign w:val="bottom"/>
          </w:tcPr>
          <w:p w:rsidR="00000000" w:rsidDel="00000000" w:rsidP="00000000" w:rsidRDefault="00000000" w:rsidRPr="00000000" w14:paraId="00000058">
            <w:pPr>
              <w:spacing w:line="276" w:lineRule="auto"/>
              <w:jc w:val="both"/>
              <w:rPr>
                <w:rFonts w:ascii="Arial" w:cs="Arial" w:eastAsia="Arial" w:hAnsi="Arial"/>
                <w:sz w:val="24"/>
                <w:szCs w:val="24"/>
              </w:rPr>
            </w:pPr>
            <w:r w:rsidDel="00000000" w:rsidR="00000000" w:rsidRPr="00000000">
              <w:rPr>
                <w:rtl w:val="0"/>
              </w:rPr>
            </w:r>
          </w:p>
        </w:tc>
        <w:tc>
          <w:tcPr>
            <w:shd w:fill="auto" w:val="clear"/>
            <w:vAlign w:val="center"/>
          </w:tcPr>
          <w:p w:rsidR="00000000" w:rsidDel="00000000" w:rsidP="00000000" w:rsidRDefault="00000000" w:rsidRPr="00000000" w14:paraId="00000059">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2020</w:t>
            </w:r>
          </w:p>
        </w:tc>
        <w:tc>
          <w:tcPr>
            <w:shd w:fill="auto" w:val="clear"/>
            <w:vAlign w:val="center"/>
          </w:tcPr>
          <w:p w:rsidR="00000000" w:rsidDel="00000000" w:rsidP="00000000" w:rsidRDefault="00000000" w:rsidRPr="00000000" w14:paraId="0000005A">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2019</w:t>
            </w:r>
          </w:p>
        </w:tc>
        <w:tc>
          <w:tcPr>
            <w:shd w:fill="auto" w:val="clear"/>
            <w:vAlign w:val="center"/>
          </w:tcPr>
          <w:p w:rsidR="00000000" w:rsidDel="00000000" w:rsidP="00000000" w:rsidRDefault="00000000" w:rsidRPr="00000000" w14:paraId="0000005B">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Change</w:t>
            </w:r>
          </w:p>
        </w:tc>
        <w:tc>
          <w:tcPr>
            <w:shd w:fill="auto" w:val="clear"/>
            <w:vAlign w:val="center"/>
          </w:tcPr>
          <w:p w:rsidR="00000000" w:rsidDel="00000000" w:rsidP="00000000" w:rsidRDefault="00000000" w:rsidRPr="00000000" w14:paraId="0000005C">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Change</w:t>
            </w:r>
          </w:p>
        </w:tc>
      </w:tr>
      <w:tr>
        <w:trPr>
          <w:cantSplit w:val="0"/>
          <w:trHeight w:val="288" w:hRule="atLeast"/>
          <w:tblHeader w:val="0"/>
        </w:trPr>
        <w:tc>
          <w:tcPr>
            <w:shd w:fill="auto" w:val="clear"/>
            <w:vAlign w:val="center"/>
          </w:tcPr>
          <w:p w:rsidR="00000000" w:rsidDel="00000000" w:rsidP="00000000" w:rsidRDefault="00000000" w:rsidRPr="00000000" w14:paraId="0000005D">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Current Asset</w:t>
            </w:r>
          </w:p>
        </w:tc>
        <w:tc>
          <w:tcPr>
            <w:shd w:fill="auto" w:val="clear"/>
            <w:vAlign w:val="center"/>
          </w:tcPr>
          <w:p w:rsidR="00000000" w:rsidDel="00000000" w:rsidP="00000000" w:rsidRDefault="00000000" w:rsidRPr="00000000" w14:paraId="0000005E">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4,202,000</w:t>
            </w:r>
          </w:p>
        </w:tc>
        <w:tc>
          <w:tcPr>
            <w:shd w:fill="auto" w:val="clear"/>
            <w:vAlign w:val="center"/>
          </w:tcPr>
          <w:p w:rsidR="00000000" w:rsidDel="00000000" w:rsidP="00000000" w:rsidRDefault="00000000" w:rsidRPr="00000000" w14:paraId="0000005F">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2,093,000</w:t>
            </w:r>
          </w:p>
        </w:tc>
        <w:tc>
          <w:tcPr>
            <w:shd w:fill="auto" w:val="clear"/>
            <w:vAlign w:val="bottom"/>
          </w:tcPr>
          <w:p w:rsidR="00000000" w:rsidDel="00000000" w:rsidP="00000000" w:rsidRDefault="00000000" w:rsidRPr="00000000" w14:paraId="00000060">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2,109,000</w:t>
            </w:r>
          </w:p>
        </w:tc>
        <w:tc>
          <w:tcPr>
            <w:shd w:fill="auto" w:val="clear"/>
            <w:vAlign w:val="bottom"/>
          </w:tcPr>
          <w:p w:rsidR="00000000" w:rsidDel="00000000" w:rsidP="00000000" w:rsidRDefault="00000000" w:rsidRPr="00000000" w14:paraId="00000061">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0.501904</w:t>
            </w:r>
          </w:p>
        </w:tc>
      </w:tr>
      <w:tr>
        <w:trPr>
          <w:cantSplit w:val="0"/>
          <w:trHeight w:val="288" w:hRule="atLeast"/>
          <w:tblHeader w:val="0"/>
        </w:trPr>
        <w:tc>
          <w:tcPr>
            <w:shd w:fill="auto" w:val="clear"/>
            <w:vAlign w:val="center"/>
          </w:tcPr>
          <w:p w:rsidR="00000000" w:rsidDel="00000000" w:rsidP="00000000" w:rsidRDefault="00000000" w:rsidRPr="00000000" w14:paraId="00000062">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Non-Current Asset</w:t>
            </w:r>
          </w:p>
        </w:tc>
        <w:tc>
          <w:tcPr>
            <w:shd w:fill="auto" w:val="clear"/>
            <w:vAlign w:val="bottom"/>
          </w:tcPr>
          <w:p w:rsidR="00000000" w:rsidDel="00000000" w:rsidP="00000000" w:rsidRDefault="00000000" w:rsidRPr="00000000" w14:paraId="00000063">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15,810,000</w:t>
            </w:r>
          </w:p>
        </w:tc>
        <w:tc>
          <w:tcPr>
            <w:shd w:fill="auto" w:val="clear"/>
            <w:vAlign w:val="center"/>
          </w:tcPr>
          <w:p w:rsidR="00000000" w:rsidDel="00000000" w:rsidP="00000000" w:rsidRDefault="00000000" w:rsidRPr="00000000" w14:paraId="00000064">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12,558,000</w:t>
            </w:r>
          </w:p>
        </w:tc>
        <w:tc>
          <w:tcPr>
            <w:shd w:fill="auto" w:val="clear"/>
            <w:vAlign w:val="bottom"/>
          </w:tcPr>
          <w:p w:rsidR="00000000" w:rsidDel="00000000" w:rsidP="00000000" w:rsidRDefault="00000000" w:rsidRPr="00000000" w14:paraId="00000065">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3,252,000</w:t>
            </w:r>
          </w:p>
        </w:tc>
        <w:tc>
          <w:tcPr>
            <w:shd w:fill="auto" w:val="clear"/>
            <w:vAlign w:val="bottom"/>
          </w:tcPr>
          <w:p w:rsidR="00000000" w:rsidDel="00000000" w:rsidP="00000000" w:rsidRDefault="00000000" w:rsidRPr="00000000" w14:paraId="00000066">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0.205693</w:t>
            </w:r>
          </w:p>
        </w:tc>
      </w:tr>
      <w:tr>
        <w:trPr>
          <w:cantSplit w:val="0"/>
          <w:trHeight w:val="288" w:hRule="atLeast"/>
          <w:tblHeader w:val="0"/>
        </w:trPr>
        <w:tc>
          <w:tcPr>
            <w:shd w:fill="auto" w:val="clear"/>
            <w:vAlign w:val="center"/>
          </w:tcPr>
          <w:p w:rsidR="00000000" w:rsidDel="00000000" w:rsidP="00000000" w:rsidRDefault="00000000" w:rsidRPr="00000000" w14:paraId="00000067">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Total Asset</w:t>
            </w:r>
          </w:p>
        </w:tc>
        <w:tc>
          <w:tcPr>
            <w:shd w:fill="auto" w:val="clear"/>
            <w:vAlign w:val="center"/>
          </w:tcPr>
          <w:p w:rsidR="00000000" w:rsidDel="00000000" w:rsidP="00000000" w:rsidRDefault="00000000" w:rsidRPr="00000000" w14:paraId="00000068">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16,755,000</w:t>
            </w:r>
          </w:p>
        </w:tc>
        <w:tc>
          <w:tcPr>
            <w:shd w:fill="auto" w:val="clear"/>
            <w:vAlign w:val="center"/>
          </w:tcPr>
          <w:p w:rsidR="00000000" w:rsidDel="00000000" w:rsidP="00000000" w:rsidRDefault="00000000" w:rsidRPr="00000000" w14:paraId="00000069">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14,957,000</w:t>
            </w:r>
          </w:p>
        </w:tc>
        <w:tc>
          <w:tcPr>
            <w:shd w:fill="auto" w:val="clear"/>
            <w:vAlign w:val="bottom"/>
          </w:tcPr>
          <w:p w:rsidR="00000000" w:rsidDel="00000000" w:rsidP="00000000" w:rsidRDefault="00000000" w:rsidRPr="00000000" w14:paraId="0000006A">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1,798,000</w:t>
            </w:r>
          </w:p>
        </w:tc>
        <w:tc>
          <w:tcPr>
            <w:shd w:fill="auto" w:val="clear"/>
            <w:vAlign w:val="bottom"/>
          </w:tcPr>
          <w:p w:rsidR="00000000" w:rsidDel="00000000" w:rsidP="00000000" w:rsidRDefault="00000000" w:rsidRPr="00000000" w14:paraId="0000006B">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0.107311</w:t>
            </w:r>
          </w:p>
        </w:tc>
      </w:tr>
      <w:tr>
        <w:trPr>
          <w:cantSplit w:val="0"/>
          <w:trHeight w:val="288" w:hRule="atLeast"/>
          <w:tblHeader w:val="0"/>
        </w:trPr>
        <w:tc>
          <w:tcPr>
            <w:shd w:fill="auto" w:val="clear"/>
            <w:vAlign w:val="center"/>
          </w:tcPr>
          <w:p w:rsidR="00000000" w:rsidDel="00000000" w:rsidP="00000000" w:rsidRDefault="00000000" w:rsidRPr="00000000" w14:paraId="0000006C">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Current Liabilities</w:t>
            </w:r>
          </w:p>
        </w:tc>
        <w:tc>
          <w:tcPr>
            <w:shd w:fill="auto" w:val="clear"/>
            <w:vAlign w:val="center"/>
          </w:tcPr>
          <w:p w:rsidR="00000000" w:rsidDel="00000000" w:rsidP="00000000" w:rsidRDefault="00000000" w:rsidRPr="00000000" w14:paraId="0000006D">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2,431,000</w:t>
            </w:r>
          </w:p>
        </w:tc>
        <w:tc>
          <w:tcPr>
            <w:shd w:fill="auto" w:val="clear"/>
            <w:vAlign w:val="center"/>
          </w:tcPr>
          <w:p w:rsidR="00000000" w:rsidDel="00000000" w:rsidP="00000000" w:rsidRDefault="00000000" w:rsidRPr="00000000" w14:paraId="0000006E">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2,871,000</w:t>
            </w:r>
          </w:p>
        </w:tc>
        <w:tc>
          <w:tcPr>
            <w:shd w:fill="auto" w:val="clear"/>
            <w:vAlign w:val="bottom"/>
          </w:tcPr>
          <w:p w:rsidR="00000000" w:rsidDel="00000000" w:rsidP="00000000" w:rsidRDefault="00000000" w:rsidRPr="00000000" w14:paraId="0000006F">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-440,000</w:t>
            </w:r>
          </w:p>
        </w:tc>
        <w:tc>
          <w:tcPr>
            <w:shd w:fill="auto" w:val="clear"/>
            <w:vAlign w:val="bottom"/>
          </w:tcPr>
          <w:p w:rsidR="00000000" w:rsidDel="00000000" w:rsidP="00000000" w:rsidRDefault="00000000" w:rsidRPr="00000000" w14:paraId="00000070">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-0.181</w:t>
            </w:r>
          </w:p>
        </w:tc>
      </w:tr>
      <w:tr>
        <w:trPr>
          <w:cantSplit w:val="0"/>
          <w:trHeight w:val="288" w:hRule="atLeast"/>
          <w:tblHeader w:val="0"/>
        </w:trPr>
        <w:tc>
          <w:tcPr>
            <w:shd w:fill="auto" w:val="clear"/>
            <w:vAlign w:val="center"/>
          </w:tcPr>
          <w:p w:rsidR="00000000" w:rsidDel="00000000" w:rsidP="00000000" w:rsidRDefault="00000000" w:rsidRPr="00000000" w14:paraId="00000071">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Non-current Liabilities</w:t>
            </w:r>
          </w:p>
        </w:tc>
        <w:tc>
          <w:tcPr>
            <w:shd w:fill="auto" w:val="clear"/>
            <w:vAlign w:val="center"/>
          </w:tcPr>
          <w:p w:rsidR="00000000" w:rsidDel="00000000" w:rsidP="00000000" w:rsidRDefault="00000000" w:rsidRPr="00000000" w14:paraId="00000072">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15,810,000</w:t>
            </w:r>
          </w:p>
        </w:tc>
        <w:tc>
          <w:tcPr>
            <w:shd w:fill="auto" w:val="clear"/>
            <w:vAlign w:val="center"/>
          </w:tcPr>
          <w:p w:rsidR="00000000" w:rsidDel="00000000" w:rsidP="00000000" w:rsidRDefault="00000000" w:rsidRPr="00000000" w14:paraId="00000073">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12,558,000</w:t>
            </w:r>
          </w:p>
        </w:tc>
        <w:tc>
          <w:tcPr>
            <w:shd w:fill="auto" w:val="clear"/>
            <w:vAlign w:val="bottom"/>
          </w:tcPr>
          <w:p w:rsidR="00000000" w:rsidDel="00000000" w:rsidP="00000000" w:rsidRDefault="00000000" w:rsidRPr="00000000" w14:paraId="00000074">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3,252,000</w:t>
            </w:r>
          </w:p>
        </w:tc>
        <w:tc>
          <w:tcPr>
            <w:shd w:fill="auto" w:val="clear"/>
            <w:vAlign w:val="bottom"/>
          </w:tcPr>
          <w:p w:rsidR="00000000" w:rsidDel="00000000" w:rsidP="00000000" w:rsidRDefault="00000000" w:rsidRPr="00000000" w14:paraId="00000075">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0.205693</w:t>
            </w:r>
          </w:p>
        </w:tc>
      </w:tr>
      <w:tr>
        <w:trPr>
          <w:cantSplit w:val="0"/>
          <w:trHeight w:val="288" w:hRule="atLeast"/>
          <w:tblHeader w:val="0"/>
        </w:trPr>
        <w:tc>
          <w:tcPr>
            <w:shd w:fill="auto" w:val="clear"/>
            <w:vAlign w:val="center"/>
          </w:tcPr>
          <w:p w:rsidR="00000000" w:rsidDel="00000000" w:rsidP="00000000" w:rsidRDefault="00000000" w:rsidRPr="00000000" w14:paraId="00000076">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Total Liabilities</w:t>
            </w:r>
          </w:p>
        </w:tc>
        <w:tc>
          <w:tcPr>
            <w:shd w:fill="auto" w:val="clear"/>
            <w:vAlign w:val="center"/>
          </w:tcPr>
          <w:p w:rsidR="00000000" w:rsidDel="00000000" w:rsidP="00000000" w:rsidRDefault="00000000" w:rsidRPr="00000000" w14:paraId="00000077">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18,241,000</w:t>
            </w:r>
          </w:p>
        </w:tc>
        <w:tc>
          <w:tcPr>
            <w:shd w:fill="auto" w:val="clear"/>
            <w:vAlign w:val="center"/>
          </w:tcPr>
          <w:p w:rsidR="00000000" w:rsidDel="00000000" w:rsidP="00000000" w:rsidRDefault="00000000" w:rsidRPr="00000000" w14:paraId="00000078">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15,429,000</w:t>
            </w:r>
          </w:p>
        </w:tc>
        <w:tc>
          <w:tcPr>
            <w:shd w:fill="auto" w:val="clear"/>
            <w:vAlign w:val="bottom"/>
          </w:tcPr>
          <w:p w:rsidR="00000000" w:rsidDel="00000000" w:rsidP="00000000" w:rsidRDefault="00000000" w:rsidRPr="00000000" w14:paraId="00000079">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2,812,000</w:t>
            </w:r>
          </w:p>
        </w:tc>
        <w:tc>
          <w:tcPr>
            <w:shd w:fill="auto" w:val="clear"/>
            <w:vAlign w:val="bottom"/>
          </w:tcPr>
          <w:p w:rsidR="00000000" w:rsidDel="00000000" w:rsidP="00000000" w:rsidRDefault="00000000" w:rsidRPr="00000000" w14:paraId="0000007A">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0.154158</w:t>
            </w:r>
          </w:p>
        </w:tc>
      </w:tr>
      <w:tr>
        <w:trPr>
          <w:cantSplit w:val="0"/>
          <w:trHeight w:val="288" w:hRule="atLeast"/>
          <w:tblHeader w:val="0"/>
        </w:trPr>
        <w:tc>
          <w:tcPr>
            <w:shd w:fill="auto" w:val="clear"/>
            <w:vAlign w:val="center"/>
          </w:tcPr>
          <w:p w:rsidR="00000000" w:rsidDel="00000000" w:rsidP="00000000" w:rsidRDefault="00000000" w:rsidRPr="00000000" w14:paraId="0000007B">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Common Stock</w:t>
            </w:r>
          </w:p>
        </w:tc>
        <w:tc>
          <w:tcPr>
            <w:shd w:fill="auto" w:val="clear"/>
            <w:vAlign w:val="center"/>
          </w:tcPr>
          <w:p w:rsidR="00000000" w:rsidDel="00000000" w:rsidP="00000000" w:rsidRDefault="00000000" w:rsidRPr="00000000" w14:paraId="0000007C">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3,000</w:t>
            </w:r>
          </w:p>
        </w:tc>
        <w:tc>
          <w:tcPr>
            <w:shd w:fill="auto" w:val="clear"/>
            <w:vAlign w:val="center"/>
          </w:tcPr>
          <w:p w:rsidR="00000000" w:rsidDel="00000000" w:rsidP="00000000" w:rsidRDefault="00000000" w:rsidRPr="00000000" w14:paraId="0000007D">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3,000</w:t>
            </w:r>
          </w:p>
        </w:tc>
        <w:tc>
          <w:tcPr>
            <w:shd w:fill="auto" w:val="clear"/>
            <w:vAlign w:val="bottom"/>
          </w:tcPr>
          <w:p w:rsidR="00000000" w:rsidDel="00000000" w:rsidP="00000000" w:rsidRDefault="00000000" w:rsidRPr="00000000" w14:paraId="0000007E">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w:t>
            </w:r>
          </w:p>
        </w:tc>
        <w:tc>
          <w:tcPr>
            <w:shd w:fill="auto" w:val="clear"/>
            <w:vAlign w:val="bottom"/>
          </w:tcPr>
          <w:p w:rsidR="00000000" w:rsidDel="00000000" w:rsidP="00000000" w:rsidRDefault="00000000" w:rsidRPr="00000000" w14:paraId="0000007F">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w:t>
            </w:r>
          </w:p>
        </w:tc>
      </w:tr>
      <w:tr>
        <w:trPr>
          <w:cantSplit w:val="0"/>
          <w:trHeight w:val="288" w:hRule="atLeast"/>
          <w:tblHeader w:val="0"/>
        </w:trPr>
        <w:tc>
          <w:tcPr>
            <w:shd w:fill="auto" w:val="clear"/>
            <w:vAlign w:val="center"/>
          </w:tcPr>
          <w:p w:rsidR="00000000" w:rsidDel="00000000" w:rsidP="00000000" w:rsidRDefault="00000000" w:rsidRPr="00000000" w14:paraId="00000080">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Retained Earnings</w:t>
            </w:r>
          </w:p>
        </w:tc>
        <w:tc>
          <w:tcPr>
            <w:shd w:fill="auto" w:val="clear"/>
            <w:vAlign w:val="center"/>
          </w:tcPr>
          <w:p w:rsidR="00000000" w:rsidDel="00000000" w:rsidP="00000000" w:rsidRDefault="00000000" w:rsidRPr="00000000" w14:paraId="00000081">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-6,732,000</w:t>
            </w:r>
          </w:p>
        </w:tc>
        <w:tc>
          <w:tcPr>
            <w:shd w:fill="auto" w:val="clear"/>
            <w:vAlign w:val="center"/>
          </w:tcPr>
          <w:p w:rsidR="00000000" w:rsidDel="00000000" w:rsidP="00000000" w:rsidRDefault="00000000" w:rsidRPr="00000000" w14:paraId="00000082">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-5,965,000</w:t>
            </w:r>
          </w:p>
        </w:tc>
        <w:tc>
          <w:tcPr>
            <w:shd w:fill="auto" w:val="clear"/>
            <w:vAlign w:val="bottom"/>
          </w:tcPr>
          <w:p w:rsidR="00000000" w:rsidDel="00000000" w:rsidP="00000000" w:rsidRDefault="00000000" w:rsidRPr="00000000" w14:paraId="00000083">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-767,000</w:t>
            </w:r>
          </w:p>
        </w:tc>
        <w:tc>
          <w:tcPr>
            <w:shd w:fill="auto" w:val="clear"/>
            <w:vAlign w:val="bottom"/>
          </w:tcPr>
          <w:p w:rsidR="00000000" w:rsidDel="00000000" w:rsidP="00000000" w:rsidRDefault="00000000" w:rsidRPr="00000000" w14:paraId="00000084">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0.113933</w:t>
            </w:r>
          </w:p>
        </w:tc>
      </w:tr>
      <w:tr>
        <w:trPr>
          <w:cantSplit w:val="0"/>
          <w:trHeight w:val="288" w:hRule="atLeast"/>
          <w:tblHeader w:val="0"/>
        </w:trPr>
        <w:tc>
          <w:tcPr>
            <w:shd w:fill="auto" w:val="clear"/>
            <w:vAlign w:val="center"/>
          </w:tcPr>
          <w:p w:rsidR="00000000" w:rsidDel="00000000" w:rsidP="00000000" w:rsidRDefault="00000000" w:rsidRPr="00000000" w14:paraId="00000085">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Total Stockholders' Equity</w:t>
            </w:r>
          </w:p>
        </w:tc>
        <w:tc>
          <w:tcPr>
            <w:shd w:fill="auto" w:val="clear"/>
            <w:vAlign w:val="center"/>
          </w:tcPr>
          <w:p w:rsidR="00000000" w:rsidDel="00000000" w:rsidP="00000000" w:rsidRDefault="00000000" w:rsidRPr="00000000" w14:paraId="00000086">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-1,490,000</w:t>
            </w:r>
          </w:p>
        </w:tc>
        <w:tc>
          <w:tcPr>
            <w:shd w:fill="auto" w:val="clear"/>
            <w:vAlign w:val="center"/>
          </w:tcPr>
          <w:p w:rsidR="00000000" w:rsidDel="00000000" w:rsidP="00000000" w:rsidRDefault="00000000" w:rsidRPr="00000000" w14:paraId="00000087">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-482,000</w:t>
            </w:r>
          </w:p>
        </w:tc>
        <w:tc>
          <w:tcPr>
            <w:shd w:fill="auto" w:val="clear"/>
            <w:vAlign w:val="bottom"/>
          </w:tcPr>
          <w:p w:rsidR="00000000" w:rsidDel="00000000" w:rsidP="00000000" w:rsidRDefault="00000000" w:rsidRPr="00000000" w14:paraId="00000088">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-1,008,000</w:t>
            </w:r>
          </w:p>
        </w:tc>
        <w:tc>
          <w:tcPr>
            <w:shd w:fill="auto" w:val="clear"/>
            <w:vAlign w:val="bottom"/>
          </w:tcPr>
          <w:p w:rsidR="00000000" w:rsidDel="00000000" w:rsidP="00000000" w:rsidRDefault="00000000" w:rsidRPr="00000000" w14:paraId="00000089">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0.67651</w:t>
            </w:r>
          </w:p>
        </w:tc>
      </w:tr>
      <w:tr>
        <w:trPr>
          <w:cantSplit w:val="0"/>
          <w:trHeight w:val="288" w:hRule="atLeast"/>
          <w:tblHeader w:val="0"/>
        </w:trPr>
        <w:tc>
          <w:tcPr>
            <w:shd w:fill="auto" w:val="clear"/>
            <w:vAlign w:val="center"/>
          </w:tcPr>
          <w:p w:rsidR="00000000" w:rsidDel="00000000" w:rsidP="00000000" w:rsidRDefault="00000000" w:rsidRPr="00000000" w14:paraId="0000008A">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Total Liabilities and Stockholder</w:t>
            </w:r>
          </w:p>
        </w:tc>
        <w:tc>
          <w:tcPr>
            <w:shd w:fill="auto" w:val="clear"/>
            <w:vAlign w:val="center"/>
          </w:tcPr>
          <w:p w:rsidR="00000000" w:rsidDel="00000000" w:rsidP="00000000" w:rsidRDefault="00000000" w:rsidRPr="00000000" w14:paraId="0000008B">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16,755,000</w:t>
            </w:r>
          </w:p>
        </w:tc>
        <w:tc>
          <w:tcPr>
            <w:shd w:fill="auto" w:val="clear"/>
            <w:vAlign w:val="center"/>
          </w:tcPr>
          <w:p w:rsidR="00000000" w:rsidDel="00000000" w:rsidP="00000000" w:rsidRDefault="00000000" w:rsidRPr="00000000" w14:paraId="0000008C">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14,957,000</w:t>
            </w:r>
          </w:p>
        </w:tc>
        <w:tc>
          <w:tcPr>
            <w:shd w:fill="auto" w:val="clear"/>
            <w:vAlign w:val="bottom"/>
          </w:tcPr>
          <w:p w:rsidR="00000000" w:rsidDel="00000000" w:rsidP="00000000" w:rsidRDefault="00000000" w:rsidRPr="00000000" w14:paraId="0000008D">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1,798,000</w:t>
            </w:r>
          </w:p>
        </w:tc>
        <w:tc>
          <w:tcPr>
            <w:shd w:fill="auto" w:val="clear"/>
            <w:vAlign w:val="bottom"/>
          </w:tcPr>
          <w:p w:rsidR="00000000" w:rsidDel="00000000" w:rsidP="00000000" w:rsidRDefault="00000000" w:rsidRPr="00000000" w14:paraId="0000008E">
            <w:pPr>
              <w:spacing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0.107311</w:t>
            </w:r>
          </w:p>
        </w:tc>
      </w:tr>
    </w:tbl>
    <w:p w:rsidR="00000000" w:rsidDel="00000000" w:rsidP="00000000" w:rsidRDefault="00000000" w:rsidRPr="00000000" w14:paraId="0000008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572000" cy="2743200"/>
            <wp:docPr id="149" name=""/>
            <a:graphic>
              <a:graphicData uri="http://schemas.openxmlformats.org/drawingml/2006/chart">
                <c:chart r:id="rId9"/>
              </a:graphicData>
            </a:graphic>
          </wp:inline>
        </w:drawing>
      </w:r>
      <w:r w:rsidDel="00000000" w:rsidR="00000000" w:rsidRPr="00000000">
        <w:rPr>
          <w:rtl w:val="0"/>
        </w:rPr>
      </w:r>
    </w:p>
    <w:p w:rsidR="00000000" w:rsidDel="00000000" w:rsidP="00000000" w:rsidRDefault="00000000" w:rsidRPr="00000000" w14:paraId="0000009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balance sheet is basically a list of claim and assets over a business at a certain point of time. It shows the financial position of business. It explained about the sources of fund and the utilization of fund. (Allen, M 2022).  a balance sheet shows the assets and labilities of the business. Realistically, balance sheet is the component of final fund that how much money is going out of the business and how much money is coming into business. Balance sheets contain assets, liabilities, and capital reserves. (Stern, E., 1997). above graphical presentation shows the change and Horizontal ratios change of the balance sheet of Hilton Worldwide Holdings Inc. (HLT) in between the year 2019 and 2020. Current assets and non-current assets are showing a positive change of 0.50% and 0.20%. total assets value increases up to 1.0% over the year time. Non-current liabilities are 0.20% however the current liabilities are -0.18%. total liabilities increased up to 0.15%. graph shows zero percent change in the common stock. Retained earnings, total stockholder equity and total liabilities are showing positive change in between year 2019 and 2020. Total labilities increased up to 0.10%. 0.67% change occurred in total stockholder’s equity, and retained earnings increased by 0.11%.  this balance sheet is showing the financial statement of Hilton Worldwide Holdings Inc. (HLT), which is not significantly higher than the last year. </w:t>
      </w:r>
    </w:p>
    <w:p w:rsidR="00000000" w:rsidDel="00000000" w:rsidP="00000000" w:rsidRDefault="00000000" w:rsidRPr="00000000" w14:paraId="00000092">
      <w:pPr>
        <w:pStyle w:val="Heading1"/>
        <w:spacing w:line="360" w:lineRule="auto"/>
        <w:jc w:val="both"/>
        <w:rPr>
          <w:rFonts w:ascii="Arial" w:cs="Arial" w:eastAsia="Arial" w:hAnsi="Arial"/>
          <w:b w:val="1"/>
          <w:color w:val="000000"/>
          <w:sz w:val="28"/>
          <w:szCs w:val="28"/>
        </w:rPr>
      </w:pPr>
      <w:bookmarkStart w:colFirst="0" w:colLast="0" w:name="_heading=h.17dp8vu" w:id="3"/>
      <w:bookmarkEnd w:id="3"/>
      <w:r w:rsidDel="00000000" w:rsidR="00000000" w:rsidRPr="00000000">
        <w:rPr>
          <w:rFonts w:ascii="Arial" w:cs="Arial" w:eastAsia="Arial" w:hAnsi="Arial"/>
          <w:b w:val="1"/>
          <w:color w:val="000000"/>
          <w:sz w:val="28"/>
          <w:szCs w:val="28"/>
          <w:rtl w:val="0"/>
        </w:rPr>
        <w:t xml:space="preserve">Benefits and limitation of Ratio analysis: </w:t>
      </w:r>
    </w:p>
    <w:p w:rsidR="00000000" w:rsidDel="00000000" w:rsidP="00000000" w:rsidRDefault="00000000" w:rsidRPr="00000000" w14:paraId="0000009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fundamental goals of ratio analysis are to show a company's general assets and shortcomings. Different goals of ratio analysis incorporate examinations for a valuable understanding of fiscal reports, tracking down answers for negative budget summaries and to assist with going to remedial lengths when, in contrast with other comparative firms, monetary circumstances and execution of the firm are ominous. (Wijnmalen, D.J., 2007)</w:t>
      </w:r>
    </w:p>
    <w:p w:rsidR="00000000" w:rsidDel="00000000" w:rsidP="00000000" w:rsidRDefault="00000000" w:rsidRPr="00000000" w14:paraId="0000009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Ratio analysis likewise decides the monetary condition and monetary execution of a firm. Utilizing ratio analysis permits an expert to decide the capacity of the firm to meet its commitments, the by and large working effectiveness, and execution of the firm and the proficiency with which the firm is using its resources in producing deals. (sangram pent 2012)</w:t>
      </w:r>
    </w:p>
    <w:p w:rsidR="00000000" w:rsidDel="00000000" w:rsidP="00000000" w:rsidRDefault="00000000" w:rsidRPr="00000000" w14:paraId="0000009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Ratio analysis is a device used to lead a quantitative analysis of data in an organization's budget summaries. Ratios are determined by people from current year numbers and are these numbers are then used to pass judgment on the presentation of the organization by contrasting them with earlier years, different organizations, the business or even the economy. (David Ingram., 2019). Bookkeeping ratios are significant for deciding about the organization's proficiency regarding its operations and the executives. They assist with deciding how well the organization has had the option to use its resources and procure benefits.</w:t>
      </w:r>
    </w:p>
    <w:p w:rsidR="00000000" w:rsidDel="00000000" w:rsidP="00000000" w:rsidRDefault="00000000" w:rsidRPr="00000000" w14:paraId="0000009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Expecting that the company has changed its accounting courses of action and frameworks, this may basically impact money related uncovering. For this present circumstance, the key money related estimations utilized in ratio analysis are adjusted, and the financial results recorded after the change are not basically indistinguishable from the results recorded before the change. It relies upon the analyst to be completely educated with respect to changes to accounting game plans. Changes made are all around found in the notes to the financial plan rundowns section. (CFi., 2022.)</w:t>
      </w:r>
    </w:p>
    <w:p w:rsidR="00000000" w:rsidDel="00000000" w:rsidP="00000000" w:rsidRDefault="00000000" w:rsidRPr="00000000" w14:paraId="0000009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specialist should be familiar with periodic factors that could really achieve obstructions of ratio analysis. The inability to change the ratio analysis to the inconsistency effects could incite deceiving interpretations of the results from the analysis. (Accounting tools., 2022)</w:t>
      </w:r>
    </w:p>
    <w:p w:rsidR="00000000" w:rsidDel="00000000" w:rsidP="00000000" w:rsidRDefault="00000000" w:rsidRPr="00000000" w14:paraId="0000009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Ratio analysis depends on data that is accounted for by the organization in its budget reports. With the data of the balance sheet of the organization, the ration analysis is being calculated. balance sheet made by the administration department of every company to keep an eye on the budget. balance sheet is the sheet which help company to improve the revenue for the future. Consequently, ratio analysis may not exactly reflect the genuine embodiment of the business, as the contortion of information is not recognized by fundamental analysis. It is fundamental that an examiner is familiar with these expected controls and reliably complete an expansive healthy amount of exertion preceding showing up at any goals. (Lesakova, L., 2007)</w:t>
      </w:r>
    </w:p>
    <w:p w:rsidR="00000000" w:rsidDel="00000000" w:rsidP="00000000" w:rsidRDefault="00000000" w:rsidRPr="00000000" w14:paraId="00000099">
      <w:pPr>
        <w:pBdr>
          <w:top w:space="0" w:sz="0" w:val="nil"/>
          <w:left w:space="0" w:sz="0" w:val="nil"/>
          <w:bottom w:space="0" w:sz="0" w:val="nil"/>
          <w:right w:space="0" w:sz="0" w:val="nil"/>
          <w:between w:space="0" w:sz="0" w:val="nil"/>
        </w:pBd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comprehension of ratio analysis and their vacillation in the business alongside their budget report is exceptionally huge for the business for the in the board. These ratios can help loan specialists and financial backers on whether the exhibition of the business merits loaning cash to or putting resources into. A business who takes a gander at these ratios will comprehend where their business isn't performing and can in this way make a move. At last, when a business looks at execution, a more clear picture is given about their monetary position, in this way helping to distinguish regions for development. (Arkan, T., 2016). Simultaneously, they can comprehend their position contrasted with the opposition and decide if chasing after specific goals is reasonable. (Arkan, T., 2016)</w:t>
      </w:r>
    </w:p>
    <w:p w:rsidR="00000000" w:rsidDel="00000000" w:rsidP="00000000" w:rsidRDefault="00000000" w:rsidRPr="00000000" w14:paraId="0000009A">
      <w:pPr>
        <w:pBdr>
          <w:top w:space="0" w:sz="0" w:val="nil"/>
          <w:left w:space="0" w:sz="0" w:val="nil"/>
          <w:bottom w:space="0" w:sz="0" w:val="nil"/>
          <w:right w:space="0" w:sz="0" w:val="nil"/>
          <w:between w:space="0" w:sz="0" w:val="nil"/>
        </w:pBd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B">
      <w:pPr>
        <w:pStyle w:val="Heading1"/>
        <w:spacing w:line="360" w:lineRule="auto"/>
        <w:jc w:val="both"/>
        <w:rPr>
          <w:rFonts w:ascii="Arial" w:cs="Arial" w:eastAsia="Arial" w:hAnsi="Arial"/>
          <w:b w:val="1"/>
          <w:color w:val="000000"/>
          <w:sz w:val="28"/>
          <w:szCs w:val="28"/>
        </w:rPr>
      </w:pPr>
      <w:bookmarkStart w:colFirst="0" w:colLast="0" w:name="_heading=h.3rdcrjn" w:id="4"/>
      <w:bookmarkEnd w:id="4"/>
      <w:r w:rsidDel="00000000" w:rsidR="00000000" w:rsidRPr="00000000">
        <w:rPr>
          <w:rFonts w:ascii="Arial" w:cs="Arial" w:eastAsia="Arial" w:hAnsi="Arial"/>
          <w:b w:val="1"/>
          <w:color w:val="000000"/>
          <w:sz w:val="28"/>
          <w:szCs w:val="28"/>
          <w:rtl w:val="0"/>
        </w:rPr>
        <w:t xml:space="preserve">Conclusion:</w:t>
      </w:r>
    </w:p>
    <w:p w:rsidR="00000000" w:rsidDel="00000000" w:rsidP="00000000" w:rsidRDefault="00000000" w:rsidRPr="00000000" w14:paraId="0000009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Ratio analysis, financial statements and balance sheets are really very important for a business industry to figure it out that either company is in loss or profit. it tells that how much money going out from the business and money is coming into the business. company needs to understand their management of assets, financial ratios, profitability, and liquidity to make forecasts and smarter decision. Hilton Hotels needs to work on their finical aspects to improve the profitability of the business and need to make smart decision to improve the profit percentage as now the business is not in profit. according to the stock market, the sharing value of the business is falling day by day, which is not good. the ration analysis needs to be better, and they need to cut down their expanses and liabilities needs to be decreased, As we have seen a lot of variation in the above graphs.   </w:t>
      </w:r>
    </w:p>
    <w:p w:rsidR="00000000" w:rsidDel="00000000" w:rsidP="00000000" w:rsidRDefault="00000000" w:rsidRPr="00000000" w14:paraId="0000009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A">
      <w:pPr>
        <w:pStyle w:val="Heading1"/>
        <w:spacing w:line="360" w:lineRule="auto"/>
        <w:jc w:val="both"/>
        <w:rPr>
          <w:rFonts w:ascii="Arial" w:cs="Arial" w:eastAsia="Arial" w:hAnsi="Arial"/>
          <w:b w:val="1"/>
          <w:color w:val="000000"/>
          <w:sz w:val="28"/>
          <w:szCs w:val="28"/>
        </w:rPr>
      </w:pPr>
      <w:bookmarkStart w:colFirst="0" w:colLast="0" w:name="_heading=h.26in1rg" w:id="5"/>
      <w:bookmarkEnd w:id="5"/>
      <w:r w:rsidDel="00000000" w:rsidR="00000000" w:rsidRPr="00000000">
        <w:rPr>
          <w:rFonts w:ascii="Arial" w:cs="Arial" w:eastAsia="Arial" w:hAnsi="Arial"/>
          <w:b w:val="1"/>
          <w:color w:val="000000"/>
          <w:sz w:val="28"/>
          <w:szCs w:val="28"/>
          <w:rtl w:val="0"/>
        </w:rPr>
        <w:t xml:space="preserve">Bibliography: </w:t>
      </w:r>
    </w:p>
    <w:p w:rsidR="00000000" w:rsidDel="00000000" w:rsidP="00000000" w:rsidRDefault="00000000" w:rsidRPr="00000000" w14:paraId="000000AB">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"Hilton Worldwide Holdings Inc. 2017. Schedule 14A". Securities and Exchange Commission. Archived from the original on 11 August 2017. Retrieved 10 August 2017.</w:t>
      </w:r>
    </w:p>
    <w:p w:rsidR="00000000" w:rsidDel="00000000" w:rsidP="00000000" w:rsidRDefault="00000000" w:rsidRPr="00000000" w14:paraId="000000AC">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Accounting tools., 2022.  Limitations of ratio analysis. Available at </w:t>
      </w:r>
      <w:hyperlink r:id="rId10">
        <w:r w:rsidDel="00000000" w:rsidR="00000000" w:rsidRPr="00000000">
          <w:rPr>
            <w:rFonts w:ascii="Arial" w:cs="Arial" w:eastAsia="Arial" w:hAnsi="Arial"/>
            <w:sz w:val="24"/>
            <w:szCs w:val="24"/>
            <w:u w:val="single"/>
            <w:rtl w:val="0"/>
          </w:rPr>
          <w:t xml:space="preserve">Limitations of ratio analysis — AccountingTools</w:t>
        </w:r>
      </w:hyperlink>
      <w:r w:rsidDel="00000000" w:rsidR="00000000" w:rsidRPr="00000000">
        <w:rPr>
          <w:rFonts w:ascii="Arial" w:cs="Arial" w:eastAsia="Arial" w:hAnsi="Arial"/>
          <w:sz w:val="24"/>
          <w:szCs w:val="24"/>
          <w:rtl w:val="0"/>
        </w:rPr>
        <w:t xml:space="preserve">. Retrieved Feb 2022   </w:t>
      </w:r>
    </w:p>
    <w:p w:rsidR="00000000" w:rsidDel="00000000" w:rsidP="00000000" w:rsidRDefault="00000000" w:rsidRPr="00000000" w14:paraId="000000AD">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Alameri, M., Alshamsi, F., Alsaedi, S., Alkaabi, A., Alamri, R., Alshamsi, M. and Nobanee, H., 2021. Financial Analysis of Hilton Holdings. </w:t>
      </w:r>
      <w:r w:rsidDel="00000000" w:rsidR="00000000" w:rsidRPr="00000000">
        <w:rPr>
          <w:rFonts w:ascii="Arial" w:cs="Arial" w:eastAsia="Arial" w:hAnsi="Arial"/>
          <w:i w:val="1"/>
          <w:sz w:val="24"/>
          <w:szCs w:val="24"/>
          <w:rtl w:val="0"/>
        </w:rPr>
        <w:t xml:space="preserve">Available at SSRN</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AE">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Allen, M., Rosenberg, C.B., Keller, C., Setser, B. and Roubini, N., 2002. A balance sheet approach to financial crisis.</w:t>
      </w:r>
    </w:p>
    <w:p w:rsidR="00000000" w:rsidDel="00000000" w:rsidP="00000000" w:rsidRDefault="00000000" w:rsidRPr="00000000" w14:paraId="000000AF">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Arkan, T., 2016. The importance of financial ratios in predicting stock price trends: A case study in emerging markets. </w:t>
      </w:r>
      <w:r w:rsidDel="00000000" w:rsidR="00000000" w:rsidRPr="00000000">
        <w:rPr>
          <w:rFonts w:ascii="Arial" w:cs="Arial" w:eastAsia="Arial" w:hAnsi="Arial"/>
          <w:i w:val="1"/>
          <w:sz w:val="24"/>
          <w:szCs w:val="24"/>
          <w:rtl w:val="0"/>
        </w:rPr>
        <w:t xml:space="preserve">Finanse, Rynki Finansowe, Ubezpieczenia</w:t>
      </w:r>
      <w:r w:rsidDel="00000000" w:rsidR="00000000" w:rsidRPr="00000000">
        <w:rPr>
          <w:rFonts w:ascii="Arial" w:cs="Arial" w:eastAsia="Arial" w:hAnsi="Arial"/>
          <w:sz w:val="24"/>
          <w:szCs w:val="24"/>
          <w:rtl w:val="0"/>
        </w:rPr>
        <w:t xml:space="preserve">, (79), pp.13-26.</w:t>
      </w:r>
    </w:p>
    <w:p w:rsidR="00000000" w:rsidDel="00000000" w:rsidP="00000000" w:rsidRDefault="00000000" w:rsidRPr="00000000" w14:paraId="000000B0">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CFi., 2022. Limitations of Ratio Analysis. Available at: </w:t>
      </w:r>
      <w:hyperlink r:id="rId11">
        <w:r w:rsidDel="00000000" w:rsidR="00000000" w:rsidRPr="00000000">
          <w:rPr>
            <w:rFonts w:ascii="Arial" w:cs="Arial" w:eastAsia="Arial" w:hAnsi="Arial"/>
            <w:sz w:val="24"/>
            <w:szCs w:val="24"/>
            <w:u w:val="single"/>
            <w:rtl w:val="0"/>
          </w:rPr>
          <w:t xml:space="preserve">Limitations of Ratio Analysis - Ratios are Popular, Learn About the Problems</w:t>
        </w:r>
      </w:hyperlink>
      <w:r w:rsidDel="00000000" w:rsidR="00000000" w:rsidRPr="00000000">
        <w:rPr>
          <w:rFonts w:ascii="Arial" w:cs="Arial" w:eastAsia="Arial" w:hAnsi="Arial"/>
          <w:sz w:val="24"/>
          <w:szCs w:val="24"/>
          <w:rtl w:val="0"/>
        </w:rPr>
        <w:t xml:space="preserve">. Accessed by 30 May 2022.</w:t>
      </w:r>
    </w:p>
    <w:p w:rsidR="00000000" w:rsidDel="00000000" w:rsidP="00000000" w:rsidRDefault="00000000" w:rsidRPr="00000000" w14:paraId="000000B1">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David Ingram., 2019. The Advantages of Financial Ratios. Available at: </w:t>
      </w:r>
      <w:hyperlink r:id="rId12">
        <w:r w:rsidDel="00000000" w:rsidR="00000000" w:rsidRPr="00000000">
          <w:rPr>
            <w:rFonts w:ascii="Arial" w:cs="Arial" w:eastAsia="Arial" w:hAnsi="Arial"/>
            <w:sz w:val="24"/>
            <w:szCs w:val="24"/>
            <w:u w:val="single"/>
            <w:rtl w:val="0"/>
          </w:rPr>
          <w:t xml:space="preserve">The Advantages of Financial Ratios</w:t>
        </w:r>
      </w:hyperlink>
      <w:r w:rsidDel="00000000" w:rsidR="00000000" w:rsidRPr="00000000">
        <w:rPr>
          <w:rFonts w:ascii="Arial" w:cs="Arial" w:eastAsia="Arial" w:hAnsi="Arial"/>
          <w:sz w:val="24"/>
          <w:szCs w:val="24"/>
          <w:rtl w:val="0"/>
        </w:rPr>
        <w:t xml:space="preserve">. Retrieved by Feb 2019.</w:t>
      </w:r>
    </w:p>
    <w:p w:rsidR="00000000" w:rsidDel="00000000" w:rsidP="00000000" w:rsidRDefault="00000000" w:rsidRPr="00000000" w14:paraId="000000B2">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Hilton, H., 2019. Financial Reporting: The Application of Professional Development and Research.</w:t>
      </w:r>
    </w:p>
    <w:p w:rsidR="00000000" w:rsidDel="00000000" w:rsidP="00000000" w:rsidRDefault="00000000" w:rsidRPr="00000000" w14:paraId="000000B3">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Lesakova, L., 2007, June. Uses and limitations of profitability ratio analysis in managerial practice. In </w:t>
      </w:r>
      <w:r w:rsidDel="00000000" w:rsidR="00000000" w:rsidRPr="00000000">
        <w:rPr>
          <w:rFonts w:ascii="Arial" w:cs="Arial" w:eastAsia="Arial" w:hAnsi="Arial"/>
          <w:i w:val="1"/>
          <w:sz w:val="24"/>
          <w:szCs w:val="24"/>
          <w:rtl w:val="0"/>
        </w:rPr>
        <w:t xml:space="preserve">International Conference on Management, Enterprise and Benchmarking</w:t>
      </w:r>
      <w:r w:rsidDel="00000000" w:rsidR="00000000" w:rsidRPr="00000000">
        <w:rPr>
          <w:rFonts w:ascii="Arial" w:cs="Arial" w:eastAsia="Arial" w:hAnsi="Arial"/>
          <w:sz w:val="24"/>
          <w:szCs w:val="24"/>
          <w:rtl w:val="0"/>
        </w:rPr>
        <w:t xml:space="preserve"> (pp. 1-2).</w:t>
      </w:r>
    </w:p>
    <w:p w:rsidR="00000000" w:rsidDel="00000000" w:rsidP="00000000" w:rsidRDefault="00000000" w:rsidRPr="00000000" w14:paraId="000000B4">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Nissim, D. and Penman, S.H., 2001. Ratio analysis and equity valuation: From research to practice. </w:t>
      </w:r>
      <w:r w:rsidDel="00000000" w:rsidR="00000000" w:rsidRPr="00000000">
        <w:rPr>
          <w:rFonts w:ascii="Arial" w:cs="Arial" w:eastAsia="Arial" w:hAnsi="Arial"/>
          <w:i w:val="1"/>
          <w:sz w:val="24"/>
          <w:szCs w:val="24"/>
          <w:rtl w:val="0"/>
        </w:rPr>
        <w:t xml:space="preserve">Review of accounting studies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6</w:t>
      </w:r>
      <w:r w:rsidDel="00000000" w:rsidR="00000000" w:rsidRPr="00000000">
        <w:rPr>
          <w:rFonts w:ascii="Arial" w:cs="Arial" w:eastAsia="Arial" w:hAnsi="Arial"/>
          <w:sz w:val="24"/>
          <w:szCs w:val="24"/>
          <w:rtl w:val="0"/>
        </w:rPr>
        <w:t xml:space="preserve">(1), pp.109-154.</w:t>
      </w:r>
    </w:p>
    <w:p w:rsidR="00000000" w:rsidDel="00000000" w:rsidP="00000000" w:rsidRDefault="00000000" w:rsidRPr="00000000" w14:paraId="000000B5">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Rawlings, Nate., 2018.  "Hilton Prepares to Go Public With Largest-Ever Hotel IPO". Time. ISSN 0040-781X. Retrieved 2018-12-03.</w:t>
      </w:r>
    </w:p>
    <w:p w:rsidR="00000000" w:rsidDel="00000000" w:rsidP="00000000" w:rsidRDefault="00000000" w:rsidRPr="00000000" w14:paraId="000000B6">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Sangram pent.,2012. Ratio Analysis: Meaning, Advantages and Limitations | Accounting. Available at: </w:t>
      </w:r>
      <w:hyperlink r:id="rId13">
        <w:r w:rsidDel="00000000" w:rsidR="00000000" w:rsidRPr="00000000">
          <w:rPr>
            <w:rFonts w:ascii="Arial" w:cs="Arial" w:eastAsia="Arial" w:hAnsi="Arial"/>
            <w:sz w:val="24"/>
            <w:szCs w:val="24"/>
            <w:u w:val="single"/>
            <w:rtl w:val="0"/>
          </w:rPr>
          <w:t xml:space="preserve">Ratio Analysis: Meaning, Advantages and Limitations | Accounting</w:t>
        </w:r>
      </w:hyperlink>
      <w:r w:rsidDel="00000000" w:rsidR="00000000" w:rsidRPr="00000000">
        <w:rPr>
          <w:rFonts w:ascii="Arial" w:cs="Arial" w:eastAsia="Arial" w:hAnsi="Arial"/>
          <w:sz w:val="24"/>
          <w:szCs w:val="24"/>
          <w:rtl w:val="0"/>
        </w:rPr>
        <w:t xml:space="preserve">. Accessed by 30 may 2022. </w:t>
      </w:r>
    </w:p>
    <w:p w:rsidR="00000000" w:rsidDel="00000000" w:rsidP="00000000" w:rsidRDefault="00000000" w:rsidRPr="00000000" w14:paraId="000000B7">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Stern, E., 1997. Crisis and learning: A conceptual balance sheet. </w:t>
      </w:r>
      <w:r w:rsidDel="00000000" w:rsidR="00000000" w:rsidRPr="00000000">
        <w:rPr>
          <w:rFonts w:ascii="Arial" w:cs="Arial" w:eastAsia="Arial" w:hAnsi="Arial"/>
          <w:i w:val="1"/>
          <w:sz w:val="24"/>
          <w:szCs w:val="24"/>
          <w:rtl w:val="0"/>
        </w:rPr>
        <w:t xml:space="preserve">Journal of contingencies and crisis management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5</w:t>
      </w:r>
      <w:r w:rsidDel="00000000" w:rsidR="00000000" w:rsidRPr="00000000">
        <w:rPr>
          <w:rFonts w:ascii="Arial" w:cs="Arial" w:eastAsia="Arial" w:hAnsi="Arial"/>
          <w:sz w:val="24"/>
          <w:szCs w:val="24"/>
          <w:rtl w:val="0"/>
        </w:rPr>
        <w:t xml:space="preserve">(2), pp.69-86.</w:t>
      </w:r>
    </w:p>
    <w:p w:rsidR="00000000" w:rsidDel="00000000" w:rsidP="00000000" w:rsidRDefault="00000000" w:rsidRPr="00000000" w14:paraId="000000B8">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Stinnett, A.A. and Mullahy, J., 1998. Net health benefits: a new framework for the analysis of uncertainty in cost-effectiveness analysis. </w:t>
      </w:r>
      <w:r w:rsidDel="00000000" w:rsidR="00000000" w:rsidRPr="00000000">
        <w:rPr>
          <w:rFonts w:ascii="Arial" w:cs="Arial" w:eastAsia="Arial" w:hAnsi="Arial"/>
          <w:i w:val="1"/>
          <w:sz w:val="24"/>
          <w:szCs w:val="24"/>
          <w:rtl w:val="0"/>
        </w:rPr>
        <w:t xml:space="preserve">Medical decision making</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18</w:t>
      </w:r>
      <w:r w:rsidDel="00000000" w:rsidR="00000000" w:rsidRPr="00000000">
        <w:rPr>
          <w:rFonts w:ascii="Arial" w:cs="Arial" w:eastAsia="Arial" w:hAnsi="Arial"/>
          <w:sz w:val="24"/>
          <w:szCs w:val="24"/>
          <w:rtl w:val="0"/>
        </w:rPr>
        <w:t xml:space="preserve">(2_suppl), pp.S68-S80.</w:t>
      </w:r>
    </w:p>
    <w:p w:rsidR="00000000" w:rsidDel="00000000" w:rsidP="00000000" w:rsidRDefault="00000000" w:rsidRPr="00000000" w14:paraId="000000B9">
      <w:pPr>
        <w:numPr>
          <w:ilvl w:val="0"/>
          <w:numId w:val="1"/>
        </w:numPr>
        <w:spacing w:after="0"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Wijnmalen, D.J., 2007. Analysis of benefits, opportunities, costs, and risks (BOCR) with the AHP–ANP: A critical validation. </w:t>
      </w:r>
      <w:r w:rsidDel="00000000" w:rsidR="00000000" w:rsidRPr="00000000">
        <w:rPr>
          <w:rFonts w:ascii="Arial" w:cs="Arial" w:eastAsia="Arial" w:hAnsi="Arial"/>
          <w:i w:val="1"/>
          <w:sz w:val="24"/>
          <w:szCs w:val="24"/>
          <w:rtl w:val="0"/>
        </w:rPr>
        <w:t xml:space="preserve">Mathematical and computer modelling</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46</w:t>
      </w:r>
      <w:r w:rsidDel="00000000" w:rsidR="00000000" w:rsidRPr="00000000">
        <w:rPr>
          <w:rFonts w:ascii="Arial" w:cs="Arial" w:eastAsia="Arial" w:hAnsi="Arial"/>
          <w:sz w:val="24"/>
          <w:szCs w:val="24"/>
          <w:rtl w:val="0"/>
        </w:rPr>
        <w:t xml:space="preserve">(7-8), pp.892-905.</w:t>
      </w:r>
    </w:p>
    <w:p w:rsidR="00000000" w:rsidDel="00000000" w:rsidP="00000000" w:rsidRDefault="00000000" w:rsidRPr="00000000" w14:paraId="000000BA">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B">
      <w:pPr>
        <w:spacing w:line="360" w:lineRule="auto"/>
        <w:jc w:val="both"/>
        <w:rPr>
          <w:rFonts w:ascii="Arial" w:cs="Arial" w:eastAsia="Arial" w:hAnsi="Arial"/>
          <w:sz w:val="24"/>
          <w:szCs w:val="24"/>
        </w:rPr>
      </w:pPr>
      <w:r w:rsidDel="00000000" w:rsidR="00000000" w:rsidRPr="00000000">
        <w:rPr>
          <w:rtl w:val="0"/>
        </w:rPr>
      </w:r>
    </w:p>
    <w:sectPr>
      <w:headerReference r:id="rId14" w:type="default"/>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7D1947"/>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next w:val="Normal"/>
    <w:link w:val="Heading2Char"/>
    <w:uiPriority w:val="9"/>
    <w:semiHidden w:val="1"/>
    <w:unhideWhenUsed w:val="1"/>
    <w:qFormat w:val="1"/>
    <w:rsid w:val="004D519C"/>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paragraph" w:styleId="Heading3">
    <w:name w:val="heading 3"/>
    <w:basedOn w:val="Normal"/>
    <w:next w:val="Normal"/>
    <w:uiPriority w:val="9"/>
    <w:semiHidden w:val="1"/>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semiHidden w:val="1"/>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NoSpacing">
    <w:name w:val="No Spacing"/>
    <w:link w:val="NoSpacingChar"/>
    <w:uiPriority w:val="1"/>
    <w:qFormat w:val="1"/>
    <w:rsid w:val="007D1947"/>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7D1947"/>
    <w:rPr>
      <w:rFonts w:eastAsiaTheme="minorEastAsia"/>
      <w:lang w:val="en-US"/>
    </w:rPr>
  </w:style>
  <w:style w:type="character" w:styleId="Heading1Char" w:customStyle="1">
    <w:name w:val="Heading 1 Char"/>
    <w:basedOn w:val="DefaultParagraphFont"/>
    <w:link w:val="Heading1"/>
    <w:uiPriority w:val="9"/>
    <w:rsid w:val="007D1947"/>
    <w:rPr>
      <w:rFonts w:asciiTheme="majorHAnsi" w:cstheme="majorBidi" w:eastAsiaTheme="majorEastAsia" w:hAnsiTheme="majorHAnsi"/>
      <w:color w:val="2e74b5" w:themeColor="accent1" w:themeShade="0000BF"/>
      <w:sz w:val="32"/>
      <w:szCs w:val="32"/>
    </w:rPr>
  </w:style>
  <w:style w:type="paragraph" w:styleId="TOCHeading">
    <w:name w:val="TOC Heading"/>
    <w:basedOn w:val="Heading1"/>
    <w:next w:val="Normal"/>
    <w:uiPriority w:val="39"/>
    <w:unhideWhenUsed w:val="1"/>
    <w:qFormat w:val="1"/>
    <w:rsid w:val="007D1947"/>
    <w:pPr>
      <w:outlineLvl w:val="9"/>
    </w:pPr>
    <w:rPr>
      <w:lang w:val="en-US"/>
    </w:rPr>
  </w:style>
  <w:style w:type="paragraph" w:styleId="TOC1">
    <w:name w:val="toc 1"/>
    <w:basedOn w:val="Normal"/>
    <w:next w:val="Normal"/>
    <w:autoRedefine w:val="1"/>
    <w:uiPriority w:val="39"/>
    <w:unhideWhenUsed w:val="1"/>
    <w:rsid w:val="007D1947"/>
    <w:pPr>
      <w:spacing w:after="100"/>
    </w:pPr>
  </w:style>
  <w:style w:type="character" w:styleId="Hyperlink">
    <w:name w:val="Hyperlink"/>
    <w:basedOn w:val="DefaultParagraphFont"/>
    <w:uiPriority w:val="99"/>
    <w:unhideWhenUsed w:val="1"/>
    <w:rsid w:val="007D1947"/>
    <w:rPr>
      <w:color w:val="0563c1" w:themeColor="hyperlink"/>
      <w:u w:val="single"/>
    </w:rPr>
  </w:style>
  <w:style w:type="character" w:styleId="Heading2Char" w:customStyle="1">
    <w:name w:val="Heading 2 Char"/>
    <w:basedOn w:val="DefaultParagraphFont"/>
    <w:link w:val="Heading2"/>
    <w:uiPriority w:val="9"/>
    <w:rsid w:val="004D519C"/>
    <w:rPr>
      <w:rFonts w:asciiTheme="majorHAnsi" w:cstheme="majorBidi" w:eastAsiaTheme="majorEastAsia" w:hAnsiTheme="majorHAnsi"/>
      <w:color w:val="2e74b5" w:themeColor="accent1" w:themeShade="0000BF"/>
      <w:sz w:val="26"/>
      <w:szCs w:val="26"/>
    </w:rPr>
  </w:style>
  <w:style w:type="paragraph" w:styleId="TOC2">
    <w:name w:val="toc 2"/>
    <w:basedOn w:val="Normal"/>
    <w:next w:val="Normal"/>
    <w:autoRedefine w:val="1"/>
    <w:uiPriority w:val="39"/>
    <w:unhideWhenUsed w:val="1"/>
    <w:rsid w:val="00115B96"/>
    <w:pPr>
      <w:spacing w:after="100"/>
      <w:ind w:left="220"/>
    </w:pPr>
  </w:style>
  <w:style w:type="paragraph" w:styleId="ListParagraph">
    <w:name w:val="List Paragraph"/>
    <w:basedOn w:val="Normal"/>
    <w:uiPriority w:val="34"/>
    <w:qFormat w:val="1"/>
    <w:rsid w:val="009C1CE2"/>
    <w:pPr>
      <w:spacing w:after="0" w:line="240" w:lineRule="auto"/>
      <w:ind w:left="720"/>
      <w:contextualSpacing w:val="1"/>
    </w:pPr>
    <w:rPr>
      <w:rFonts w:ascii="Times New Roman" w:cs="Times New Roman" w:eastAsia="Times New Roman" w:hAnsi="Times New Roman"/>
      <w:sz w:val="20"/>
      <w:szCs w:val="20"/>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tblPr>
      <w:tblStyleRowBandSize w:val="1"/>
      <w:tblStyleColBandSize w:val="1"/>
      <w:tblCellMar>
        <w:left w:w="115.0" w:type="dxa"/>
        <w:right w:w="115.0" w:type="dxa"/>
      </w:tblCellMar>
    </w:tblPr>
  </w:style>
  <w:style w:type="paragraph" w:styleId="Header">
    <w:name w:val="header"/>
    <w:basedOn w:val="Normal"/>
    <w:link w:val="HeaderChar"/>
    <w:uiPriority w:val="99"/>
    <w:unhideWhenUsed w:val="1"/>
    <w:rsid w:val="00305ACE"/>
    <w:pPr>
      <w:tabs>
        <w:tab w:val="center" w:pos="4513"/>
        <w:tab w:val="right" w:pos="9026"/>
      </w:tabs>
      <w:spacing w:after="0" w:line="240" w:lineRule="auto"/>
    </w:pPr>
  </w:style>
  <w:style w:type="character" w:styleId="HeaderChar" w:customStyle="1">
    <w:name w:val="Header Char"/>
    <w:basedOn w:val="DefaultParagraphFont"/>
    <w:link w:val="Header"/>
    <w:uiPriority w:val="99"/>
    <w:rsid w:val="00305ACE"/>
  </w:style>
  <w:style w:type="paragraph" w:styleId="Footer">
    <w:name w:val="footer"/>
    <w:basedOn w:val="Normal"/>
    <w:link w:val="FooterChar"/>
    <w:uiPriority w:val="99"/>
    <w:unhideWhenUsed w:val="1"/>
    <w:rsid w:val="00305ACE"/>
    <w:pPr>
      <w:tabs>
        <w:tab w:val="center" w:pos="4513"/>
        <w:tab w:val="right" w:pos="9026"/>
      </w:tabs>
      <w:spacing w:after="0" w:line="240" w:lineRule="auto"/>
    </w:pPr>
  </w:style>
  <w:style w:type="character" w:styleId="FooterChar" w:customStyle="1">
    <w:name w:val="Footer Char"/>
    <w:basedOn w:val="DefaultParagraphFont"/>
    <w:link w:val="Footer"/>
    <w:uiPriority w:val="99"/>
    <w:rsid w:val="00305ACE"/>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corporatefinanceinstitute.com/resources/knowledge/finance/limitations-ratio-analysis/" TargetMode="External"/><Relationship Id="rId10" Type="http://schemas.openxmlformats.org/officeDocument/2006/relationships/hyperlink" Target="https://www.accountingtools.com/articles/what-are-the-limitations-of-ratio-analysis.html" TargetMode="External"/><Relationship Id="rId13" Type="http://schemas.openxmlformats.org/officeDocument/2006/relationships/hyperlink" Target="https://www.yourarticlelibrary.com/accounting/ratio-analysis/ratio-analysis-meaning-advantages-and-limitations-accounting/65204" TargetMode="External"/><Relationship Id="rId12" Type="http://schemas.openxmlformats.org/officeDocument/2006/relationships/hyperlink" Target="https://smallbusiness.chron.com/advantages-financial-ratios-3973.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hart" Target="charts/chart2.xm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C:\Users\shera\Desktop\Book111.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C:\Users\shera\Desktop\Book11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Income statement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cked"/>
        <c:varyColors val="0"/>
        <c:ser>
          <c:idx val="2"/>
          <c:order val="0"/>
          <c:tx>
            <c:strRef>
              <c:f>Sheet1!$D$1:$D$2</c:f>
              <c:strCache>
                <c:ptCount val="2"/>
                <c:pt idx="0">
                  <c:v>Change</c:v>
                </c:pt>
              </c:strCache>
            </c:strRef>
          </c:tx>
          <c:spPr>
            <a:ln w="22225" cap="rnd">
              <a:solidFill>
                <a:schemeClr val="accent3"/>
              </a:solidFill>
            </a:ln>
            <a:effectLst>
              <a:glow rad="139700">
                <a:schemeClr val="accent3">
                  <a:satMod val="175000"/>
                  <a:alpha val="14000"/>
                </a:schemeClr>
              </a:glow>
            </a:effectLst>
          </c:spPr>
          <c:marker>
            <c:symbol val="none"/>
          </c:marker>
          <c:errBars>
            <c:errDir val="y"/>
            <c:errBarType val="both"/>
            <c:errValType val="stdErr"/>
            <c:noEndCap val="0"/>
            <c:spPr>
              <a:noFill/>
              <a:ln w="9525">
                <a:solidFill>
                  <a:schemeClr val="lt1">
                    <a:lumMod val="50000"/>
                  </a:schemeClr>
                </a:solidFill>
                <a:round/>
              </a:ln>
              <a:effectLst/>
            </c:spPr>
          </c:errBars>
          <c:cat>
            <c:strRef>
              <c:f>Sheet1!$A$3:$A$11</c:f>
              <c:strCache>
                <c:ptCount val="9"/>
                <c:pt idx="0">
                  <c:v>Sales</c:v>
                </c:pt>
                <c:pt idx="1">
                  <c:v>Cost of goods sold</c:v>
                </c:pt>
                <c:pt idx="2">
                  <c:v>Gross profit</c:v>
                </c:pt>
                <c:pt idx="3">
                  <c:v>Operating Expenses</c:v>
                </c:pt>
                <c:pt idx="4">
                  <c:v>Operating income</c:v>
                </c:pt>
                <c:pt idx="5">
                  <c:v>Interest Expense</c:v>
                </c:pt>
                <c:pt idx="6">
                  <c:v>Total Other income/ expenses net </c:v>
                </c:pt>
                <c:pt idx="7">
                  <c:v>Income before taxes</c:v>
                </c:pt>
                <c:pt idx="8">
                  <c:v>Net income</c:v>
                </c:pt>
              </c:strCache>
            </c:strRef>
          </c:cat>
          <c:val>
            <c:numRef>
              <c:f>Sheet1!$D$3:$D$11</c:f>
              <c:numCache>
                <c:formatCode>#,##0</c:formatCode>
                <c:ptCount val="9"/>
                <c:pt idx="0">
                  <c:v>5145000</c:v>
                </c:pt>
                <c:pt idx="1">
                  <c:v>3293000</c:v>
                </c:pt>
                <c:pt idx="2">
                  <c:v>1852000</c:v>
                </c:pt>
                <c:pt idx="3">
                  <c:v>157000</c:v>
                </c:pt>
                <c:pt idx="4">
                  <c:v>1695000</c:v>
                </c:pt>
                <c:pt idx="5">
                  <c:v>-15000</c:v>
                </c:pt>
                <c:pt idx="6">
                  <c:v>458000</c:v>
                </c:pt>
                <c:pt idx="7">
                  <c:v>2168000</c:v>
                </c:pt>
                <c:pt idx="8">
                  <c:v>1596000</c:v>
                </c:pt>
              </c:numCache>
            </c:numRef>
          </c:val>
          <c:smooth val="0"/>
          <c:extLst>
            <c:ext xmlns:c16="http://schemas.microsoft.com/office/drawing/2014/chart" uri="{C3380CC4-5D6E-409C-BE32-E72D297353CC}">
              <c16:uniqueId val="{00000000-5536-4B4E-A06E-574D0F7DC1AB}"/>
            </c:ext>
          </c:extLst>
        </c:ser>
        <c:ser>
          <c:idx val="3"/>
          <c:order val="1"/>
          <c:tx>
            <c:strRef>
              <c:f>Sheet1!$E$1:$E$2</c:f>
              <c:strCache>
                <c:ptCount val="2"/>
                <c:pt idx="0">
                  <c:v>% Change</c:v>
                </c:pt>
              </c:strCache>
            </c:strRef>
          </c:tx>
          <c:spPr>
            <a:ln w="22225" cap="rnd">
              <a:solidFill>
                <a:schemeClr val="accent4"/>
              </a:solidFill>
            </a:ln>
            <a:effectLst>
              <a:glow rad="139700">
                <a:schemeClr val="accent4">
                  <a:satMod val="175000"/>
                  <a:alpha val="14000"/>
                </a:schemeClr>
              </a:glow>
            </a:effectLst>
          </c:spPr>
          <c:marker>
            <c:symbol val="none"/>
          </c:marker>
          <c:errBars>
            <c:errDir val="y"/>
            <c:errBarType val="both"/>
            <c:errValType val="stdErr"/>
            <c:noEndCap val="0"/>
            <c:spPr>
              <a:noFill/>
              <a:ln w="9525">
                <a:solidFill>
                  <a:schemeClr val="lt1">
                    <a:lumMod val="50000"/>
                  </a:schemeClr>
                </a:solidFill>
                <a:round/>
              </a:ln>
              <a:effectLst/>
            </c:spPr>
          </c:errBars>
          <c:cat>
            <c:strRef>
              <c:f>Sheet1!$A$3:$A$11</c:f>
              <c:strCache>
                <c:ptCount val="9"/>
                <c:pt idx="0">
                  <c:v>Sales</c:v>
                </c:pt>
                <c:pt idx="1">
                  <c:v>Cost of goods sold</c:v>
                </c:pt>
                <c:pt idx="2">
                  <c:v>Gross profit</c:v>
                </c:pt>
                <c:pt idx="3">
                  <c:v>Operating Expenses</c:v>
                </c:pt>
                <c:pt idx="4">
                  <c:v>Operating income</c:v>
                </c:pt>
                <c:pt idx="5">
                  <c:v>Interest Expense</c:v>
                </c:pt>
                <c:pt idx="6">
                  <c:v>Total Other income/ expenses net </c:v>
                </c:pt>
                <c:pt idx="7">
                  <c:v>Income before taxes</c:v>
                </c:pt>
                <c:pt idx="8">
                  <c:v>Net income</c:v>
                </c:pt>
              </c:strCache>
            </c:strRef>
          </c:cat>
          <c:val>
            <c:numRef>
              <c:f>Sheet1!$E$3:$E$11</c:f>
              <c:numCache>
                <c:formatCode>General</c:formatCode>
                <c:ptCount val="9"/>
                <c:pt idx="0">
                  <c:v>0.54432924248836223</c:v>
                </c:pt>
                <c:pt idx="1">
                  <c:v>0.46928886988741625</c:v>
                </c:pt>
                <c:pt idx="2">
                  <c:v>0.76057494866529773</c:v>
                </c:pt>
                <c:pt idx="3">
                  <c:v>0.18277066356228172</c:v>
                </c:pt>
                <c:pt idx="4">
                  <c:v>1.0755076142131981</c:v>
                </c:pt>
                <c:pt idx="5">
                  <c:v>-3.6231884057971016E-2</c:v>
                </c:pt>
                <c:pt idx="6">
                  <c:v>5.5853658536585362</c:v>
                </c:pt>
                <c:pt idx="7">
                  <c:v>1.742765273311897</c:v>
                </c:pt>
                <c:pt idx="8">
                  <c:v>1.8115777525539161</c:v>
                </c:pt>
              </c:numCache>
            </c:numRef>
          </c:val>
          <c:smooth val="0"/>
          <c:extLst>
            <c:ext xmlns:c16="http://schemas.microsoft.com/office/drawing/2014/chart" uri="{C3380CC4-5D6E-409C-BE32-E72D297353CC}">
              <c16:uniqueId val="{00000001-5536-4B4E-A06E-574D0F7DC1AB}"/>
            </c:ext>
          </c:extLst>
        </c:ser>
        <c:dLbls>
          <c:showLegendKey val="0"/>
          <c:showVal val="0"/>
          <c:showCatName val="0"/>
          <c:showSerName val="0"/>
          <c:showPercent val="0"/>
          <c:showBubbleSize val="0"/>
        </c:dLbls>
        <c:upDownBars>
          <c:gapWidth val="315"/>
          <c:upBars>
            <c:spPr>
              <a:solidFill>
                <a:schemeClr val="lt1">
                  <a:lumMod val="85000"/>
                </a:schemeClr>
              </a:solidFill>
              <a:ln w="9525">
                <a:solidFill>
                  <a:schemeClr val="dk1">
                    <a:lumMod val="50000"/>
                  </a:schemeClr>
                </a:solidFill>
                <a:round/>
              </a:ln>
              <a:effectLst/>
            </c:spPr>
          </c:upBars>
          <c:downBars>
            <c:spPr>
              <a:solidFill>
                <a:schemeClr val="dk1">
                  <a:lumMod val="50000"/>
                  <a:lumOff val="50000"/>
                </a:schemeClr>
              </a:solidFill>
              <a:ln w="9525">
                <a:solidFill>
                  <a:schemeClr val="dk1">
                    <a:lumMod val="75000"/>
                  </a:schemeClr>
                </a:solidFill>
                <a:round/>
              </a:ln>
              <a:effectLst/>
            </c:spPr>
          </c:downBars>
        </c:upDownBars>
        <c:smooth val="0"/>
        <c:axId val="1135562159"/>
        <c:axId val="1135557999"/>
      </c:lineChart>
      <c:catAx>
        <c:axId val="1135562159"/>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135557999"/>
        <c:crosses val="autoZero"/>
        <c:auto val="1"/>
        <c:lblAlgn val="ctr"/>
        <c:lblOffset val="100"/>
        <c:noMultiLvlLbl val="0"/>
      </c:catAx>
      <c:valAx>
        <c:axId val="1135557999"/>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135562159"/>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Balance Sheet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Sheet4!$L$5</c:f>
              <c:strCache>
                <c:ptCount val="1"/>
                <c:pt idx="0">
                  <c:v>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Sheet4!$K$6:$K$15</c:f>
              <c:strCache>
                <c:ptCount val="10"/>
                <c:pt idx="0">
                  <c:v>Current Asset</c:v>
                </c:pt>
                <c:pt idx="1">
                  <c:v>Non Current Asset</c:v>
                </c:pt>
                <c:pt idx="2">
                  <c:v>Total Asset</c:v>
                </c:pt>
                <c:pt idx="3">
                  <c:v>Current Liabilities</c:v>
                </c:pt>
                <c:pt idx="4">
                  <c:v>Non current Liabilities</c:v>
                </c:pt>
                <c:pt idx="5">
                  <c:v>Total Liabilities</c:v>
                </c:pt>
                <c:pt idx="6">
                  <c:v>Common Stock</c:v>
                </c:pt>
                <c:pt idx="7">
                  <c:v>Retained Earnings</c:v>
                </c:pt>
                <c:pt idx="8">
                  <c:v>Total Stockholders' Equity</c:v>
                </c:pt>
                <c:pt idx="9">
                  <c:v>Total Liabilities and Stockholder</c:v>
                </c:pt>
              </c:strCache>
            </c:strRef>
          </c:cat>
          <c:val>
            <c:numRef>
              <c:f>Sheet4!$L$6:$L$15</c:f>
              <c:numCache>
                <c:formatCode>#,##0</c:formatCode>
                <c:ptCount val="10"/>
                <c:pt idx="0">
                  <c:v>4202000</c:v>
                </c:pt>
                <c:pt idx="1">
                  <c:v>15810000</c:v>
                </c:pt>
                <c:pt idx="2">
                  <c:v>16755000</c:v>
                </c:pt>
                <c:pt idx="3">
                  <c:v>2431000</c:v>
                </c:pt>
                <c:pt idx="4">
                  <c:v>15810000</c:v>
                </c:pt>
                <c:pt idx="5">
                  <c:v>18241000</c:v>
                </c:pt>
                <c:pt idx="6">
                  <c:v>3000</c:v>
                </c:pt>
                <c:pt idx="7">
                  <c:v>-6732000</c:v>
                </c:pt>
                <c:pt idx="8">
                  <c:v>-1490000</c:v>
                </c:pt>
                <c:pt idx="9">
                  <c:v>16755000</c:v>
                </c:pt>
              </c:numCache>
            </c:numRef>
          </c:val>
          <c:extLst>
            <c:ext xmlns:c16="http://schemas.microsoft.com/office/drawing/2014/chart" uri="{C3380CC4-5D6E-409C-BE32-E72D297353CC}">
              <c16:uniqueId val="{00000000-DB6A-46BF-8279-C65B283D2CBC}"/>
            </c:ext>
          </c:extLst>
        </c:ser>
        <c:ser>
          <c:idx val="1"/>
          <c:order val="1"/>
          <c:tx>
            <c:strRef>
              <c:f>Sheet4!$M$5</c:f>
              <c:strCache>
                <c:ptCount val="1"/>
                <c:pt idx="0">
                  <c:v>2019</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Sheet4!$K$6:$K$15</c:f>
              <c:strCache>
                <c:ptCount val="10"/>
                <c:pt idx="0">
                  <c:v>Current Asset</c:v>
                </c:pt>
                <c:pt idx="1">
                  <c:v>Non Current Asset</c:v>
                </c:pt>
                <c:pt idx="2">
                  <c:v>Total Asset</c:v>
                </c:pt>
                <c:pt idx="3">
                  <c:v>Current Liabilities</c:v>
                </c:pt>
                <c:pt idx="4">
                  <c:v>Non current Liabilities</c:v>
                </c:pt>
                <c:pt idx="5">
                  <c:v>Total Liabilities</c:v>
                </c:pt>
                <c:pt idx="6">
                  <c:v>Common Stock</c:v>
                </c:pt>
                <c:pt idx="7">
                  <c:v>Retained Earnings</c:v>
                </c:pt>
                <c:pt idx="8">
                  <c:v>Total Stockholders' Equity</c:v>
                </c:pt>
                <c:pt idx="9">
                  <c:v>Total Liabilities and Stockholder</c:v>
                </c:pt>
              </c:strCache>
            </c:strRef>
          </c:cat>
          <c:val>
            <c:numRef>
              <c:f>Sheet4!$M$6:$M$15</c:f>
              <c:numCache>
                <c:formatCode>#,##0</c:formatCode>
                <c:ptCount val="10"/>
                <c:pt idx="0">
                  <c:v>2093000</c:v>
                </c:pt>
                <c:pt idx="1">
                  <c:v>12558000</c:v>
                </c:pt>
                <c:pt idx="2">
                  <c:v>14957000</c:v>
                </c:pt>
                <c:pt idx="3">
                  <c:v>2871000</c:v>
                </c:pt>
                <c:pt idx="4">
                  <c:v>12558000</c:v>
                </c:pt>
                <c:pt idx="5">
                  <c:v>15429000</c:v>
                </c:pt>
                <c:pt idx="6">
                  <c:v>3000</c:v>
                </c:pt>
                <c:pt idx="7">
                  <c:v>-5965000</c:v>
                </c:pt>
                <c:pt idx="8">
                  <c:v>-482000</c:v>
                </c:pt>
                <c:pt idx="9">
                  <c:v>14957000</c:v>
                </c:pt>
              </c:numCache>
            </c:numRef>
          </c:val>
          <c:extLst>
            <c:ext xmlns:c16="http://schemas.microsoft.com/office/drawing/2014/chart" uri="{C3380CC4-5D6E-409C-BE32-E72D297353CC}">
              <c16:uniqueId val="{00000001-DB6A-46BF-8279-C65B283D2CBC}"/>
            </c:ext>
          </c:extLst>
        </c:ser>
        <c:ser>
          <c:idx val="2"/>
          <c:order val="2"/>
          <c:tx>
            <c:strRef>
              <c:f>Sheet4!$N$5</c:f>
              <c:strCache>
                <c:ptCount val="1"/>
                <c:pt idx="0">
                  <c:v>   Change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Sheet4!$K$6:$K$15</c:f>
              <c:strCache>
                <c:ptCount val="10"/>
                <c:pt idx="0">
                  <c:v>Current Asset</c:v>
                </c:pt>
                <c:pt idx="1">
                  <c:v>Non Current Asset</c:v>
                </c:pt>
                <c:pt idx="2">
                  <c:v>Total Asset</c:v>
                </c:pt>
                <c:pt idx="3">
                  <c:v>Current Liabilities</c:v>
                </c:pt>
                <c:pt idx="4">
                  <c:v>Non current Liabilities</c:v>
                </c:pt>
                <c:pt idx="5">
                  <c:v>Total Liabilities</c:v>
                </c:pt>
                <c:pt idx="6">
                  <c:v>Common Stock</c:v>
                </c:pt>
                <c:pt idx="7">
                  <c:v>Retained Earnings</c:v>
                </c:pt>
                <c:pt idx="8">
                  <c:v>Total Stockholders' Equity</c:v>
                </c:pt>
                <c:pt idx="9">
                  <c:v>Total Liabilities and Stockholder</c:v>
                </c:pt>
              </c:strCache>
            </c:strRef>
          </c:cat>
          <c:val>
            <c:numRef>
              <c:f>Sheet4!$N$6:$N$15</c:f>
              <c:numCache>
                <c:formatCode>#,##0</c:formatCode>
                <c:ptCount val="10"/>
                <c:pt idx="0">
                  <c:v>2109000</c:v>
                </c:pt>
                <c:pt idx="1">
                  <c:v>3252000</c:v>
                </c:pt>
                <c:pt idx="2">
                  <c:v>1798000</c:v>
                </c:pt>
                <c:pt idx="3">
                  <c:v>-440000</c:v>
                </c:pt>
                <c:pt idx="4">
                  <c:v>3252000</c:v>
                </c:pt>
                <c:pt idx="5">
                  <c:v>2812000</c:v>
                </c:pt>
                <c:pt idx="6">
                  <c:v>0</c:v>
                </c:pt>
                <c:pt idx="7">
                  <c:v>-767000</c:v>
                </c:pt>
                <c:pt idx="8">
                  <c:v>-1008000</c:v>
                </c:pt>
                <c:pt idx="9">
                  <c:v>1798000</c:v>
                </c:pt>
              </c:numCache>
            </c:numRef>
          </c:val>
          <c:extLst>
            <c:ext xmlns:c16="http://schemas.microsoft.com/office/drawing/2014/chart" uri="{C3380CC4-5D6E-409C-BE32-E72D297353CC}">
              <c16:uniqueId val="{00000002-DB6A-46BF-8279-C65B283D2CBC}"/>
            </c:ext>
          </c:extLst>
        </c:ser>
        <c:ser>
          <c:idx val="3"/>
          <c:order val="3"/>
          <c:tx>
            <c:strRef>
              <c:f>Sheet4!$O$5</c:f>
              <c:strCache>
                <c:ptCount val="1"/>
                <c:pt idx="0">
                  <c:v>%    Change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Sheet4!$K$6:$K$15</c:f>
              <c:strCache>
                <c:ptCount val="10"/>
                <c:pt idx="0">
                  <c:v>Current Asset</c:v>
                </c:pt>
                <c:pt idx="1">
                  <c:v>Non Current Asset</c:v>
                </c:pt>
                <c:pt idx="2">
                  <c:v>Total Asset</c:v>
                </c:pt>
                <c:pt idx="3">
                  <c:v>Current Liabilities</c:v>
                </c:pt>
                <c:pt idx="4">
                  <c:v>Non current Liabilities</c:v>
                </c:pt>
                <c:pt idx="5">
                  <c:v>Total Liabilities</c:v>
                </c:pt>
                <c:pt idx="6">
                  <c:v>Common Stock</c:v>
                </c:pt>
                <c:pt idx="7">
                  <c:v>Retained Earnings</c:v>
                </c:pt>
                <c:pt idx="8">
                  <c:v>Total Stockholders' Equity</c:v>
                </c:pt>
                <c:pt idx="9">
                  <c:v>Total Liabilities and Stockholder</c:v>
                </c:pt>
              </c:strCache>
            </c:strRef>
          </c:cat>
          <c:val>
            <c:numRef>
              <c:f>Sheet4!$O$6:$O$15</c:f>
              <c:numCache>
                <c:formatCode>General</c:formatCode>
                <c:ptCount val="10"/>
                <c:pt idx="0">
                  <c:v>0.50190385530699666</c:v>
                </c:pt>
                <c:pt idx="1">
                  <c:v>0.20569259962049335</c:v>
                </c:pt>
                <c:pt idx="2">
                  <c:v>0.10731125037302298</c:v>
                </c:pt>
                <c:pt idx="3">
                  <c:v>-0.18099547511312217</c:v>
                </c:pt>
                <c:pt idx="4">
                  <c:v>0.20569259962049335</c:v>
                </c:pt>
                <c:pt idx="5">
                  <c:v>0.15415821501014199</c:v>
                </c:pt>
                <c:pt idx="6">
                  <c:v>0</c:v>
                </c:pt>
                <c:pt idx="7">
                  <c:v>0.11393345216874629</c:v>
                </c:pt>
                <c:pt idx="8">
                  <c:v>0.676510067114094</c:v>
                </c:pt>
                <c:pt idx="9">
                  <c:v>0.10731125037302298</c:v>
                </c:pt>
              </c:numCache>
            </c:numRef>
          </c:val>
          <c:extLst>
            <c:ext xmlns:c16="http://schemas.microsoft.com/office/drawing/2014/chart" uri="{C3380CC4-5D6E-409C-BE32-E72D297353CC}">
              <c16:uniqueId val="{00000003-DB6A-46BF-8279-C65B283D2CBC}"/>
            </c:ext>
          </c:extLst>
        </c:ser>
        <c:dLbls>
          <c:showLegendKey val="0"/>
          <c:showVal val="0"/>
          <c:showCatName val="0"/>
          <c:showSerName val="0"/>
          <c:showPercent val="0"/>
          <c:showBubbleSize val="0"/>
        </c:dLbls>
        <c:gapWidth val="100"/>
        <c:overlap val="-24"/>
        <c:axId val="1660179440"/>
        <c:axId val="1660181104"/>
      </c:barChart>
      <c:catAx>
        <c:axId val="166017944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60181104"/>
        <c:crosses val="autoZero"/>
        <c:auto val="1"/>
        <c:lblAlgn val="ctr"/>
        <c:lblOffset val="100"/>
        <c:noMultiLvlLbl val="0"/>
      </c:catAx>
      <c:valAx>
        <c:axId val="1660181104"/>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60179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4AvmOEkuSWK1gzIzDyKPxyiujew==">AMUW2mUijcXrmsfbRUcL5ZbyGnHuzy5LHzoON4Vxl0nN/+6gtfhlEAGcUGT5fJzvWe+Wmb9wSuZ5/DbGX/vdrrJQLksSkLEJp2b0s5AhkCgEWECWFyHvMwAILCjWI3SW+dtLbRWYvYtZuJ5S4GZycUXMAUzc/oiKTBrGT5n9Diq+bMbR8UlzuaTQIdmLOsXkKGLjHhLTruAf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2022-05-16T10:43:00Z</dcterms:created>
  <dc:creator>Marie Pitson</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